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BD9364">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p>
    <w:p w14:paraId="754FE5C2">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p>
    <w:p w14:paraId="510132E1">
      <w:pPr>
        <w:tabs>
          <w:tab w:val="left" w:pos="315"/>
          <w:tab w:val="left" w:pos="8820"/>
        </w:tabs>
        <w:spacing w:before="312" w:beforeLines="100" w:after="156" w:afterLines="50" w:line="240" w:lineRule="auto"/>
        <w:ind w:right="267" w:rightChars="127"/>
        <w:jc w:val="center"/>
        <w:rPr>
          <w:rFonts w:hint="eastAsia" w:ascii="宋体" w:hAnsi="宋体" w:eastAsia="宋体"/>
          <w:b/>
          <w:bCs/>
          <w:color w:val="auto"/>
          <w:sz w:val="52"/>
          <w:szCs w:val="52"/>
          <w:highlight w:val="none"/>
          <w:lang w:val="en-US" w:eastAsia="zh-CN"/>
        </w:rPr>
      </w:pPr>
      <w:r>
        <w:rPr>
          <w:rFonts w:hint="eastAsia" w:ascii="宋体" w:hAnsi="宋体" w:eastAsia="宋体"/>
          <w:b/>
          <w:bCs/>
          <w:color w:val="auto"/>
          <w:sz w:val="52"/>
          <w:szCs w:val="52"/>
          <w:highlight w:val="none"/>
          <w:lang w:val="en-US" w:eastAsia="zh-CN"/>
        </w:rPr>
        <w:t>公开招标文件（货物类）</w:t>
      </w:r>
    </w:p>
    <w:p w14:paraId="69D9A3A8">
      <w:pPr>
        <w:tabs>
          <w:tab w:val="left" w:pos="315"/>
          <w:tab w:val="left" w:pos="8820"/>
        </w:tabs>
        <w:spacing w:before="312" w:beforeLines="100" w:after="156" w:afterLines="50" w:line="240" w:lineRule="auto"/>
        <w:ind w:right="267" w:rightChars="127"/>
        <w:jc w:val="center"/>
        <w:rPr>
          <w:rFonts w:hint="eastAsia" w:ascii="宋体" w:hAnsi="宋体" w:eastAsia="宋体"/>
          <w:b/>
          <w:bCs/>
          <w:color w:val="auto"/>
          <w:sz w:val="52"/>
          <w:szCs w:val="52"/>
          <w:highlight w:val="none"/>
          <w:lang w:val="en-US" w:eastAsia="zh-CN"/>
        </w:rPr>
      </w:pPr>
      <w:r>
        <w:rPr>
          <w:rFonts w:hint="eastAsia" w:ascii="宋体" w:hAnsi="宋体" w:eastAsia="宋体"/>
          <w:b/>
          <w:bCs/>
          <w:color w:val="auto"/>
          <w:sz w:val="52"/>
          <w:szCs w:val="52"/>
          <w:highlight w:val="none"/>
          <w:lang w:val="en-US" w:eastAsia="zh-CN"/>
        </w:rPr>
        <w:t>（2026年版）</w:t>
      </w:r>
    </w:p>
    <w:p w14:paraId="26EDA570">
      <w:pPr>
        <w:tabs>
          <w:tab w:val="left" w:pos="315"/>
          <w:tab w:val="left" w:pos="8820"/>
        </w:tabs>
        <w:spacing w:before="312" w:beforeLines="100" w:after="156" w:afterLines="50" w:line="240" w:lineRule="auto"/>
        <w:ind w:right="267" w:rightChars="127"/>
        <w:jc w:val="center"/>
        <w:rPr>
          <w:rFonts w:hint="eastAsia" w:ascii="宋体" w:hAnsi="宋体" w:eastAsia="宋体"/>
          <w:b/>
          <w:bCs/>
          <w:color w:val="auto"/>
          <w:sz w:val="52"/>
          <w:szCs w:val="52"/>
          <w:highlight w:val="none"/>
          <w:lang w:val="en-US" w:eastAsia="zh-CN"/>
        </w:rPr>
      </w:pPr>
    </w:p>
    <w:p w14:paraId="2427A330">
      <w:pPr>
        <w:tabs>
          <w:tab w:val="left" w:pos="315"/>
          <w:tab w:val="left" w:pos="8820"/>
        </w:tabs>
        <w:spacing w:before="312" w:beforeLines="100" w:after="156" w:afterLines="50" w:line="240" w:lineRule="auto"/>
        <w:ind w:right="267" w:rightChars="127"/>
        <w:jc w:val="center"/>
        <w:rPr>
          <w:rFonts w:hint="default" w:ascii="宋体" w:hAnsi="宋体" w:eastAsia="宋体"/>
          <w:b/>
          <w:bCs/>
          <w:color w:val="auto"/>
          <w:sz w:val="52"/>
          <w:szCs w:val="52"/>
          <w:highlight w:val="none"/>
          <w:lang w:val="en-US" w:eastAsia="zh-CN"/>
        </w:rPr>
      </w:pPr>
    </w:p>
    <w:p w14:paraId="31212FBB">
      <w:pPr>
        <w:tabs>
          <w:tab w:val="left" w:pos="315"/>
          <w:tab w:val="left" w:pos="8820"/>
        </w:tabs>
        <w:spacing w:before="312" w:beforeLines="100" w:after="156" w:afterLines="50" w:line="240" w:lineRule="auto"/>
        <w:ind w:right="267" w:rightChars="127"/>
        <w:jc w:val="center"/>
        <w:rPr>
          <w:rFonts w:hint="default" w:ascii="宋体" w:hAnsi="宋体" w:eastAsia="宋体"/>
          <w:b/>
          <w:bCs/>
          <w:color w:val="auto"/>
          <w:sz w:val="52"/>
          <w:szCs w:val="52"/>
          <w:highlight w:val="none"/>
          <w:lang w:val="en-US" w:eastAsia="zh-CN"/>
        </w:rPr>
      </w:pPr>
    </w:p>
    <w:p w14:paraId="18394CB4">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1C9E32B4">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52F95742">
      <w:pPr>
        <w:tabs>
          <w:tab w:val="left" w:pos="2410"/>
        </w:tabs>
        <w:autoSpaceDE w:val="0"/>
        <w:autoSpaceDN w:val="0"/>
        <w:adjustRightInd w:val="0"/>
        <w:snapToGrid w:val="0"/>
        <w:spacing w:line="360" w:lineRule="auto"/>
        <w:ind w:left="0" w:leftChars="0" w:firstLine="419" w:firstLineChars="116"/>
        <w:rPr>
          <w:rFonts w:hint="default" w:ascii="宋体" w:hAnsi="宋体" w:eastAsia="宋体"/>
          <w:b/>
          <w:color w:val="auto"/>
          <w:spacing w:val="20"/>
          <w:kern w:val="0"/>
          <w:sz w:val="32"/>
          <w:szCs w:val="32"/>
          <w:highlight w:val="non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val="en-US" w:eastAsia="zh-CN"/>
        </w:rPr>
        <w:t>宿州市立医院儿童电子支气管镜采购项目</w:t>
      </w:r>
    </w:p>
    <w:p w14:paraId="136607DE">
      <w:pPr>
        <w:tabs>
          <w:tab w:val="left" w:pos="2410"/>
        </w:tabs>
        <w:autoSpaceDE w:val="0"/>
        <w:autoSpaceDN w:val="0"/>
        <w:adjustRightInd w:val="0"/>
        <w:snapToGrid w:val="0"/>
        <w:spacing w:line="360" w:lineRule="auto"/>
        <w:ind w:left="0" w:leftChars="0" w:firstLine="419" w:firstLineChars="116"/>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lang w:val="en-US" w:eastAsia="zh-CN"/>
        </w:rPr>
        <w:t>EP-SZQT2026XXX</w:t>
      </w:r>
    </w:p>
    <w:p w14:paraId="440F1F7C">
      <w:pPr>
        <w:tabs>
          <w:tab w:val="left" w:pos="2410"/>
        </w:tabs>
        <w:autoSpaceDE w:val="0"/>
        <w:autoSpaceDN w:val="0"/>
        <w:adjustRightInd w:val="0"/>
        <w:snapToGrid w:val="0"/>
        <w:spacing w:line="360" w:lineRule="auto"/>
        <w:ind w:left="0" w:leftChars="0" w:firstLine="419" w:firstLineChars="116"/>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lang w:val="en-US" w:eastAsia="zh-CN"/>
        </w:rPr>
        <w:t>安徽省宿州市立医院</w:t>
      </w:r>
    </w:p>
    <w:p w14:paraId="11DFA3CE">
      <w:pPr>
        <w:tabs>
          <w:tab w:val="left" w:pos="2410"/>
        </w:tabs>
        <w:autoSpaceDE w:val="0"/>
        <w:autoSpaceDN w:val="0"/>
        <w:adjustRightInd w:val="0"/>
        <w:snapToGrid w:val="0"/>
        <w:spacing w:line="360" w:lineRule="auto"/>
        <w:ind w:left="0" w:leftChars="0" w:firstLine="419" w:firstLineChars="116"/>
        <w:rPr>
          <w:rFonts w:hint="default" w:ascii="宋体" w:hAnsi="宋体" w:eastAsia="宋体"/>
          <w:b/>
          <w:color w:val="auto"/>
          <w:spacing w:val="20"/>
          <w:kern w:val="0"/>
          <w:sz w:val="32"/>
          <w:szCs w:val="32"/>
          <w:highlight w:val="none"/>
          <w:lang w:val="en-US"/>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rPr>
        <w:t>安徽省招标集团股份有限公司</w:t>
      </w:r>
    </w:p>
    <w:p w14:paraId="00B62AC9">
      <w:pPr>
        <w:tabs>
          <w:tab w:val="left" w:pos="2410"/>
        </w:tabs>
        <w:autoSpaceDE w:val="0"/>
        <w:autoSpaceDN w:val="0"/>
        <w:adjustRightInd w:val="0"/>
        <w:snapToGrid w:val="0"/>
        <w:spacing w:line="360" w:lineRule="auto"/>
        <w:jc w:val="center"/>
        <w:rPr>
          <w:rFonts w:hint="eastAsia" w:ascii="宋体" w:hAnsi="宋体" w:eastAsia="宋体"/>
          <w:b/>
          <w:color w:val="auto"/>
          <w:sz w:val="32"/>
          <w:szCs w:val="32"/>
          <w:highlight w:val="none"/>
        </w:rPr>
      </w:pPr>
      <w:r>
        <w:rPr>
          <w:rFonts w:hint="eastAsia" w:ascii="宋体" w:hAnsi="宋体" w:eastAsia="宋体"/>
          <w:b/>
          <w:color w:val="auto"/>
          <w:sz w:val="32"/>
          <w:szCs w:val="32"/>
          <w:highlight w:val="none"/>
          <w:u w:val="single"/>
          <w:lang w:val="en-US" w:eastAsia="zh-CN"/>
        </w:rPr>
        <w:t xml:space="preserve"> 2026 </w:t>
      </w:r>
      <w:r>
        <w:rPr>
          <w:rFonts w:hint="eastAsia" w:ascii="宋体" w:hAnsi="宋体" w:eastAsia="宋体"/>
          <w:b/>
          <w:color w:val="auto"/>
          <w:sz w:val="32"/>
          <w:szCs w:val="32"/>
          <w:highlight w:val="none"/>
        </w:rPr>
        <w:t>年</w:t>
      </w:r>
      <w:r>
        <w:rPr>
          <w:rFonts w:hint="eastAsia" w:ascii="宋体" w:hAnsi="宋体" w:eastAsia="宋体"/>
          <w:b/>
          <w:color w:val="auto"/>
          <w:sz w:val="32"/>
          <w:szCs w:val="32"/>
          <w:highlight w:val="none"/>
          <w:u w:val="single"/>
          <w:lang w:val="en-US" w:eastAsia="zh-CN"/>
        </w:rPr>
        <w:t xml:space="preserve"> 8 </w:t>
      </w:r>
      <w:r>
        <w:rPr>
          <w:rFonts w:hint="eastAsia" w:ascii="宋体" w:hAnsi="宋体" w:eastAsia="宋体"/>
          <w:b/>
          <w:color w:val="auto"/>
          <w:sz w:val="32"/>
          <w:szCs w:val="32"/>
          <w:highlight w:val="none"/>
        </w:rPr>
        <w:t>月</w:t>
      </w:r>
    </w:p>
    <w:p w14:paraId="33E1F0EF">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ascii="宋体" w:hAnsi="宋体" w:eastAsia="宋体"/>
          <w:b/>
          <w:color w:val="auto"/>
          <w:sz w:val="36"/>
          <w:highlight w:val="none"/>
        </w:rPr>
        <w:br w:type="page"/>
      </w:r>
    </w:p>
    <w:p w14:paraId="61384983">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sdt>
      <w:sdtPr>
        <w:rPr>
          <w:rFonts w:ascii="宋体" w:hAnsi="宋体" w:eastAsia="宋体" w:cs="@仿宋_GB2312"/>
          <w:color w:val="auto"/>
          <w:kern w:val="2"/>
          <w:sz w:val="21"/>
          <w:lang w:val="en-US" w:eastAsia="zh-CN" w:bidi="ar-SA"/>
        </w:rPr>
        <w:id w:val="147475229"/>
        <w15:color w:val="DBDBDB"/>
        <w:docPartObj>
          <w:docPartGallery w:val="Table of Contents"/>
          <w:docPartUnique/>
        </w:docPartObj>
      </w:sdtPr>
      <w:sdtEndPr>
        <w:rPr>
          <w:rFonts w:ascii="@微软简标宋" w:hAnsi="@微软简标宋" w:eastAsia="@微软简标宋" w:cs="@微软简标宋"/>
          <w:color w:val="auto"/>
          <w:kern w:val="2"/>
          <w:sz w:val="21"/>
          <w:szCs w:val="24"/>
          <w:highlight w:val="none"/>
          <w:lang w:val="zh-CN" w:eastAsia="zh-CN" w:bidi="ar-SA"/>
        </w:rPr>
      </w:sdtEndPr>
      <w:sdtContent>
        <w:p w14:paraId="6C7D9612">
          <w:pPr>
            <w:spacing w:before="0" w:beforeLines="0" w:after="0" w:afterLines="0" w:line="240" w:lineRule="auto"/>
            <w:ind w:left="0" w:leftChars="0" w:right="0" w:rightChars="0" w:firstLine="0" w:firstLineChars="0"/>
            <w:jc w:val="center"/>
            <w:rPr>
              <w:color w:val="auto"/>
            </w:rPr>
          </w:pPr>
        </w:p>
        <w:p w14:paraId="346BD716">
          <w:pPr>
            <w:pStyle w:val="17"/>
            <w:tabs>
              <w:tab w:val="right" w:leader="dot" w:pos="8306"/>
            </w:tabs>
            <w:rPr>
              <w:color w:val="auto"/>
            </w:rPr>
          </w:pPr>
          <w:r>
            <w:rPr>
              <w:rFonts w:ascii="@微软简标宋" w:hAnsi="@微软简标宋" w:eastAsia="@微软简标宋" w:cs="@微软简标宋"/>
              <w:color w:val="auto"/>
              <w:kern w:val="2"/>
              <w:sz w:val="21"/>
              <w:szCs w:val="24"/>
              <w:highlight w:val="none"/>
              <w:lang w:val="zh-CN" w:eastAsia="zh-CN" w:bidi="ar-SA"/>
            </w:rPr>
            <w:fldChar w:fldCharType="begin"/>
          </w:r>
          <w:r>
            <w:rPr>
              <w:rFonts w:ascii="@微软简标宋" w:hAnsi="@微软简标宋" w:eastAsia="@微软简标宋" w:cs="@微软简标宋"/>
              <w:color w:val="auto"/>
              <w:kern w:val="2"/>
              <w:sz w:val="21"/>
              <w:szCs w:val="24"/>
              <w:highlight w:val="none"/>
              <w:lang w:val="zh-CN" w:eastAsia="zh-CN" w:bidi="ar-SA"/>
            </w:rPr>
            <w:instrText xml:space="preserve">TOC \o "1-1" \h \u </w:instrText>
          </w:r>
          <w:r>
            <w:rPr>
              <w:rFonts w:ascii="@微软简标宋" w:hAnsi="@微软简标宋" w:eastAsia="@微软简标宋" w:cs="@微软简标宋"/>
              <w:color w:val="auto"/>
              <w:kern w:val="2"/>
              <w:sz w:val="21"/>
              <w:szCs w:val="24"/>
              <w:highlight w:val="none"/>
              <w:lang w:val="zh-CN" w:eastAsia="zh-CN" w:bidi="ar-SA"/>
            </w:rPr>
            <w:fldChar w:fldCharType="separate"/>
          </w:r>
          <w:r>
            <w:rPr>
              <w:rFonts w:ascii="@微软简标宋" w:hAnsi="@微软简标宋" w:eastAsia="@微软简标宋" w:cs="@微软简标宋"/>
              <w:color w:val="auto"/>
              <w:kern w:val="2"/>
              <w:szCs w:val="24"/>
              <w:highlight w:val="none"/>
              <w:lang w:val="zh-CN" w:eastAsia="zh-CN" w:bidi="ar-SA"/>
            </w:rPr>
            <w:fldChar w:fldCharType="begin"/>
          </w:r>
          <w:r>
            <w:rPr>
              <w:rFonts w:ascii="@微软简标宋" w:hAnsi="@微软简标宋" w:eastAsia="@微软简标宋" w:cs="@微软简标宋"/>
              <w:color w:val="auto"/>
              <w:kern w:val="2"/>
              <w:szCs w:val="24"/>
              <w:highlight w:val="none"/>
              <w:lang w:val="zh-CN" w:eastAsia="zh-CN" w:bidi="ar-SA"/>
            </w:rPr>
            <w:instrText xml:space="preserve"> HYPERLINK \l _Toc14290 </w:instrText>
          </w:r>
          <w:r>
            <w:rPr>
              <w:rFonts w:ascii="@微软简标宋" w:hAnsi="@微软简标宋" w:eastAsia="@微软简标宋" w:cs="@微软简标宋"/>
              <w:color w:val="auto"/>
              <w:kern w:val="2"/>
              <w:szCs w:val="24"/>
              <w:highlight w:val="none"/>
              <w:lang w:val="zh-CN" w:eastAsia="zh-CN" w:bidi="ar-SA"/>
            </w:rPr>
            <w:fldChar w:fldCharType="separate"/>
          </w:r>
          <w:r>
            <w:rPr>
              <w:rFonts w:hint="eastAsia" w:asciiTheme="minorEastAsia" w:hAnsiTheme="minorEastAsia" w:eastAsiaTheme="minorEastAsia"/>
              <w:color w:val="auto"/>
              <w:highlight w:val="none"/>
            </w:rPr>
            <w:t xml:space="preserve">第一章 </w:t>
          </w:r>
          <w:r>
            <w:rPr>
              <w:rFonts w:asciiTheme="minorEastAsia" w:hAnsiTheme="minorEastAsia" w:eastAsiaTheme="minorEastAsia"/>
              <w:color w:val="auto"/>
              <w:highlight w:val="none"/>
            </w:rPr>
            <w:t xml:space="preserve"> 投标邀请</w:t>
          </w:r>
          <w:r>
            <w:rPr>
              <w:color w:val="auto"/>
            </w:rPr>
            <w:tab/>
          </w:r>
          <w:r>
            <w:rPr>
              <w:color w:val="auto"/>
            </w:rPr>
            <w:fldChar w:fldCharType="begin"/>
          </w:r>
          <w:r>
            <w:rPr>
              <w:color w:val="auto"/>
            </w:rPr>
            <w:instrText xml:space="preserve"> PAGEREF _Toc14290 \h </w:instrText>
          </w:r>
          <w:r>
            <w:rPr>
              <w:color w:val="auto"/>
            </w:rPr>
            <w:fldChar w:fldCharType="separate"/>
          </w:r>
          <w:r>
            <w:rPr>
              <w:color w:val="auto"/>
            </w:rPr>
            <w:t>3</w:t>
          </w:r>
          <w:r>
            <w:rPr>
              <w:color w:val="auto"/>
            </w:rPr>
            <w:fldChar w:fldCharType="end"/>
          </w:r>
          <w:r>
            <w:rPr>
              <w:rFonts w:ascii="@微软简标宋" w:hAnsi="@微软简标宋" w:eastAsia="@微软简标宋" w:cs="@微软简标宋"/>
              <w:color w:val="auto"/>
              <w:kern w:val="2"/>
              <w:szCs w:val="24"/>
              <w:highlight w:val="none"/>
              <w:lang w:val="zh-CN" w:eastAsia="zh-CN" w:bidi="ar-SA"/>
            </w:rPr>
            <w:fldChar w:fldCharType="end"/>
          </w:r>
        </w:p>
        <w:p w14:paraId="2312F225">
          <w:pPr>
            <w:pStyle w:val="17"/>
            <w:tabs>
              <w:tab w:val="right" w:leader="dot" w:pos="8306"/>
            </w:tabs>
            <w:rPr>
              <w:color w:val="auto"/>
            </w:rPr>
          </w:pPr>
          <w:r>
            <w:rPr>
              <w:rFonts w:ascii="@微软简标宋" w:hAnsi="@微软简标宋" w:eastAsia="@微软简标宋" w:cs="@微软简标宋"/>
              <w:color w:val="auto"/>
              <w:kern w:val="2"/>
              <w:szCs w:val="24"/>
              <w:highlight w:val="none"/>
              <w:lang w:val="zh-CN" w:eastAsia="zh-CN" w:bidi="ar-SA"/>
            </w:rPr>
            <w:fldChar w:fldCharType="begin"/>
          </w:r>
          <w:r>
            <w:rPr>
              <w:rFonts w:ascii="@微软简标宋" w:hAnsi="@微软简标宋" w:eastAsia="@微软简标宋" w:cs="@微软简标宋"/>
              <w:color w:val="auto"/>
              <w:kern w:val="2"/>
              <w:szCs w:val="24"/>
              <w:highlight w:val="none"/>
              <w:lang w:val="zh-CN" w:eastAsia="zh-CN" w:bidi="ar-SA"/>
            </w:rPr>
            <w:instrText xml:space="preserve"> HYPERLINK \l _Toc22438 </w:instrText>
          </w:r>
          <w:r>
            <w:rPr>
              <w:rFonts w:ascii="@微软简标宋" w:hAnsi="@微软简标宋" w:eastAsia="@微软简标宋" w:cs="@微软简标宋"/>
              <w:color w:val="auto"/>
              <w:kern w:val="2"/>
              <w:szCs w:val="24"/>
              <w:highlight w:val="none"/>
              <w:lang w:val="zh-CN" w:eastAsia="zh-CN" w:bidi="ar-SA"/>
            </w:rPr>
            <w:fldChar w:fldCharType="separate"/>
          </w:r>
          <w:r>
            <w:rPr>
              <w:rFonts w:hint="eastAsia" w:asciiTheme="minorEastAsia" w:hAnsiTheme="minorEastAsia" w:eastAsiaTheme="minorEastAsia"/>
              <w:color w:val="auto"/>
              <w:highlight w:val="none"/>
            </w:rPr>
            <w:t>第二章</w:t>
          </w:r>
          <w:r>
            <w:rPr>
              <w:rFonts w:asciiTheme="minorEastAsia" w:hAnsiTheme="minorEastAsia" w:eastAsiaTheme="minorEastAsia"/>
              <w:color w:val="auto"/>
              <w:highlight w:val="none"/>
            </w:rPr>
            <w:t xml:space="preserve"> </w:t>
          </w:r>
          <w:r>
            <w:rPr>
              <w:rFonts w:hint="eastAsia" w:asciiTheme="minorEastAsia" w:hAnsiTheme="minorEastAsia" w:eastAsiaTheme="minorEastAsia"/>
              <w:color w:val="auto"/>
              <w:highlight w:val="none"/>
            </w:rPr>
            <w:t xml:space="preserve"> </w:t>
          </w:r>
          <w:r>
            <w:rPr>
              <w:rFonts w:asciiTheme="minorEastAsia" w:hAnsiTheme="minorEastAsia" w:eastAsiaTheme="minorEastAsia"/>
              <w:color w:val="auto"/>
              <w:highlight w:val="none"/>
            </w:rPr>
            <w:t>投标人须知</w:t>
          </w:r>
          <w:r>
            <w:rPr>
              <w:color w:val="auto"/>
            </w:rPr>
            <w:tab/>
          </w:r>
          <w:r>
            <w:rPr>
              <w:color w:val="auto"/>
            </w:rPr>
            <w:fldChar w:fldCharType="begin"/>
          </w:r>
          <w:r>
            <w:rPr>
              <w:color w:val="auto"/>
            </w:rPr>
            <w:instrText xml:space="preserve"> PAGEREF _Toc22438 \h </w:instrText>
          </w:r>
          <w:r>
            <w:rPr>
              <w:color w:val="auto"/>
            </w:rPr>
            <w:fldChar w:fldCharType="separate"/>
          </w:r>
          <w:r>
            <w:rPr>
              <w:color w:val="auto"/>
            </w:rPr>
            <w:t>7</w:t>
          </w:r>
          <w:r>
            <w:rPr>
              <w:color w:val="auto"/>
            </w:rPr>
            <w:fldChar w:fldCharType="end"/>
          </w:r>
          <w:r>
            <w:rPr>
              <w:rFonts w:ascii="@微软简标宋" w:hAnsi="@微软简标宋" w:eastAsia="@微软简标宋" w:cs="@微软简标宋"/>
              <w:color w:val="auto"/>
              <w:kern w:val="2"/>
              <w:szCs w:val="24"/>
              <w:highlight w:val="none"/>
              <w:lang w:val="zh-CN" w:eastAsia="zh-CN" w:bidi="ar-SA"/>
            </w:rPr>
            <w:fldChar w:fldCharType="end"/>
          </w:r>
        </w:p>
        <w:p w14:paraId="60A9D81D">
          <w:pPr>
            <w:pStyle w:val="17"/>
            <w:tabs>
              <w:tab w:val="right" w:leader="dot" w:pos="8306"/>
            </w:tabs>
            <w:rPr>
              <w:color w:val="auto"/>
            </w:rPr>
          </w:pPr>
          <w:r>
            <w:rPr>
              <w:rFonts w:ascii="@微软简标宋" w:hAnsi="@微软简标宋" w:eastAsia="@微软简标宋" w:cs="@微软简标宋"/>
              <w:color w:val="auto"/>
              <w:kern w:val="2"/>
              <w:szCs w:val="24"/>
              <w:highlight w:val="none"/>
              <w:lang w:val="zh-CN" w:eastAsia="zh-CN" w:bidi="ar-SA"/>
            </w:rPr>
            <w:fldChar w:fldCharType="begin"/>
          </w:r>
          <w:r>
            <w:rPr>
              <w:rFonts w:ascii="@微软简标宋" w:hAnsi="@微软简标宋" w:eastAsia="@微软简标宋" w:cs="@微软简标宋"/>
              <w:color w:val="auto"/>
              <w:kern w:val="2"/>
              <w:szCs w:val="24"/>
              <w:highlight w:val="none"/>
              <w:lang w:val="zh-CN" w:eastAsia="zh-CN" w:bidi="ar-SA"/>
            </w:rPr>
            <w:instrText xml:space="preserve"> HYPERLINK \l _Toc16690 </w:instrText>
          </w:r>
          <w:r>
            <w:rPr>
              <w:rFonts w:ascii="@微软简标宋" w:hAnsi="@微软简标宋" w:eastAsia="@微软简标宋" w:cs="@微软简标宋"/>
              <w:color w:val="auto"/>
              <w:kern w:val="2"/>
              <w:szCs w:val="24"/>
              <w:highlight w:val="none"/>
              <w:lang w:val="zh-CN" w:eastAsia="zh-CN" w:bidi="ar-SA"/>
            </w:rPr>
            <w:fldChar w:fldCharType="separate"/>
          </w:r>
          <w:r>
            <w:rPr>
              <w:rFonts w:hint="eastAsia" w:asciiTheme="minorEastAsia" w:hAnsiTheme="minorEastAsia" w:eastAsiaTheme="minorEastAsia"/>
              <w:color w:val="auto"/>
              <w:highlight w:val="none"/>
            </w:rPr>
            <w:t>第三章  采购需求</w:t>
          </w:r>
          <w:r>
            <w:rPr>
              <w:color w:val="auto"/>
            </w:rPr>
            <w:tab/>
          </w:r>
          <w:r>
            <w:rPr>
              <w:color w:val="auto"/>
            </w:rPr>
            <w:fldChar w:fldCharType="begin"/>
          </w:r>
          <w:r>
            <w:rPr>
              <w:color w:val="auto"/>
            </w:rPr>
            <w:instrText xml:space="preserve"> PAGEREF _Toc16690 \h </w:instrText>
          </w:r>
          <w:r>
            <w:rPr>
              <w:color w:val="auto"/>
            </w:rPr>
            <w:fldChar w:fldCharType="separate"/>
          </w:r>
          <w:r>
            <w:rPr>
              <w:color w:val="auto"/>
            </w:rPr>
            <w:t>23</w:t>
          </w:r>
          <w:r>
            <w:rPr>
              <w:color w:val="auto"/>
            </w:rPr>
            <w:fldChar w:fldCharType="end"/>
          </w:r>
          <w:r>
            <w:rPr>
              <w:rFonts w:ascii="@微软简标宋" w:hAnsi="@微软简标宋" w:eastAsia="@微软简标宋" w:cs="@微软简标宋"/>
              <w:color w:val="auto"/>
              <w:kern w:val="2"/>
              <w:szCs w:val="24"/>
              <w:highlight w:val="none"/>
              <w:lang w:val="zh-CN" w:eastAsia="zh-CN" w:bidi="ar-SA"/>
            </w:rPr>
            <w:fldChar w:fldCharType="end"/>
          </w:r>
        </w:p>
        <w:p w14:paraId="69CF705D">
          <w:pPr>
            <w:pStyle w:val="17"/>
            <w:tabs>
              <w:tab w:val="right" w:leader="dot" w:pos="8306"/>
            </w:tabs>
            <w:rPr>
              <w:color w:val="auto"/>
            </w:rPr>
          </w:pPr>
          <w:r>
            <w:rPr>
              <w:rFonts w:ascii="@微软简标宋" w:hAnsi="@微软简标宋" w:eastAsia="@微软简标宋" w:cs="@微软简标宋"/>
              <w:color w:val="auto"/>
              <w:kern w:val="2"/>
              <w:szCs w:val="24"/>
              <w:highlight w:val="none"/>
              <w:lang w:val="zh-CN" w:eastAsia="zh-CN" w:bidi="ar-SA"/>
            </w:rPr>
            <w:fldChar w:fldCharType="begin"/>
          </w:r>
          <w:r>
            <w:rPr>
              <w:rFonts w:ascii="@微软简标宋" w:hAnsi="@微软简标宋" w:eastAsia="@微软简标宋" w:cs="@微软简标宋"/>
              <w:color w:val="auto"/>
              <w:kern w:val="2"/>
              <w:szCs w:val="24"/>
              <w:highlight w:val="none"/>
              <w:lang w:val="zh-CN" w:eastAsia="zh-CN" w:bidi="ar-SA"/>
            </w:rPr>
            <w:instrText xml:space="preserve"> HYPERLINK \l _Toc14819 </w:instrText>
          </w:r>
          <w:r>
            <w:rPr>
              <w:rFonts w:ascii="@微软简标宋" w:hAnsi="@微软简标宋" w:eastAsia="@微软简标宋" w:cs="@微软简标宋"/>
              <w:color w:val="auto"/>
              <w:kern w:val="2"/>
              <w:szCs w:val="24"/>
              <w:highlight w:val="none"/>
              <w:lang w:val="zh-CN" w:eastAsia="zh-CN" w:bidi="ar-SA"/>
            </w:rPr>
            <w:fldChar w:fldCharType="separate"/>
          </w:r>
          <w:r>
            <w:rPr>
              <w:rFonts w:hint="eastAsia" w:asciiTheme="minorEastAsia" w:hAnsiTheme="minorEastAsia" w:eastAsiaTheme="minorEastAsia"/>
              <w:color w:val="auto"/>
              <w:highlight w:val="none"/>
            </w:rPr>
            <w:t>第四章  评标方法和标准（综合评分法）</w:t>
          </w:r>
          <w:r>
            <w:rPr>
              <w:color w:val="auto"/>
            </w:rPr>
            <w:tab/>
          </w:r>
          <w:r>
            <w:rPr>
              <w:color w:val="auto"/>
            </w:rPr>
            <w:fldChar w:fldCharType="begin"/>
          </w:r>
          <w:r>
            <w:rPr>
              <w:color w:val="auto"/>
            </w:rPr>
            <w:instrText xml:space="preserve"> PAGEREF _Toc14819 \h </w:instrText>
          </w:r>
          <w:r>
            <w:rPr>
              <w:color w:val="auto"/>
            </w:rPr>
            <w:fldChar w:fldCharType="separate"/>
          </w:r>
          <w:r>
            <w:rPr>
              <w:color w:val="auto"/>
            </w:rPr>
            <w:t>30</w:t>
          </w:r>
          <w:r>
            <w:rPr>
              <w:color w:val="auto"/>
            </w:rPr>
            <w:fldChar w:fldCharType="end"/>
          </w:r>
          <w:r>
            <w:rPr>
              <w:rFonts w:ascii="@微软简标宋" w:hAnsi="@微软简标宋" w:eastAsia="@微软简标宋" w:cs="@微软简标宋"/>
              <w:color w:val="auto"/>
              <w:kern w:val="2"/>
              <w:szCs w:val="24"/>
              <w:highlight w:val="none"/>
              <w:lang w:val="zh-CN" w:eastAsia="zh-CN" w:bidi="ar-SA"/>
            </w:rPr>
            <w:fldChar w:fldCharType="end"/>
          </w:r>
        </w:p>
        <w:p w14:paraId="351698F7">
          <w:pPr>
            <w:pStyle w:val="17"/>
            <w:tabs>
              <w:tab w:val="right" w:leader="dot" w:pos="8306"/>
            </w:tabs>
            <w:rPr>
              <w:color w:val="auto"/>
            </w:rPr>
          </w:pPr>
          <w:r>
            <w:rPr>
              <w:rFonts w:ascii="@微软简标宋" w:hAnsi="@微软简标宋" w:eastAsia="@微软简标宋" w:cs="@微软简标宋"/>
              <w:color w:val="auto"/>
              <w:kern w:val="2"/>
              <w:szCs w:val="24"/>
              <w:highlight w:val="none"/>
              <w:lang w:val="zh-CN" w:eastAsia="zh-CN" w:bidi="ar-SA"/>
            </w:rPr>
            <w:fldChar w:fldCharType="begin"/>
          </w:r>
          <w:r>
            <w:rPr>
              <w:rFonts w:ascii="@微软简标宋" w:hAnsi="@微软简标宋" w:eastAsia="@微软简标宋" w:cs="@微软简标宋"/>
              <w:color w:val="auto"/>
              <w:kern w:val="2"/>
              <w:szCs w:val="24"/>
              <w:highlight w:val="none"/>
              <w:lang w:val="zh-CN" w:eastAsia="zh-CN" w:bidi="ar-SA"/>
            </w:rPr>
            <w:instrText xml:space="preserve"> HYPERLINK \l _Toc16004 </w:instrText>
          </w:r>
          <w:r>
            <w:rPr>
              <w:rFonts w:ascii="@微软简标宋" w:hAnsi="@微软简标宋" w:eastAsia="@微软简标宋" w:cs="@微软简标宋"/>
              <w:color w:val="auto"/>
              <w:kern w:val="2"/>
              <w:szCs w:val="24"/>
              <w:highlight w:val="none"/>
              <w:lang w:val="zh-CN" w:eastAsia="zh-CN" w:bidi="ar-SA"/>
            </w:rPr>
            <w:fldChar w:fldCharType="separate"/>
          </w:r>
          <w:r>
            <w:rPr>
              <w:rFonts w:hint="eastAsia" w:asciiTheme="minorEastAsia" w:hAnsiTheme="minorEastAsia" w:eastAsiaTheme="minorEastAsia"/>
              <w:color w:val="auto"/>
              <w:highlight w:val="none"/>
            </w:rPr>
            <w:t xml:space="preserve">第五章  </w:t>
          </w:r>
          <w:r>
            <w:rPr>
              <w:rFonts w:asciiTheme="minorEastAsia" w:hAnsiTheme="minorEastAsia" w:eastAsiaTheme="minorEastAsia"/>
              <w:color w:val="auto"/>
              <w:highlight w:val="none"/>
            </w:rPr>
            <w:t>采购合同</w:t>
          </w:r>
          <w:r>
            <w:rPr>
              <w:color w:val="auto"/>
            </w:rPr>
            <w:tab/>
          </w:r>
          <w:r>
            <w:rPr>
              <w:color w:val="auto"/>
            </w:rPr>
            <w:fldChar w:fldCharType="begin"/>
          </w:r>
          <w:r>
            <w:rPr>
              <w:color w:val="auto"/>
            </w:rPr>
            <w:instrText xml:space="preserve"> PAGEREF _Toc16004 \h </w:instrText>
          </w:r>
          <w:r>
            <w:rPr>
              <w:color w:val="auto"/>
            </w:rPr>
            <w:fldChar w:fldCharType="separate"/>
          </w:r>
          <w:r>
            <w:rPr>
              <w:color w:val="auto"/>
            </w:rPr>
            <w:t>37</w:t>
          </w:r>
          <w:r>
            <w:rPr>
              <w:color w:val="auto"/>
            </w:rPr>
            <w:fldChar w:fldCharType="end"/>
          </w:r>
          <w:r>
            <w:rPr>
              <w:rFonts w:ascii="@微软简标宋" w:hAnsi="@微软简标宋" w:eastAsia="@微软简标宋" w:cs="@微软简标宋"/>
              <w:color w:val="auto"/>
              <w:kern w:val="2"/>
              <w:szCs w:val="24"/>
              <w:highlight w:val="none"/>
              <w:lang w:val="zh-CN" w:eastAsia="zh-CN" w:bidi="ar-SA"/>
            </w:rPr>
            <w:fldChar w:fldCharType="end"/>
          </w:r>
        </w:p>
        <w:p w14:paraId="759E4778">
          <w:pPr>
            <w:pStyle w:val="17"/>
            <w:tabs>
              <w:tab w:val="right" w:leader="dot" w:pos="8306"/>
            </w:tabs>
            <w:rPr>
              <w:color w:val="auto"/>
            </w:rPr>
          </w:pPr>
          <w:r>
            <w:rPr>
              <w:rFonts w:ascii="@微软简标宋" w:hAnsi="@微软简标宋" w:eastAsia="@微软简标宋" w:cs="@微软简标宋"/>
              <w:color w:val="auto"/>
              <w:kern w:val="2"/>
              <w:szCs w:val="24"/>
              <w:highlight w:val="none"/>
              <w:lang w:val="zh-CN" w:eastAsia="zh-CN" w:bidi="ar-SA"/>
            </w:rPr>
            <w:fldChar w:fldCharType="begin"/>
          </w:r>
          <w:r>
            <w:rPr>
              <w:rFonts w:ascii="@微软简标宋" w:hAnsi="@微软简标宋" w:eastAsia="@微软简标宋" w:cs="@微软简标宋"/>
              <w:color w:val="auto"/>
              <w:kern w:val="2"/>
              <w:szCs w:val="24"/>
              <w:highlight w:val="none"/>
              <w:lang w:val="zh-CN" w:eastAsia="zh-CN" w:bidi="ar-SA"/>
            </w:rPr>
            <w:instrText xml:space="preserve"> HYPERLINK \l _Toc30838 </w:instrText>
          </w:r>
          <w:r>
            <w:rPr>
              <w:rFonts w:ascii="@微软简标宋" w:hAnsi="@微软简标宋" w:eastAsia="@微软简标宋" w:cs="@微软简标宋"/>
              <w:color w:val="auto"/>
              <w:kern w:val="2"/>
              <w:szCs w:val="24"/>
              <w:highlight w:val="none"/>
              <w:lang w:val="zh-CN" w:eastAsia="zh-CN" w:bidi="ar-SA"/>
            </w:rPr>
            <w:fldChar w:fldCharType="separate"/>
          </w:r>
          <w:r>
            <w:rPr>
              <w:rFonts w:hint="eastAsia" w:asciiTheme="minorEastAsia" w:hAnsiTheme="minorEastAsia" w:eastAsiaTheme="minorEastAsia"/>
              <w:color w:val="auto"/>
              <w:highlight w:val="none"/>
            </w:rPr>
            <w:t>第六章  投标文件格式</w:t>
          </w:r>
          <w:r>
            <w:rPr>
              <w:color w:val="auto"/>
            </w:rPr>
            <w:tab/>
          </w:r>
          <w:r>
            <w:rPr>
              <w:color w:val="auto"/>
            </w:rPr>
            <w:fldChar w:fldCharType="begin"/>
          </w:r>
          <w:r>
            <w:rPr>
              <w:color w:val="auto"/>
            </w:rPr>
            <w:instrText xml:space="preserve"> PAGEREF _Toc30838 \h </w:instrText>
          </w:r>
          <w:r>
            <w:rPr>
              <w:color w:val="auto"/>
            </w:rPr>
            <w:fldChar w:fldCharType="separate"/>
          </w:r>
          <w:r>
            <w:rPr>
              <w:color w:val="auto"/>
            </w:rPr>
            <w:t>54</w:t>
          </w:r>
          <w:r>
            <w:rPr>
              <w:color w:val="auto"/>
            </w:rPr>
            <w:fldChar w:fldCharType="end"/>
          </w:r>
          <w:r>
            <w:rPr>
              <w:rFonts w:ascii="@微软简标宋" w:hAnsi="@微软简标宋" w:eastAsia="@微软简标宋" w:cs="@微软简标宋"/>
              <w:color w:val="auto"/>
              <w:kern w:val="2"/>
              <w:szCs w:val="24"/>
              <w:highlight w:val="none"/>
              <w:lang w:val="zh-CN" w:eastAsia="zh-CN" w:bidi="ar-SA"/>
            </w:rPr>
            <w:fldChar w:fldCharType="end"/>
          </w:r>
        </w:p>
        <w:p w14:paraId="57E56841">
          <w:pPr>
            <w:pStyle w:val="17"/>
            <w:tabs>
              <w:tab w:val="right" w:leader="dot" w:pos="8306"/>
            </w:tabs>
            <w:rPr>
              <w:color w:val="auto"/>
            </w:rPr>
          </w:pPr>
          <w:r>
            <w:rPr>
              <w:rFonts w:ascii="@微软简标宋" w:hAnsi="@微软简标宋" w:eastAsia="@微软简标宋" w:cs="@微软简标宋"/>
              <w:color w:val="auto"/>
              <w:kern w:val="2"/>
              <w:szCs w:val="24"/>
              <w:highlight w:val="none"/>
              <w:lang w:val="zh-CN" w:eastAsia="zh-CN" w:bidi="ar-SA"/>
            </w:rPr>
            <w:fldChar w:fldCharType="begin"/>
          </w:r>
          <w:r>
            <w:rPr>
              <w:rFonts w:ascii="@微软简标宋" w:hAnsi="@微软简标宋" w:eastAsia="@微软简标宋" w:cs="@微软简标宋"/>
              <w:color w:val="auto"/>
              <w:kern w:val="2"/>
              <w:szCs w:val="24"/>
              <w:highlight w:val="none"/>
              <w:lang w:val="zh-CN" w:eastAsia="zh-CN" w:bidi="ar-SA"/>
            </w:rPr>
            <w:instrText xml:space="preserve"> HYPERLINK \l _Toc30549 </w:instrText>
          </w:r>
          <w:r>
            <w:rPr>
              <w:rFonts w:ascii="@微软简标宋" w:hAnsi="@微软简标宋" w:eastAsia="@微软简标宋" w:cs="@微软简标宋"/>
              <w:color w:val="auto"/>
              <w:kern w:val="2"/>
              <w:szCs w:val="24"/>
              <w:highlight w:val="none"/>
              <w:lang w:val="zh-CN" w:eastAsia="zh-CN" w:bidi="ar-SA"/>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宋体" w:hAnsi="宋体" w:eastAsia="宋体"/>
              <w:bCs/>
              <w:color w:val="auto"/>
              <w:highlight w:val="none"/>
            </w:rPr>
            <w:t xml:space="preserve">  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rPr>
            <w:tab/>
          </w:r>
          <w:r>
            <w:rPr>
              <w:color w:val="auto"/>
            </w:rPr>
            <w:fldChar w:fldCharType="begin"/>
          </w:r>
          <w:r>
            <w:rPr>
              <w:color w:val="auto"/>
            </w:rPr>
            <w:instrText xml:space="preserve"> PAGEREF _Toc30549 \h </w:instrText>
          </w:r>
          <w:r>
            <w:rPr>
              <w:color w:val="auto"/>
            </w:rPr>
            <w:fldChar w:fldCharType="separate"/>
          </w:r>
          <w:r>
            <w:rPr>
              <w:color w:val="auto"/>
            </w:rPr>
            <w:t>67</w:t>
          </w:r>
          <w:r>
            <w:rPr>
              <w:color w:val="auto"/>
            </w:rPr>
            <w:fldChar w:fldCharType="end"/>
          </w:r>
          <w:r>
            <w:rPr>
              <w:rFonts w:ascii="@微软简标宋" w:hAnsi="@微软简标宋" w:eastAsia="@微软简标宋" w:cs="@微软简标宋"/>
              <w:color w:val="auto"/>
              <w:kern w:val="2"/>
              <w:szCs w:val="24"/>
              <w:highlight w:val="none"/>
              <w:lang w:val="zh-CN" w:eastAsia="zh-CN" w:bidi="ar-SA"/>
            </w:rPr>
            <w:fldChar w:fldCharType="end"/>
          </w:r>
        </w:p>
        <w:p w14:paraId="263DE99A">
          <w:pPr>
            <w:pStyle w:val="17"/>
            <w:tabs>
              <w:tab w:val="right" w:leader="dot" w:pos="8306"/>
            </w:tabs>
            <w:rPr>
              <w:color w:val="auto"/>
            </w:rPr>
          </w:pPr>
        </w:p>
        <w:p w14:paraId="412C96F5">
          <w:pPr>
            <w:pStyle w:val="8"/>
            <w:rPr>
              <w:rFonts w:ascii="@微软简标宋" w:hAnsi="@微软简标宋" w:eastAsia="@微软简标宋" w:cs="@微软简标宋"/>
              <w:color w:val="auto"/>
              <w:kern w:val="2"/>
              <w:sz w:val="21"/>
              <w:szCs w:val="24"/>
              <w:highlight w:val="none"/>
              <w:lang w:val="zh-CN" w:eastAsia="zh-CN" w:bidi="ar-SA"/>
            </w:rPr>
          </w:pPr>
          <w:r>
            <w:rPr>
              <w:rFonts w:ascii="@微软简标宋" w:hAnsi="@微软简标宋" w:eastAsia="@微软简标宋" w:cs="@微软简标宋"/>
              <w:color w:val="auto"/>
              <w:kern w:val="2"/>
              <w:szCs w:val="24"/>
              <w:highlight w:val="none"/>
              <w:lang w:val="zh-CN" w:eastAsia="zh-CN" w:bidi="ar-SA"/>
            </w:rPr>
            <w:fldChar w:fldCharType="end"/>
          </w:r>
        </w:p>
      </w:sdtContent>
    </w:sdt>
    <w:p w14:paraId="688B15E7">
      <w:pPr>
        <w:pStyle w:val="8"/>
        <w:rPr>
          <w:rFonts w:ascii="@微软简标宋" w:hAnsi="@微软简标宋" w:eastAsia="@微软简标宋" w:cs="@微软简标宋"/>
          <w:color w:val="auto"/>
          <w:kern w:val="2"/>
          <w:sz w:val="21"/>
          <w:szCs w:val="24"/>
          <w:highlight w:val="none"/>
          <w:lang w:val="zh-CN" w:eastAsia="zh-CN" w:bidi="ar-SA"/>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5720CCCC">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outlineLvl w:val="0"/>
        <w:rPr>
          <w:rFonts w:asciiTheme="minorEastAsia" w:hAnsiTheme="minorEastAsia" w:eastAsiaTheme="minorEastAsia"/>
          <w:b/>
          <w:color w:val="auto"/>
          <w:sz w:val="28"/>
          <w:highlight w:val="none"/>
        </w:rPr>
      </w:pPr>
      <w:bookmarkStart w:id="0" w:name="_Toc14290"/>
      <w:bookmarkStart w:id="1" w:name="_Toc7755"/>
      <w:bookmarkStart w:id="2" w:name="_Toc2390"/>
      <w:bookmarkStart w:id="3" w:name="_Toc9670"/>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0"/>
      <w:bookmarkEnd w:id="1"/>
      <w:bookmarkEnd w:id="2"/>
      <w:bookmarkEnd w:id="3"/>
    </w:p>
    <w:p w14:paraId="20B504DC">
      <w:pPr>
        <w:keepNext w:val="0"/>
        <w:keepLines w:val="0"/>
        <w:pageBreakBefore w:val="0"/>
        <w:widowControl w:val="0"/>
        <w:kinsoku/>
        <w:wordWrap/>
        <w:overflowPunct/>
        <w:topLinePunct w:val="0"/>
        <w:autoSpaceDE/>
        <w:autoSpaceDN/>
        <w:bidi w:val="0"/>
        <w:adjustRightInd w:val="0"/>
        <w:snapToGrid w:val="0"/>
        <w:textAlignment w:val="auto"/>
        <w:rPr>
          <w:rFonts w:hint="eastAsia"/>
          <w:color w:val="auto"/>
          <w:highlight w:val="none"/>
        </w:rPr>
      </w:pPr>
      <w:bookmarkStart w:id="4" w:name="_Toc1381"/>
      <w:bookmarkStart w:id="5" w:name="_Toc6097"/>
      <w:bookmarkStart w:id="6" w:name="_Toc5842"/>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DDC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4E991CF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项目概况</w:t>
            </w:r>
          </w:p>
          <w:p w14:paraId="58907051">
            <w:pPr>
              <w:keepNext w:val="0"/>
              <w:keepLines w:val="0"/>
              <w:pageBreakBefore w:val="0"/>
              <w:widowControl w:val="0"/>
              <w:kinsoku/>
              <w:wordWrap/>
              <w:overflowPunct/>
              <w:topLinePunct w:val="0"/>
              <w:autoSpaceDE/>
              <w:autoSpaceDN/>
              <w:bidi w:val="0"/>
              <w:adjustRightInd w:val="0"/>
              <w:snapToGrid w:val="0"/>
              <w:spacing w:line="360" w:lineRule="auto"/>
              <w:ind w:firstLine="435"/>
              <w:textAlignment w:val="auto"/>
              <w:rPr>
                <w:rFonts w:hint="eastAsia" w:ascii="宋体" w:hAnsi="宋体" w:eastAsia="宋体"/>
                <w:b/>
                <w:bCs/>
                <w:color w:val="auto"/>
                <w:sz w:val="24"/>
                <w:szCs w:val="18"/>
                <w:highlight w:val="none"/>
                <w:vertAlign w:val="baseline"/>
              </w:rPr>
            </w:pPr>
            <w:r>
              <w:rPr>
                <w:rFonts w:hint="eastAsia" w:asciiTheme="minorEastAsia" w:hAnsiTheme="minorEastAsia" w:eastAsiaTheme="minorEastAsia"/>
                <w:color w:val="auto"/>
                <w:sz w:val="24"/>
                <w:highlight w:val="none"/>
                <w:lang w:eastAsia="zh-CN"/>
              </w:rPr>
              <w:t>宿州市立医院儿童电子支气管镜采购项目</w:t>
            </w:r>
            <w:r>
              <w:rPr>
                <w:rFonts w:hint="eastAsia" w:asciiTheme="minorEastAsia" w:hAnsiTheme="minorEastAsia" w:eastAsiaTheme="minorEastAsia"/>
                <w:color w:val="auto"/>
                <w:sz w:val="24"/>
                <w:highlight w:val="none"/>
              </w:rPr>
              <w:t xml:space="preserve">的潜在投标人应在全国公共资源交易平台（安徽省.宿州市）http://ggzyjy.ahsz.gov.cn/（地址）获取招标文件，并于2026年 </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 xml:space="preserve"> 月</w:t>
            </w:r>
            <w:r>
              <w:rPr>
                <w:rFonts w:hint="eastAsia" w:asciiTheme="minorEastAsia" w:hAnsiTheme="minorEastAsia" w:eastAsiaTheme="minorEastAsia"/>
                <w:color w:val="auto"/>
                <w:sz w:val="24"/>
                <w:highlight w:val="none"/>
                <w:lang w:val="en-US" w:eastAsia="zh-CN"/>
              </w:rPr>
              <w:t xml:space="preserve">  </w:t>
            </w:r>
            <w:r>
              <w:rPr>
                <w:rFonts w:hint="eastAsia" w:asciiTheme="minorEastAsia" w:hAnsiTheme="minorEastAsia" w:eastAsiaTheme="minorEastAsia"/>
                <w:color w:val="auto"/>
                <w:sz w:val="24"/>
                <w:highlight w:val="none"/>
              </w:rPr>
              <w:t xml:space="preserve">日 </w:t>
            </w: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 xml:space="preserve"> 点 00 分（北京时间）前递交投标文件。</w:t>
            </w:r>
          </w:p>
        </w:tc>
      </w:tr>
    </w:tbl>
    <w:p w14:paraId="67B94087">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b/>
          <w:bCs/>
          <w:color w:val="auto"/>
          <w:sz w:val="24"/>
          <w:szCs w:val="18"/>
          <w:highlight w:val="none"/>
        </w:rPr>
      </w:pPr>
      <w:bookmarkStart w:id="7" w:name="_Toc9464"/>
      <w:bookmarkStart w:id="8" w:name="_Toc30914"/>
      <w:r>
        <w:rPr>
          <w:rFonts w:hint="eastAsia" w:ascii="宋体" w:hAnsi="宋体" w:eastAsia="宋体"/>
          <w:b/>
          <w:bCs/>
          <w:color w:val="auto"/>
          <w:sz w:val="24"/>
          <w:szCs w:val="18"/>
          <w:highlight w:val="none"/>
        </w:rPr>
        <w:t>一、</w:t>
      </w:r>
      <w:bookmarkEnd w:id="4"/>
      <w:r>
        <w:rPr>
          <w:rFonts w:hint="eastAsia" w:ascii="宋体" w:hAnsi="宋体" w:eastAsia="宋体"/>
          <w:b/>
          <w:bCs/>
          <w:color w:val="auto"/>
          <w:sz w:val="24"/>
          <w:szCs w:val="18"/>
          <w:highlight w:val="none"/>
        </w:rPr>
        <w:t>项目基本情况</w:t>
      </w:r>
      <w:bookmarkEnd w:id="5"/>
      <w:bookmarkEnd w:id="6"/>
      <w:bookmarkEnd w:id="7"/>
      <w:bookmarkEnd w:id="8"/>
      <w:bookmarkStart w:id="274" w:name="_GoBack"/>
      <w:bookmarkEnd w:id="274"/>
    </w:p>
    <w:p w14:paraId="6CF39A4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eastAsia="宋体" w:asciiTheme="minorEastAsia" w:hAnsiTheme="minorEastAsia"/>
          <w:color w:val="auto"/>
          <w:sz w:val="24"/>
          <w:highlight w:val="none"/>
          <w:lang w:eastAsia="zh-CN"/>
        </w:rPr>
      </w:pPr>
      <w:r>
        <w:rPr>
          <w:rFonts w:hint="eastAsia" w:asciiTheme="minorEastAsia" w:hAnsiTheme="minorEastAsia" w:eastAsiaTheme="minorEastAsia"/>
          <w:color w:val="auto"/>
          <w:sz w:val="24"/>
          <w:highlight w:val="none"/>
        </w:rPr>
        <w:t>1.项目编号：EP-SZQT2026XXX</w:t>
      </w:r>
    </w:p>
    <w:p w14:paraId="5CDF36A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2.项目名称：</w:t>
      </w:r>
      <w:r>
        <w:rPr>
          <w:rFonts w:hint="eastAsia" w:asciiTheme="minorEastAsia" w:hAnsiTheme="minorEastAsia" w:eastAsiaTheme="minorEastAsia"/>
          <w:color w:val="auto"/>
          <w:sz w:val="24"/>
          <w:highlight w:val="none"/>
          <w:u w:val="single"/>
          <w:lang w:eastAsia="zh-CN"/>
        </w:rPr>
        <w:t>宿州市立医院儿童电子支气管镜采购项目</w:t>
      </w:r>
    </w:p>
    <w:p w14:paraId="0286646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3.预算金额：</w:t>
      </w:r>
      <w:r>
        <w:rPr>
          <w:rFonts w:hint="eastAsia" w:asciiTheme="minorEastAsia" w:hAnsiTheme="minorEastAsia" w:eastAsiaTheme="minorEastAsia"/>
          <w:color w:val="auto"/>
          <w:sz w:val="24"/>
          <w:highlight w:val="none"/>
          <w:u w:val="single"/>
          <w:lang w:val="en-US" w:eastAsia="zh-CN"/>
        </w:rPr>
        <w:t>40</w:t>
      </w:r>
      <w:r>
        <w:rPr>
          <w:rFonts w:hint="eastAsia" w:asciiTheme="minorEastAsia" w:hAnsiTheme="minorEastAsia" w:eastAsiaTheme="minorEastAsia"/>
          <w:color w:val="auto"/>
          <w:sz w:val="24"/>
          <w:highlight w:val="none"/>
          <w:u w:val="single"/>
        </w:rPr>
        <w:t>万元</w:t>
      </w:r>
    </w:p>
    <w:p w14:paraId="747D5EE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Theme="minorEastAsia" w:hAnsiTheme="minorEastAsia" w:eastAsiaTheme="minorEastAsia"/>
          <w:color w:val="auto"/>
          <w:sz w:val="24"/>
          <w:highlight w:val="none"/>
          <w:u w:val="single"/>
          <w:lang w:val="en-US" w:eastAsia="zh-CN"/>
        </w:rPr>
        <w:t>40</w:t>
      </w:r>
      <w:r>
        <w:rPr>
          <w:rFonts w:hint="eastAsia" w:asciiTheme="minorEastAsia" w:hAnsiTheme="minorEastAsia" w:eastAsiaTheme="minorEastAsia"/>
          <w:color w:val="auto"/>
          <w:sz w:val="24"/>
          <w:highlight w:val="none"/>
          <w:u w:val="single"/>
        </w:rPr>
        <w:t>万元</w:t>
      </w:r>
    </w:p>
    <w:p w14:paraId="1FF7CD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5.采购需求：</w:t>
      </w:r>
      <w:r>
        <w:rPr>
          <w:rFonts w:hint="eastAsia" w:asciiTheme="minorEastAsia" w:hAnsiTheme="minorEastAsia" w:eastAsiaTheme="minorEastAsia"/>
          <w:color w:val="auto"/>
          <w:sz w:val="24"/>
          <w:highlight w:val="none"/>
          <w:u w:val="single"/>
        </w:rPr>
        <w:t>购置</w:t>
      </w:r>
      <w:r>
        <w:rPr>
          <w:rFonts w:hint="eastAsia" w:asciiTheme="minorEastAsia" w:hAnsiTheme="minorEastAsia" w:eastAsiaTheme="minorEastAsia"/>
          <w:color w:val="auto"/>
          <w:sz w:val="24"/>
          <w:highlight w:val="none"/>
          <w:u w:val="single"/>
          <w:lang w:eastAsia="zh-CN"/>
        </w:rPr>
        <w:t>儿童电子支气管镜</w:t>
      </w:r>
      <w:r>
        <w:rPr>
          <w:rFonts w:hint="eastAsia" w:asciiTheme="minorEastAsia" w:hAnsiTheme="minorEastAsia" w:eastAsiaTheme="minorEastAsia"/>
          <w:color w:val="auto"/>
          <w:sz w:val="24"/>
          <w:highlight w:val="none"/>
          <w:u w:val="single"/>
          <w:lang w:val="en-US" w:eastAsia="zh-CN"/>
        </w:rPr>
        <w:t>一套</w:t>
      </w:r>
      <w:r>
        <w:rPr>
          <w:rFonts w:hint="eastAsia" w:asciiTheme="minorEastAsia" w:hAnsiTheme="minorEastAsia" w:eastAsiaTheme="minorEastAsia"/>
          <w:color w:val="auto"/>
          <w:sz w:val="24"/>
          <w:highlight w:val="none"/>
          <w:u w:val="single"/>
        </w:rPr>
        <w:t>，</w:t>
      </w:r>
      <w:r>
        <w:rPr>
          <w:rFonts w:hint="eastAsia" w:asciiTheme="minorEastAsia" w:hAnsiTheme="minorEastAsia" w:eastAsiaTheme="minorEastAsia"/>
          <w:b/>
          <w:bCs/>
          <w:color w:val="auto"/>
          <w:sz w:val="24"/>
          <w:highlight w:val="none"/>
          <w:u w:val="single"/>
        </w:rPr>
        <w:t>包括所有货物的</w:t>
      </w:r>
      <w:r>
        <w:rPr>
          <w:rFonts w:hint="eastAsia" w:asciiTheme="minorEastAsia" w:hAnsiTheme="minorEastAsia" w:eastAsiaTheme="minorEastAsia"/>
          <w:color w:val="auto"/>
          <w:sz w:val="24"/>
          <w:highlight w:val="none"/>
          <w:u w:val="single"/>
        </w:rPr>
        <w:t>供货、包装运输（包括卸车及就位至招标人指定的安装地点）、安装、调试、验收、技术服务、培训、售后服务等内容</w:t>
      </w:r>
      <w:r>
        <w:rPr>
          <w:rFonts w:hint="eastAsia" w:asciiTheme="minorEastAsia" w:hAnsiTheme="minorEastAsia" w:eastAsiaTheme="minorEastAsia"/>
          <w:color w:val="auto"/>
          <w:sz w:val="24"/>
          <w:highlight w:val="none"/>
          <w:u w:val="single"/>
          <w:lang w:eastAsia="zh-CN"/>
        </w:rPr>
        <w:t>，</w:t>
      </w:r>
      <w:r>
        <w:rPr>
          <w:rFonts w:hint="eastAsia" w:asciiTheme="minorEastAsia" w:hAnsiTheme="minorEastAsia" w:eastAsiaTheme="minorEastAsia"/>
          <w:color w:val="auto"/>
          <w:sz w:val="24"/>
          <w:highlight w:val="none"/>
          <w:u w:val="single"/>
          <w:lang w:val="en-US" w:eastAsia="zh-CN"/>
        </w:rPr>
        <w:t>具体内容详见采购文件。</w:t>
      </w:r>
    </w:p>
    <w:p w14:paraId="1A0D76F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szCs w:val="18"/>
          <w:highlight w:val="none"/>
          <w:u w:val="single"/>
        </w:rPr>
        <w:t xml:space="preserve"> 合同签订后30日内</w:t>
      </w:r>
      <w:r>
        <w:rPr>
          <w:rFonts w:hint="eastAsia" w:ascii="宋体" w:hAnsi="宋体" w:eastAsia="宋体"/>
          <w:color w:val="auto"/>
          <w:sz w:val="24"/>
          <w:szCs w:val="18"/>
          <w:highlight w:val="none"/>
          <w:u w:val="single"/>
          <w:lang w:val="en-US" w:eastAsia="zh-CN"/>
        </w:rPr>
        <w:t>完成供货、安装及调试</w:t>
      </w:r>
      <w:r>
        <w:rPr>
          <w:rFonts w:hint="eastAsia" w:ascii="宋体" w:hAnsi="宋体" w:eastAsia="宋体"/>
          <w:color w:val="auto"/>
          <w:sz w:val="24"/>
          <w:szCs w:val="18"/>
          <w:highlight w:val="none"/>
          <w:u w:val="single"/>
        </w:rPr>
        <w:t>。</w:t>
      </w:r>
      <w:r>
        <w:rPr>
          <w:rFonts w:ascii="宋体" w:hAnsi="宋体" w:eastAsia="宋体"/>
          <w:color w:val="auto"/>
          <w:sz w:val="24"/>
          <w:szCs w:val="18"/>
          <w:highlight w:val="none"/>
          <w:u w:val="single"/>
        </w:rPr>
        <w:t xml:space="preserve"> </w:t>
      </w:r>
    </w:p>
    <w:p w14:paraId="22848A5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w:t>
      </w:r>
      <w:r>
        <w:rPr>
          <w:rFonts w:hint="eastAsia" w:asciiTheme="minorEastAsia" w:hAnsiTheme="minorEastAsia" w:eastAsiaTheme="minorEastAsia"/>
          <w:color w:val="auto"/>
          <w:sz w:val="24"/>
          <w:highlight w:val="none"/>
          <w:lang w:val="en-US" w:eastAsia="zh-CN"/>
        </w:rPr>
        <w:t>不</w:t>
      </w:r>
      <w:r>
        <w:rPr>
          <w:rFonts w:hint="eastAsia" w:asciiTheme="minorEastAsia" w:hAnsiTheme="minorEastAsia" w:eastAsiaTheme="minorEastAsia"/>
          <w:color w:val="auto"/>
          <w:sz w:val="24"/>
          <w:highlight w:val="none"/>
        </w:rPr>
        <w:t>接受联合体投标。</w:t>
      </w:r>
    </w:p>
    <w:p w14:paraId="07547E18">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b/>
          <w:bCs/>
          <w:color w:val="auto"/>
          <w:sz w:val="24"/>
          <w:szCs w:val="18"/>
          <w:highlight w:val="none"/>
        </w:rPr>
      </w:pPr>
      <w:bookmarkStart w:id="9" w:name="_Toc13530"/>
      <w:bookmarkStart w:id="10" w:name="_Toc26178"/>
      <w:bookmarkStart w:id="11" w:name="_Toc6221"/>
      <w:bookmarkStart w:id="12" w:name="_Toc30931"/>
      <w:bookmarkStart w:id="13" w:name="_Toc32339"/>
      <w:r>
        <w:rPr>
          <w:rFonts w:hint="eastAsia" w:ascii="宋体" w:hAnsi="宋体" w:eastAsia="宋体"/>
          <w:b/>
          <w:bCs/>
          <w:color w:val="auto"/>
          <w:sz w:val="24"/>
          <w:szCs w:val="18"/>
          <w:highlight w:val="none"/>
        </w:rPr>
        <w:t>二、</w:t>
      </w:r>
      <w:bookmarkEnd w:id="9"/>
      <w:r>
        <w:rPr>
          <w:rFonts w:hint="eastAsia" w:ascii="宋体" w:hAnsi="宋体" w:eastAsia="宋体"/>
          <w:b/>
          <w:bCs/>
          <w:color w:val="auto"/>
          <w:sz w:val="24"/>
          <w:szCs w:val="18"/>
          <w:highlight w:val="none"/>
        </w:rPr>
        <w:t>申请人的资格要求</w:t>
      </w:r>
      <w:bookmarkEnd w:id="10"/>
      <w:bookmarkEnd w:id="11"/>
      <w:bookmarkEnd w:id="12"/>
      <w:bookmarkEnd w:id="13"/>
    </w:p>
    <w:p w14:paraId="16E0695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1.投标人应当具备下列条件：</w:t>
      </w:r>
    </w:p>
    <w:p w14:paraId="73BC4B0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b w:val="0"/>
          <w:bCs w:val="0"/>
          <w:color w:val="auto"/>
          <w:sz w:val="24"/>
          <w:szCs w:val="18"/>
          <w:highlight w:val="none"/>
        </w:rPr>
      </w:pPr>
      <w:r>
        <w:rPr>
          <w:rFonts w:hint="eastAsia" w:ascii="宋体" w:hAnsi="宋体" w:eastAsia="宋体"/>
          <w:b w:val="0"/>
          <w:bCs w:val="0"/>
          <w:color w:val="auto"/>
          <w:sz w:val="24"/>
          <w:szCs w:val="18"/>
          <w:highlight w:val="none"/>
        </w:rPr>
        <w:t>1.1具有独立承担民事责任的能力；</w:t>
      </w:r>
    </w:p>
    <w:p w14:paraId="7B3026E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b w:val="0"/>
          <w:bCs w:val="0"/>
          <w:color w:val="auto"/>
          <w:sz w:val="24"/>
          <w:szCs w:val="18"/>
          <w:highlight w:val="none"/>
        </w:rPr>
      </w:pPr>
      <w:r>
        <w:rPr>
          <w:rFonts w:hint="eastAsia" w:ascii="宋体" w:hAnsi="宋体" w:eastAsia="宋体"/>
          <w:b w:val="0"/>
          <w:bCs w:val="0"/>
          <w:color w:val="auto"/>
          <w:sz w:val="24"/>
          <w:szCs w:val="18"/>
          <w:highlight w:val="none"/>
        </w:rPr>
        <w:t>1.2具有良好的商业信誉和健全的财务会计制度；</w:t>
      </w:r>
    </w:p>
    <w:p w14:paraId="27A1A94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b w:val="0"/>
          <w:bCs w:val="0"/>
          <w:color w:val="auto"/>
          <w:sz w:val="24"/>
          <w:szCs w:val="18"/>
          <w:highlight w:val="none"/>
        </w:rPr>
      </w:pPr>
      <w:r>
        <w:rPr>
          <w:rFonts w:hint="eastAsia" w:ascii="宋体" w:hAnsi="宋体" w:eastAsia="宋体"/>
          <w:b w:val="0"/>
          <w:bCs w:val="0"/>
          <w:color w:val="auto"/>
          <w:sz w:val="24"/>
          <w:szCs w:val="18"/>
          <w:highlight w:val="none"/>
        </w:rPr>
        <w:t>1.3具有履行合同所必需的设备和专业技术能力；</w:t>
      </w:r>
    </w:p>
    <w:p w14:paraId="5777040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b w:val="0"/>
          <w:bCs w:val="0"/>
          <w:color w:val="auto"/>
          <w:sz w:val="24"/>
          <w:szCs w:val="18"/>
          <w:highlight w:val="none"/>
        </w:rPr>
      </w:pPr>
      <w:r>
        <w:rPr>
          <w:rFonts w:hint="eastAsia" w:ascii="宋体" w:hAnsi="宋体" w:eastAsia="宋体"/>
          <w:b w:val="0"/>
          <w:bCs w:val="0"/>
          <w:color w:val="auto"/>
          <w:sz w:val="24"/>
          <w:szCs w:val="18"/>
          <w:highlight w:val="none"/>
        </w:rPr>
        <w:t>1.4有依法缴纳税收和社会保障资金的良好记录；</w:t>
      </w:r>
    </w:p>
    <w:p w14:paraId="79B34C2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b w:val="0"/>
          <w:bCs w:val="0"/>
          <w:color w:val="auto"/>
          <w:sz w:val="24"/>
          <w:szCs w:val="18"/>
          <w:highlight w:val="none"/>
          <w:lang w:eastAsia="zh-CN"/>
        </w:rPr>
      </w:pPr>
      <w:r>
        <w:rPr>
          <w:rFonts w:hint="eastAsia" w:ascii="宋体" w:hAnsi="宋体" w:eastAsia="宋体"/>
          <w:b w:val="0"/>
          <w:bCs w:val="0"/>
          <w:color w:val="auto"/>
          <w:sz w:val="24"/>
          <w:szCs w:val="18"/>
          <w:highlight w:val="none"/>
        </w:rPr>
        <w:t>1.5参加本采购活动前三年内，在经营活动中没有重大违法记录</w:t>
      </w:r>
      <w:r>
        <w:rPr>
          <w:rFonts w:hint="eastAsia" w:ascii="宋体" w:hAnsi="宋体" w:eastAsia="宋体"/>
          <w:b w:val="0"/>
          <w:bCs w:val="0"/>
          <w:color w:val="auto"/>
          <w:sz w:val="24"/>
          <w:szCs w:val="18"/>
          <w:highlight w:val="none"/>
          <w:lang w:eastAsia="zh-CN"/>
        </w:rPr>
        <w:t>。</w:t>
      </w:r>
    </w:p>
    <w:p w14:paraId="0DAE717D">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2.本项目的特定资格要求：</w:t>
      </w:r>
    </w:p>
    <w:p w14:paraId="4039246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2.1 如是依法纳入医疗器械管理的投标产品须满足以下条件：</w:t>
      </w:r>
    </w:p>
    <w:p w14:paraId="52F4670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（1）中国境内（不含港、澳、台地区）制造商参与投标时，应具有投标产品相应有效的医疗器械生产许可证（适用第二类和第三类医疗器械）。</w:t>
      </w:r>
    </w:p>
    <w:p w14:paraId="7A608A9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（2）投标人应具有投标产品相应有效的医疗器械经营许可证（适用第三类医疗器械）或医疗器械经营备案凭证（适用第二类医疗器械）。</w:t>
      </w:r>
    </w:p>
    <w:p w14:paraId="46D3BFE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2.2投标人（含不具有独立法人资格的分公司、不含具备独立法人资格的子公司）存在以下不良信用记录情形之一，不得推荐为中标候选人，不得确定为中标人：</w:t>
      </w:r>
    </w:p>
    <w:p w14:paraId="3C7E2E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（1）投标人被人民法院列入失信被执行人的；</w:t>
      </w:r>
    </w:p>
    <w:p w14:paraId="2CB4E5C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（2）投标人或其法定代表人或拟派项目经理（项目负责人）被列入行贿犯罪档案的；</w:t>
      </w:r>
    </w:p>
    <w:p w14:paraId="01C2396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（3）投标人被市场监督管理局列入企业经营异常名录的；</w:t>
      </w:r>
    </w:p>
    <w:p w14:paraId="6C4846C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（4）投标人被税务部门列入重大税收违法案件当事人名单的；</w:t>
      </w:r>
    </w:p>
    <w:p w14:paraId="4E2B64F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（5）投标人被政府采购监管部门列入政府采购严重违法失信行为记录名单的。</w:t>
      </w:r>
    </w:p>
    <w:p w14:paraId="61AE96E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以上情形第（1）（3）（4）（5）以“信用中国”（http://www.creditchina.gov.cn）、中国政府采购网（www.ccgp.gov.cn）、国家企业信用信息公示系统网站（www.gsxt.gov.cn）发布的为准，查询截止时点为投标文件递交截止时间。</w:t>
      </w:r>
    </w:p>
    <w:p w14:paraId="460484E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情形（2）由供应商提供无行贿犯罪记录承诺函。</w:t>
      </w:r>
    </w:p>
    <w:p w14:paraId="6E86A6A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注：“有效”是指“情形”规定的程度、起止期间处于有效状态。</w:t>
      </w:r>
    </w:p>
    <w:p w14:paraId="3C4AAEE9">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b/>
          <w:bCs/>
          <w:color w:val="auto"/>
          <w:sz w:val="24"/>
          <w:szCs w:val="18"/>
          <w:highlight w:val="none"/>
        </w:rPr>
      </w:pPr>
      <w:bookmarkStart w:id="14" w:name="_Toc30110"/>
      <w:bookmarkStart w:id="15" w:name="_Toc15574"/>
      <w:bookmarkStart w:id="16" w:name="_Toc32089"/>
      <w:bookmarkStart w:id="17" w:name="_Toc6578"/>
      <w:bookmarkStart w:id="18" w:name="_Toc3792"/>
      <w:r>
        <w:rPr>
          <w:rFonts w:hint="eastAsia" w:ascii="宋体" w:hAnsi="宋体" w:eastAsia="宋体"/>
          <w:b/>
          <w:bCs/>
          <w:color w:val="auto"/>
          <w:sz w:val="24"/>
          <w:szCs w:val="18"/>
          <w:highlight w:val="none"/>
        </w:rPr>
        <w:t>三、</w:t>
      </w:r>
      <w:bookmarkEnd w:id="14"/>
      <w:r>
        <w:rPr>
          <w:rFonts w:hint="eastAsia" w:ascii="宋体" w:hAnsi="宋体" w:eastAsia="宋体"/>
          <w:b/>
          <w:bCs/>
          <w:color w:val="auto"/>
          <w:sz w:val="24"/>
          <w:szCs w:val="18"/>
          <w:highlight w:val="none"/>
        </w:rPr>
        <w:t>获取招标文件</w:t>
      </w:r>
      <w:bookmarkEnd w:id="15"/>
      <w:bookmarkEnd w:id="16"/>
      <w:bookmarkEnd w:id="17"/>
      <w:bookmarkEnd w:id="18"/>
    </w:p>
    <w:p w14:paraId="7D49612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i/>
          <w:iCs/>
          <w:color w:val="auto"/>
          <w:sz w:val="24"/>
          <w:szCs w:val="24"/>
          <w:highlight w:val="none"/>
        </w:rPr>
      </w:pPr>
      <w:bookmarkStart w:id="19" w:name="_Toc7957"/>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8</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none"/>
        </w:rPr>
        <w:t>日</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9</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none"/>
        </w:rPr>
        <w:t>日</w:t>
      </w:r>
      <w:r>
        <w:rPr>
          <w:rFonts w:hint="eastAsia" w:asciiTheme="minorEastAsia" w:hAnsiTheme="minorEastAsia" w:eastAsiaTheme="minorEastAsia" w:cstheme="minorEastAsia"/>
          <w:color w:val="auto"/>
          <w:sz w:val="24"/>
          <w:szCs w:val="24"/>
          <w:highlight w:val="none"/>
        </w:rPr>
        <w:t>，每天上午</w:t>
      </w:r>
      <w:r>
        <w:rPr>
          <w:rFonts w:hint="eastAsia" w:asciiTheme="minorEastAsia" w:hAnsiTheme="minorEastAsia" w:eastAsiaTheme="minorEastAsia" w:cstheme="minorEastAsia"/>
          <w:color w:val="auto"/>
          <w:sz w:val="24"/>
          <w:szCs w:val="24"/>
          <w:highlight w:val="none"/>
          <w:u w:val="single"/>
          <w:lang w:val="en-US" w:eastAsia="zh-CN"/>
        </w:rPr>
        <w:t>0：00</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lang w:val="en-US" w:eastAsia="zh-CN"/>
        </w:rPr>
        <w:t>：</w:t>
      </w:r>
      <w:r>
        <w:rPr>
          <w:rFonts w:hint="eastAsia" w:asciiTheme="minorEastAsia" w:hAnsiTheme="minorEastAsia" w:eastAsiaTheme="minorEastAsia" w:cstheme="minorEastAsia"/>
          <w:color w:val="auto"/>
          <w:sz w:val="24"/>
          <w:szCs w:val="24"/>
          <w:highlight w:val="none"/>
          <w:u w:val="single"/>
          <w:lang w:val="en-US" w:eastAsia="zh-CN"/>
        </w:rPr>
        <w:t>12:00</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，下午</w:t>
      </w:r>
      <w:r>
        <w:rPr>
          <w:rFonts w:hint="eastAsia" w:asciiTheme="minorEastAsia" w:hAnsiTheme="minorEastAsia" w:eastAsiaTheme="minorEastAsia" w:cstheme="minorEastAsia"/>
          <w:color w:val="auto"/>
          <w:sz w:val="24"/>
          <w:szCs w:val="24"/>
          <w:highlight w:val="none"/>
          <w:u w:val="single"/>
          <w:lang w:val="en-US" w:eastAsia="zh-CN"/>
        </w:rPr>
        <w:t>12:00</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single"/>
          <w:lang w:val="en-US" w:eastAsia="zh-CN"/>
        </w:rPr>
        <w:t>24:00</w:t>
      </w:r>
      <w:r>
        <w:rPr>
          <w:rFonts w:hint="eastAsia" w:asciiTheme="minorEastAsia" w:hAnsiTheme="minorEastAsia" w:eastAsiaTheme="minorEastAsia" w:cstheme="minorEastAsia"/>
          <w:i w:val="0"/>
          <w:iCs w:val="0"/>
          <w:color w:val="auto"/>
          <w:sz w:val="24"/>
          <w:szCs w:val="24"/>
          <w:highlight w:val="none"/>
        </w:rPr>
        <w:t>（北京时间，法定节假日除外）</w:t>
      </w:r>
    </w:p>
    <w:p w14:paraId="674C18F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olor w:val="auto"/>
          <w:sz w:val="24"/>
          <w:szCs w:val="18"/>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Theme="minorEastAsia" w:hAnsiTheme="minorEastAsia" w:eastAsiaTheme="minorEastAsia" w:cstheme="minorEastAsia"/>
          <w:color w:val="auto"/>
          <w:sz w:val="24"/>
          <w:szCs w:val="24"/>
          <w:highlight w:val="none"/>
          <w:u w:val="single"/>
        </w:rPr>
        <w:t>网上获取</w:t>
      </w:r>
    </w:p>
    <w:p w14:paraId="5B5CAE0B">
      <w:pPr>
        <w:spacing w:line="360" w:lineRule="auto"/>
        <w:ind w:firstLine="540"/>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highlight w:val="none"/>
        </w:rPr>
        <w:t>方式：</w:t>
      </w:r>
      <w:r>
        <w:rPr>
          <w:rFonts w:hint="eastAsia" w:asciiTheme="minorEastAsia" w:hAnsiTheme="minorEastAsia" w:eastAsiaTheme="minorEastAsia" w:cstheme="minorEastAsia"/>
          <w:color w:val="auto"/>
          <w:sz w:val="24"/>
          <w:szCs w:val="24"/>
          <w:u w:val="single"/>
        </w:rPr>
        <w:t>（1）凡有意参加投标者，在招标文件获取时间范围内均可在宿州市公共资源交易中心新版交易系统会员端登录地址（网址：http://60.171.247.212:8111/TPBidder/memberLogin）交易平台登录处进行用户登记，登记为供应商后使用CA锁登录进入宿州市公共资源交易系统，进入系统—》招标公告列表—》筛选项目类型为“采购”—》选中相应项目公告—》点击“文件下载”下载获取招标文件，也可以通过输入标段包编号，在关键字中搜索，找到需要投标的标段。（详细操作流程：详见本公告附件《投标单位操作手册7.1.40.5版本》），并请随时关注网站答疑澄清。（用户登记操作及审核联系电话：0557-3030327） </w:t>
      </w:r>
    </w:p>
    <w:p w14:paraId="1E2DB8A1">
      <w:pPr>
        <w:spacing w:line="360" w:lineRule="auto"/>
        <w:ind w:firstLine="540"/>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u w:val="single"/>
        </w:rPr>
        <w:t>（2）请在招标文件获取时间范围内下载获取招标文件，逾期系统将自动关闭，无法下载招标文件。</w:t>
      </w:r>
    </w:p>
    <w:p w14:paraId="1E2AB9F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u w:val="single"/>
        </w:rPr>
        <w:t>（3）潜在投标人应合理安排时间，尽量避开开标前等可能存在的高峰期</w:t>
      </w:r>
      <w:r>
        <w:rPr>
          <w:rFonts w:hint="eastAsia" w:asciiTheme="minorEastAsia" w:hAnsiTheme="minorEastAsia" w:eastAsiaTheme="minorEastAsia" w:cstheme="minorEastAsia"/>
          <w:color w:val="auto"/>
          <w:sz w:val="24"/>
          <w:szCs w:val="24"/>
        </w:rPr>
        <w:t>。</w:t>
      </w:r>
    </w:p>
    <w:p w14:paraId="2C8EDA05">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b/>
          <w:bCs/>
          <w:color w:val="auto"/>
          <w:sz w:val="24"/>
          <w:szCs w:val="18"/>
          <w:highlight w:val="none"/>
        </w:rPr>
      </w:pPr>
      <w:bookmarkStart w:id="20" w:name="_Toc19726"/>
      <w:bookmarkStart w:id="21" w:name="_Toc29592"/>
      <w:bookmarkStart w:id="22" w:name="_Toc31901"/>
      <w:bookmarkStart w:id="23" w:name="_Toc11234"/>
      <w:r>
        <w:rPr>
          <w:rFonts w:hint="eastAsia" w:ascii="宋体" w:hAnsi="宋体" w:eastAsia="宋体"/>
          <w:b/>
          <w:bCs/>
          <w:color w:val="auto"/>
          <w:sz w:val="24"/>
          <w:szCs w:val="18"/>
          <w:highlight w:val="none"/>
        </w:rPr>
        <w:t>四、</w:t>
      </w:r>
      <w:bookmarkEnd w:id="19"/>
      <w:r>
        <w:rPr>
          <w:rFonts w:hint="eastAsia" w:ascii="宋体" w:hAnsi="宋体" w:eastAsia="宋体"/>
          <w:b/>
          <w:bCs/>
          <w:color w:val="auto"/>
          <w:sz w:val="24"/>
          <w:szCs w:val="18"/>
          <w:highlight w:val="none"/>
        </w:rPr>
        <w:t>提交投标文件截止时间、开标时间和地点</w:t>
      </w:r>
      <w:bookmarkEnd w:id="20"/>
      <w:bookmarkEnd w:id="21"/>
      <w:bookmarkEnd w:id="22"/>
      <w:bookmarkEnd w:id="23"/>
    </w:p>
    <w:p w14:paraId="481EDE4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u w:val="none"/>
        </w:rPr>
      </w:pPr>
      <w:bookmarkStart w:id="24" w:name="_Toc5082"/>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2026</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none"/>
        </w:rPr>
        <w:t>年</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9</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none"/>
        </w:rPr>
        <w:t>月</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single"/>
          <w:lang w:val="en-US" w:eastAsia="zh-CN"/>
        </w:rPr>
        <w:t>**</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none"/>
        </w:rPr>
        <w:t>日</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none"/>
        </w:rPr>
        <w:t>点</w:t>
      </w:r>
      <w:r>
        <w:rPr>
          <w:rFonts w:hint="eastAsia" w:asciiTheme="minorEastAsia" w:hAnsiTheme="minorEastAsia" w:eastAsiaTheme="minorEastAsia" w:cstheme="minorEastAsia"/>
          <w:bCs/>
          <w:color w:val="auto"/>
          <w:sz w:val="24"/>
          <w:szCs w:val="24"/>
          <w:highlight w:val="none"/>
          <w:u w:val="single"/>
        </w:rPr>
        <w:t xml:space="preserve">  </w:t>
      </w:r>
      <w:r>
        <w:rPr>
          <w:rFonts w:hint="eastAsia" w:asciiTheme="minorEastAsia" w:hAnsiTheme="minorEastAsia" w:eastAsiaTheme="minorEastAsia" w:cstheme="minorEastAsia"/>
          <w:bCs/>
          <w:color w:val="auto"/>
          <w:sz w:val="24"/>
          <w:szCs w:val="24"/>
          <w:highlight w:val="none"/>
          <w:u w:val="none"/>
        </w:rPr>
        <w:t>分</w:t>
      </w:r>
      <w:r>
        <w:rPr>
          <w:rFonts w:hint="eastAsia" w:asciiTheme="minorEastAsia" w:hAnsiTheme="minorEastAsia" w:eastAsiaTheme="minorEastAsia" w:cstheme="minorEastAsia"/>
          <w:bCs/>
          <w:color w:val="auto"/>
          <w:sz w:val="24"/>
          <w:szCs w:val="24"/>
          <w:highlight w:val="none"/>
        </w:rPr>
        <w:t>（北京时间）</w:t>
      </w:r>
    </w:p>
    <w:p w14:paraId="366639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color w:val="auto"/>
          <w:sz w:val="24"/>
          <w:szCs w:val="24"/>
          <w:u w:val="single"/>
        </w:rPr>
      </w:pPr>
      <w:r>
        <w:rPr>
          <w:rFonts w:hint="eastAsia" w:asciiTheme="minorEastAsia" w:hAnsiTheme="minorEastAsia" w:eastAsiaTheme="minorEastAsia" w:cstheme="minorEastAsia"/>
          <w:color w:val="auto"/>
          <w:sz w:val="24"/>
          <w:szCs w:val="24"/>
        </w:rPr>
        <w:t>地点：</w:t>
      </w:r>
      <w:r>
        <w:rPr>
          <w:rFonts w:hint="eastAsia" w:asciiTheme="minorEastAsia" w:hAnsiTheme="minorEastAsia" w:eastAsiaTheme="minorEastAsia" w:cstheme="minorEastAsia"/>
          <w:color w:val="auto"/>
          <w:sz w:val="24"/>
          <w:szCs w:val="24"/>
          <w:u w:val="single"/>
        </w:rPr>
        <w:t>宿州市公共资源交易中心第**开标室，因本项目实行全流程电子化交易，供应商原则上不到现场参与交易活动，将通过在线视频直播，供应商可通过登录宿州市公共资源交易网（http://ggzyjy.ahsz.gov.cn/szfront/）点击进入不见面开标大厅观看开标直播。具体操作详见公告附件或宿州市公共资源交易网上的关于《宿州不见面开标大厅操作视频及常见问题》的操作指南。</w:t>
      </w:r>
    </w:p>
    <w:p w14:paraId="72B93B10">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u w:val="single"/>
        </w:rPr>
        <w:t>注：本项目通过宿州不见面开标大厅直播。</w:t>
      </w:r>
      <w:r>
        <w:rPr>
          <w:rFonts w:ascii="宋体" w:hAnsi="宋体" w:eastAsia="宋体"/>
          <w:color w:val="auto"/>
          <w:sz w:val="24"/>
          <w:szCs w:val="18"/>
          <w:highlight w:val="none"/>
          <w:u w:val="single"/>
        </w:rPr>
        <w:t xml:space="preserve"> </w:t>
      </w:r>
    </w:p>
    <w:p w14:paraId="5E0C0E8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b/>
          <w:bCs/>
          <w:color w:val="auto"/>
          <w:sz w:val="24"/>
          <w:szCs w:val="18"/>
          <w:highlight w:val="none"/>
        </w:rPr>
      </w:pPr>
      <w:bookmarkStart w:id="25" w:name="_Toc28531"/>
      <w:bookmarkStart w:id="26" w:name="_Toc6306"/>
      <w:bookmarkStart w:id="27" w:name="_Toc13976"/>
      <w:bookmarkStart w:id="28" w:name="_Toc5478"/>
      <w:r>
        <w:rPr>
          <w:rFonts w:hint="eastAsia" w:ascii="宋体" w:hAnsi="宋体" w:eastAsia="宋体"/>
          <w:b/>
          <w:bCs/>
          <w:color w:val="auto"/>
          <w:sz w:val="24"/>
          <w:szCs w:val="18"/>
          <w:highlight w:val="none"/>
        </w:rPr>
        <w:t>五、</w:t>
      </w:r>
      <w:bookmarkEnd w:id="24"/>
      <w:r>
        <w:rPr>
          <w:rFonts w:hint="eastAsia" w:ascii="宋体" w:hAnsi="宋体" w:eastAsia="宋体"/>
          <w:b/>
          <w:bCs/>
          <w:color w:val="auto"/>
          <w:sz w:val="24"/>
          <w:szCs w:val="18"/>
          <w:highlight w:val="none"/>
        </w:rPr>
        <w:t>公告期限</w:t>
      </w:r>
      <w:bookmarkEnd w:id="25"/>
      <w:bookmarkEnd w:id="26"/>
      <w:bookmarkEnd w:id="27"/>
      <w:bookmarkEnd w:id="28"/>
    </w:p>
    <w:p w14:paraId="65085C7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bookmarkStart w:id="29" w:name="_Toc1215"/>
      <w:r>
        <w:rPr>
          <w:rFonts w:hint="eastAsia" w:ascii="宋体" w:hAnsi="宋体" w:eastAsia="宋体"/>
          <w:color w:val="auto"/>
          <w:sz w:val="24"/>
          <w:szCs w:val="18"/>
          <w:highlight w:val="none"/>
        </w:rPr>
        <w:t>自本公告发布之日起5个工作日。</w:t>
      </w:r>
    </w:p>
    <w:p w14:paraId="565A1032">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b/>
          <w:bCs/>
          <w:color w:val="auto"/>
          <w:sz w:val="24"/>
          <w:szCs w:val="18"/>
          <w:highlight w:val="none"/>
        </w:rPr>
      </w:pPr>
      <w:bookmarkStart w:id="30" w:name="_Toc35393795"/>
      <w:bookmarkStart w:id="31" w:name="_Toc8807"/>
      <w:bookmarkStart w:id="32" w:name="_Toc3859"/>
      <w:bookmarkStart w:id="33" w:name="_Toc11522"/>
      <w:bookmarkStart w:id="34" w:name="_Toc1650"/>
      <w:bookmarkStart w:id="35" w:name="_Toc35393626"/>
      <w:r>
        <w:rPr>
          <w:rFonts w:hint="eastAsia" w:ascii="宋体" w:hAnsi="宋体" w:eastAsia="宋体"/>
          <w:b/>
          <w:bCs/>
          <w:color w:val="auto"/>
          <w:sz w:val="24"/>
          <w:szCs w:val="18"/>
          <w:highlight w:val="none"/>
        </w:rPr>
        <w:t>六、其他补充事宜</w:t>
      </w:r>
      <w:bookmarkEnd w:id="30"/>
      <w:bookmarkEnd w:id="31"/>
      <w:bookmarkEnd w:id="32"/>
      <w:bookmarkEnd w:id="33"/>
      <w:bookmarkEnd w:id="34"/>
      <w:bookmarkEnd w:id="35"/>
    </w:p>
    <w:p w14:paraId="74ABAB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olor w:val="auto"/>
          <w:sz w:val="24"/>
          <w:szCs w:val="18"/>
          <w:highlight w:val="none"/>
          <w:u w:val="single"/>
        </w:rPr>
      </w:pPr>
      <w:r>
        <w:rPr>
          <w:rFonts w:hint="eastAsia" w:ascii="宋体" w:hAnsi="宋体" w:eastAsia="宋体"/>
          <w:color w:val="auto"/>
          <w:sz w:val="24"/>
          <w:szCs w:val="18"/>
          <w:highlight w:val="none"/>
          <w:lang w:val="en-US" w:eastAsia="zh-CN"/>
        </w:rPr>
        <w:t>1</w:t>
      </w:r>
      <w:r>
        <w:rPr>
          <w:rFonts w:hint="eastAsia" w:ascii="宋体" w:hAnsi="宋体" w:eastAsia="宋体"/>
          <w:color w:val="auto"/>
          <w:sz w:val="24"/>
          <w:szCs w:val="18"/>
          <w:highlight w:val="none"/>
        </w:rPr>
        <w:t>.</w:t>
      </w:r>
      <w:r>
        <w:rPr>
          <w:rFonts w:hint="eastAsia" w:ascii="宋体" w:hAnsi="宋体" w:eastAsia="宋体"/>
          <w:b w:val="0"/>
          <w:bCs w:val="0"/>
          <w:color w:val="auto"/>
          <w:sz w:val="24"/>
          <w:szCs w:val="18"/>
          <w:highlight w:val="none"/>
        </w:rPr>
        <w:t>项目采用全流程电子化采购方式，</w:t>
      </w:r>
      <w:r>
        <w:rPr>
          <w:rFonts w:hint="eastAsia" w:ascii="宋体" w:hAnsi="宋体" w:eastAsia="宋体"/>
          <w:b w:val="0"/>
          <w:bCs w:val="0"/>
          <w:color w:val="auto"/>
          <w:sz w:val="24"/>
          <w:szCs w:val="18"/>
          <w:highlight w:val="none"/>
          <w:lang w:val="en-US" w:eastAsia="zh-CN"/>
        </w:rPr>
        <w:t>相关操作说明如下：</w:t>
      </w:r>
      <w:r>
        <w:rPr>
          <w:rFonts w:hint="eastAsia" w:ascii="宋体" w:hAnsi="宋体" w:eastAsia="宋体"/>
          <w:color w:val="auto"/>
          <w:sz w:val="24"/>
          <w:szCs w:val="18"/>
          <w:highlight w:val="none"/>
          <w:u w:val="single"/>
        </w:rPr>
        <w:t>投标人关于电子招投标的相关操作详见宿州市公共资源交易网-服务指南-操作手册-《投标单位操作手册（7.1.40.5）》；投标人关于不见面开标的相关操作详见宿州市公共资源交易网-服务指南-操作手册-《【投标人】不见面开标大厅-操作手册（投标人）》。</w:t>
      </w:r>
    </w:p>
    <w:p w14:paraId="15A8659B">
      <w:pPr>
        <w:pStyle w:val="8"/>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u w:val="single"/>
          <w:lang w:val="en-US" w:eastAsia="zh-CN"/>
        </w:rPr>
      </w:pPr>
      <w:r>
        <w:rPr>
          <w:rFonts w:hint="eastAsia" w:ascii="宋体" w:hAnsi="宋体" w:eastAsia="宋体"/>
          <w:color w:val="auto"/>
          <w:sz w:val="24"/>
          <w:szCs w:val="18"/>
          <w:highlight w:val="none"/>
          <w:u w:val="single"/>
          <w:lang w:val="en-US" w:eastAsia="zh-CN"/>
        </w:rPr>
        <w:t>2.本采购项目电子投标文件的解密采用远程方式进行，供应商须在规定的时间内在不见面开标大厅对其加密的电子投标文件进行解密，请提前登录不见面开标大厅，按《不见面开标大厅－投标人操作手册》提供的方法操作。解密时间不超过开始解密时间 30 分钟，若超过 30分钟视为解密失败，按无效处理。</w:t>
      </w:r>
    </w:p>
    <w:p w14:paraId="75EEC892">
      <w:pPr>
        <w:pStyle w:val="8"/>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u w:val="single"/>
          <w:lang w:val="en-US" w:eastAsia="zh-CN"/>
        </w:rPr>
      </w:pPr>
      <w:r>
        <w:rPr>
          <w:rFonts w:hint="eastAsia" w:ascii="宋体" w:hAnsi="宋体" w:eastAsia="宋体"/>
          <w:color w:val="auto"/>
          <w:sz w:val="24"/>
          <w:szCs w:val="18"/>
          <w:highlight w:val="none"/>
          <w:u w:val="single"/>
          <w:lang w:val="en-US" w:eastAsia="zh-CN"/>
        </w:rPr>
        <w:t>3.本采购项目的询标、澄清等程序均采用远程方式进行，请各供应商在评审结束前不要离开电脑，按《投标人操作手册》提供的方法操作，询标响应时间不超过询标发起后15分钟，若超过15分钟，视为放弃解释权力，评委按不利于供应商解释处理。</w:t>
      </w:r>
    </w:p>
    <w:p w14:paraId="35C7AB72">
      <w:pPr>
        <w:pStyle w:val="8"/>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both"/>
        <w:textAlignment w:val="auto"/>
        <w:rPr>
          <w:rFonts w:hint="eastAsia" w:ascii="宋体" w:hAnsi="宋体" w:eastAsia="宋体"/>
          <w:color w:val="auto"/>
          <w:sz w:val="24"/>
          <w:szCs w:val="18"/>
          <w:highlight w:val="none"/>
          <w:u w:val="single"/>
          <w:lang w:val="en-US" w:eastAsia="zh-CN"/>
        </w:rPr>
      </w:pPr>
      <w:r>
        <w:rPr>
          <w:rFonts w:hint="eastAsia" w:ascii="宋体" w:hAnsi="宋体" w:eastAsia="宋体"/>
          <w:color w:val="auto"/>
          <w:sz w:val="24"/>
          <w:szCs w:val="18"/>
          <w:highlight w:val="none"/>
          <w:u w:val="single"/>
          <w:lang w:val="en-US" w:eastAsia="zh-CN"/>
        </w:rPr>
        <w:t>4.供应商自身原因导致解密失败的，风险由供应商自行承担。因供应商没有及时登录系统、未完成远程网上解密、询标、澄清等环节导致无法接受评审委员会评审等情形的风险，由供应商自行承担。</w:t>
      </w:r>
    </w:p>
    <w:bookmarkEnd w:id="29"/>
    <w:p w14:paraId="1A07881E">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outlineLvl w:val="1"/>
        <w:rPr>
          <w:rFonts w:hint="eastAsia" w:ascii="宋体" w:hAnsi="宋体" w:eastAsia="宋体"/>
          <w:b/>
          <w:bCs/>
          <w:color w:val="auto"/>
          <w:sz w:val="24"/>
          <w:szCs w:val="18"/>
          <w:highlight w:val="none"/>
        </w:rPr>
      </w:pPr>
      <w:bookmarkStart w:id="36" w:name="_Toc7265"/>
      <w:bookmarkStart w:id="37" w:name="_Toc1819"/>
      <w:bookmarkStart w:id="38" w:name="_Toc17840"/>
      <w:bookmarkStart w:id="39" w:name="_Toc3854"/>
      <w:bookmarkStart w:id="40" w:name="_Toc31765"/>
      <w:r>
        <w:rPr>
          <w:rFonts w:hint="eastAsia" w:ascii="宋体" w:hAnsi="宋体" w:eastAsia="宋体"/>
          <w:b/>
          <w:bCs/>
          <w:color w:val="auto"/>
          <w:sz w:val="24"/>
          <w:szCs w:val="18"/>
          <w:highlight w:val="none"/>
        </w:rPr>
        <w:t>七、</w:t>
      </w:r>
      <w:bookmarkEnd w:id="36"/>
      <w:r>
        <w:rPr>
          <w:rFonts w:hint="eastAsia" w:ascii="宋体" w:hAnsi="宋体" w:eastAsia="宋体"/>
          <w:b/>
          <w:bCs/>
          <w:color w:val="auto"/>
          <w:sz w:val="24"/>
          <w:szCs w:val="18"/>
          <w:highlight w:val="none"/>
        </w:rPr>
        <w:t>对本次招标提出询问，请按以下方式联系</w:t>
      </w:r>
      <w:bookmarkEnd w:id="37"/>
      <w:bookmarkEnd w:id="38"/>
      <w:bookmarkEnd w:id="39"/>
      <w:bookmarkEnd w:id="40"/>
    </w:p>
    <w:p w14:paraId="1BC1FDB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1.采购人信息</w:t>
      </w:r>
    </w:p>
    <w:p w14:paraId="0520D77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名 称：安徽省宿州市立医院</w:t>
      </w:r>
    </w:p>
    <w:p w14:paraId="1C43F2E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地址：宿州市汴阳三路616号</w:t>
      </w:r>
    </w:p>
    <w:p w14:paraId="178B8DE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ascii="宋体" w:hAnsi="宋体" w:eastAsia="宋体"/>
          <w:color w:val="auto"/>
          <w:sz w:val="24"/>
          <w:szCs w:val="18"/>
          <w:highlight w:val="none"/>
        </w:rPr>
        <w:t>黄老师</w:t>
      </w:r>
    </w:p>
    <w:p w14:paraId="248542E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lang w:val="en-US" w:eastAsia="zh-CN"/>
        </w:rPr>
        <w:t>17760812726</w:t>
      </w:r>
      <w:r>
        <w:rPr>
          <w:rFonts w:hint="eastAsia" w:ascii="宋体" w:hAnsi="宋体" w:eastAsia="宋体"/>
          <w:color w:val="auto"/>
          <w:sz w:val="24"/>
          <w:szCs w:val="18"/>
          <w:highlight w:val="none"/>
        </w:rPr>
        <w:t xml:space="preserve"> </w:t>
      </w:r>
    </w:p>
    <w:p w14:paraId="7AEB6F7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2.采购代理机构信息</w:t>
      </w:r>
    </w:p>
    <w:p w14:paraId="37E0BAC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名 称：安徽省招标集团股份有限公司</w:t>
      </w:r>
    </w:p>
    <w:p w14:paraId="58B899D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地　址：安徽省合肥市包河区紫云路888号安徽省招标集团12楼</w:t>
      </w:r>
    </w:p>
    <w:p w14:paraId="582F45C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联系人：曹智、胡自立</w:t>
      </w:r>
    </w:p>
    <w:p w14:paraId="09BACBE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联系方式：0551-6606138</w:t>
      </w:r>
      <w:r>
        <w:rPr>
          <w:rFonts w:hint="eastAsia" w:ascii="宋体" w:hAnsi="宋体" w:eastAsia="宋体"/>
          <w:color w:val="auto"/>
          <w:sz w:val="24"/>
          <w:szCs w:val="18"/>
          <w:highlight w:val="none"/>
          <w:lang w:val="en-US" w:eastAsia="zh-CN"/>
        </w:rPr>
        <w:t>5</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lang w:val="en-US" w:eastAsia="zh-CN"/>
        </w:rPr>
        <w:t>18130315528</w:t>
      </w:r>
      <w:r>
        <w:rPr>
          <w:rFonts w:hint="eastAsia" w:ascii="宋体" w:hAnsi="宋体" w:eastAsia="宋体"/>
          <w:color w:val="auto"/>
          <w:sz w:val="24"/>
          <w:szCs w:val="18"/>
          <w:highlight w:val="none"/>
        </w:rPr>
        <w:t>）</w:t>
      </w:r>
    </w:p>
    <w:p w14:paraId="033EB4F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3.政府采购监督管理部门信息</w:t>
      </w:r>
    </w:p>
    <w:p w14:paraId="078C68F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 xml:space="preserve">名  称：宿州市财政局 </w:t>
      </w:r>
    </w:p>
    <w:p w14:paraId="64A0FFF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 xml:space="preserve">地  址：宿州市淮河中路556号 </w:t>
      </w:r>
    </w:p>
    <w:p w14:paraId="74E7E57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olor w:val="auto"/>
          <w:sz w:val="24"/>
          <w:szCs w:val="18"/>
          <w:highlight w:val="none"/>
        </w:rPr>
      </w:pPr>
      <w:r>
        <w:rPr>
          <w:rFonts w:hint="eastAsia" w:ascii="宋体" w:hAnsi="宋体" w:eastAsia="宋体"/>
          <w:color w:val="auto"/>
          <w:sz w:val="24"/>
          <w:szCs w:val="18"/>
          <w:highlight w:val="none"/>
        </w:rPr>
        <w:t xml:space="preserve">联系方式：0557-3905932 </w:t>
      </w:r>
    </w:p>
    <w:p w14:paraId="7ACAEA15">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b/>
          <w:bCs/>
          <w:color w:val="auto"/>
          <w:sz w:val="24"/>
          <w:szCs w:val="18"/>
          <w:highlight w:val="none"/>
        </w:rPr>
      </w:pPr>
      <w:r>
        <w:rPr>
          <w:rFonts w:hint="eastAsia" w:ascii="宋体" w:hAnsi="宋体" w:eastAsia="宋体"/>
          <w:b/>
          <w:bCs/>
          <w:color w:val="auto"/>
          <w:sz w:val="24"/>
          <w:szCs w:val="18"/>
          <w:highlight w:val="none"/>
        </w:rPr>
        <w:t>4.质疑</w:t>
      </w:r>
    </w:p>
    <w:p w14:paraId="5C2DD7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b w:val="0"/>
          <w:bCs w:val="0"/>
          <w:color w:val="auto"/>
          <w:sz w:val="24"/>
          <w:szCs w:val="18"/>
          <w:highlight w:val="none"/>
        </w:rPr>
      </w:pPr>
      <w:r>
        <w:rPr>
          <w:rFonts w:hint="eastAsia" w:ascii="宋体" w:hAnsi="宋体" w:eastAsia="宋体"/>
          <w:b w:val="0"/>
          <w:bCs w:val="0"/>
          <w:color w:val="auto"/>
          <w:sz w:val="24"/>
          <w:szCs w:val="18"/>
          <w:highlight w:val="none"/>
        </w:rPr>
        <w:t>投标人如果针对此招标（采购）文件存在质疑，可登录电子交易系统http://60.171.247.212:8111/TPBidder/memberLogin 点击网上“质疑菜单”发起在线质疑，招标人或招标代理会在法定期限内做出答复。</w:t>
      </w:r>
    </w:p>
    <w:p w14:paraId="445B509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b w:val="0"/>
          <w:bCs w:val="0"/>
          <w:color w:val="auto"/>
          <w:sz w:val="24"/>
          <w:szCs w:val="18"/>
          <w:highlight w:val="none"/>
        </w:rPr>
      </w:pPr>
    </w:p>
    <w:p w14:paraId="6E44BB6D">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17281442">
      <w:pPr>
        <w:spacing w:line="360" w:lineRule="auto"/>
        <w:jc w:val="center"/>
        <w:outlineLvl w:val="0"/>
        <w:rPr>
          <w:rFonts w:asciiTheme="minorEastAsia" w:hAnsiTheme="minorEastAsia" w:eastAsiaTheme="minorEastAsia"/>
          <w:b/>
          <w:color w:val="auto"/>
          <w:sz w:val="28"/>
          <w:highlight w:val="none"/>
        </w:rPr>
      </w:pPr>
      <w:bookmarkStart w:id="41" w:name="_Toc17156"/>
      <w:bookmarkStart w:id="42" w:name="_Toc3601"/>
      <w:bookmarkStart w:id="43" w:name="_Toc22438"/>
      <w:bookmarkStart w:id="44" w:name="_Toc24629"/>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41"/>
      <w:bookmarkEnd w:id="42"/>
      <w:bookmarkEnd w:id="43"/>
      <w:bookmarkEnd w:id="44"/>
    </w:p>
    <w:p w14:paraId="1C2B44DB">
      <w:pPr>
        <w:spacing w:line="360" w:lineRule="auto"/>
        <w:jc w:val="center"/>
        <w:outlineLvl w:val="1"/>
        <w:rPr>
          <w:rFonts w:asciiTheme="minorEastAsia" w:hAnsiTheme="minorEastAsia" w:eastAsiaTheme="minorEastAsia"/>
          <w:b/>
          <w:color w:val="auto"/>
          <w:sz w:val="24"/>
          <w:highlight w:val="none"/>
        </w:rPr>
      </w:pPr>
      <w:bookmarkStart w:id="45" w:name="_Toc908"/>
      <w:bookmarkStart w:id="46" w:name="_Toc3114"/>
      <w:bookmarkStart w:id="47" w:name="_Toc26778"/>
      <w:bookmarkStart w:id="48" w:name="_Toc16693"/>
      <w:bookmarkStart w:id="49" w:name="_Toc7178"/>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45"/>
      <w:bookmarkEnd w:id="46"/>
      <w:bookmarkEnd w:id="47"/>
      <w:bookmarkEnd w:id="48"/>
      <w:bookmarkEnd w:id="49"/>
    </w:p>
    <w:p w14:paraId="13C5CDE9">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4"/>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1392"/>
        <w:gridCol w:w="6542"/>
      </w:tblGrid>
      <w:tr w14:paraId="37E4D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71" w:type="pct"/>
            <w:vAlign w:val="center"/>
          </w:tcPr>
          <w:p w14:paraId="216F6B5C">
            <w:pPr>
              <w:pStyle w:val="43"/>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794" w:type="pct"/>
            <w:vAlign w:val="center"/>
          </w:tcPr>
          <w:p w14:paraId="6B4D4B7D">
            <w:pPr>
              <w:pStyle w:val="43"/>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733" w:type="pct"/>
            <w:vAlign w:val="center"/>
          </w:tcPr>
          <w:p w14:paraId="467D9BEB">
            <w:pPr>
              <w:pStyle w:val="43"/>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2248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71" w:type="pct"/>
            <w:vAlign w:val="center"/>
          </w:tcPr>
          <w:p w14:paraId="3EB3A31A">
            <w:pPr>
              <w:pStyle w:val="44"/>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794" w:type="pct"/>
            <w:vAlign w:val="center"/>
          </w:tcPr>
          <w:p w14:paraId="2B65B3B9">
            <w:pPr>
              <w:pStyle w:val="4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现场考察</w:t>
            </w:r>
            <w:r>
              <w:rPr>
                <w:rFonts w:hint="eastAsia" w:ascii="宋体" w:hAnsi="宋体" w:eastAsia="宋体"/>
                <w:b w:val="0"/>
                <w:color w:val="auto"/>
                <w:sz w:val="24"/>
                <w:highlight w:val="none"/>
                <w:lang w:val="en-US" w:eastAsia="zh-CN"/>
              </w:rPr>
              <w:t>或标前答疑会</w:t>
            </w:r>
          </w:p>
        </w:tc>
        <w:tc>
          <w:tcPr>
            <w:tcW w:w="3733" w:type="pct"/>
            <w:vAlign w:val="center"/>
          </w:tcPr>
          <w:p w14:paraId="3BA8AFB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3C0A8B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bCs/>
                <w:color w:val="auto"/>
                <w:sz w:val="24"/>
                <w:highlight w:val="none"/>
                <w:lang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43E4B47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6398A99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p>
          <w:p w14:paraId="66C2608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lang w:val="en-US" w:eastAsia="zh-CN"/>
              </w:rPr>
              <w:t>/</w:t>
            </w:r>
            <w:r>
              <w:rPr>
                <w:rFonts w:ascii="宋体" w:hAnsi="宋体" w:eastAsia="宋体"/>
                <w:bCs/>
                <w:color w:val="auto"/>
                <w:sz w:val="24"/>
                <w:highlight w:val="none"/>
                <w:u w:val="single"/>
              </w:rPr>
              <w:t xml:space="preserve">       </w:t>
            </w:r>
          </w:p>
          <w:p w14:paraId="1B94A396">
            <w:pPr>
              <w:pStyle w:val="4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4229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71" w:type="pct"/>
            <w:vAlign w:val="center"/>
          </w:tcPr>
          <w:p w14:paraId="0020AE6E">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794" w:type="pct"/>
            <w:vAlign w:val="center"/>
          </w:tcPr>
          <w:p w14:paraId="6A4467E4">
            <w:pPr>
              <w:pStyle w:val="43"/>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733" w:type="pct"/>
            <w:vAlign w:val="center"/>
          </w:tcPr>
          <w:p w14:paraId="06B28AA9">
            <w:pPr>
              <w:pStyle w:val="43"/>
              <w:widowControl w:val="0"/>
              <w:spacing w:before="0" w:beforeAutospacing="0" w:after="0" w:afterAutospacing="0"/>
              <w:jc w:val="both"/>
              <w:rPr>
                <w:rFonts w:ascii="宋体" w:hAnsi="宋体" w:eastAsia="宋体"/>
                <w:b w:val="0"/>
                <w:color w:val="auto"/>
                <w:sz w:val="24"/>
                <w:highlight w:val="none"/>
              </w:rPr>
            </w:pP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年</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9</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月</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日</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u w:val="single"/>
              </w:rPr>
              <w:t xml:space="preserve"> </w:t>
            </w:r>
            <w:r>
              <w:rPr>
                <w:rFonts w:ascii="宋体" w:hAnsi="宋体" w:eastAsia="宋体"/>
                <w:b w:val="0"/>
                <w:color w:val="auto"/>
                <w:sz w:val="24"/>
                <w:highlight w:val="none"/>
              </w:rPr>
              <w:t>时</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rPr>
              <w:t>分</w:t>
            </w:r>
          </w:p>
        </w:tc>
      </w:tr>
      <w:tr w14:paraId="3599D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71" w:type="pct"/>
            <w:vAlign w:val="center"/>
          </w:tcPr>
          <w:p w14:paraId="37231623">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794" w:type="pct"/>
            <w:vAlign w:val="center"/>
          </w:tcPr>
          <w:p w14:paraId="7D418D49">
            <w:pPr>
              <w:pStyle w:val="43"/>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733" w:type="pct"/>
            <w:vAlign w:val="center"/>
          </w:tcPr>
          <w:p w14:paraId="05C2A4AD">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     □分为  个包</w:t>
            </w:r>
          </w:p>
          <w:p w14:paraId="7D8B005F">
            <w:pPr>
              <w:pStyle w:val="43"/>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hint="eastAsia" w:ascii="宋体" w:hAnsi="宋体" w:eastAsia="宋体"/>
                <w:b w:val="0"/>
                <w:bCs w:val="0"/>
                <w:color w:val="auto"/>
                <w:sz w:val="24"/>
                <w:szCs w:val="18"/>
                <w:highlight w:val="none"/>
                <w:u w:val="single"/>
                <w:lang w:val="en-US" w:eastAsia="zh-CN"/>
              </w:rPr>
              <w:t>/</w:t>
            </w:r>
            <w:r>
              <w:rPr>
                <w:rFonts w:ascii="宋体" w:hAnsi="宋体" w:eastAsia="宋体"/>
                <w:b w:val="0"/>
                <w:bCs w:val="0"/>
                <w:color w:val="auto"/>
                <w:sz w:val="24"/>
                <w:szCs w:val="18"/>
                <w:highlight w:val="none"/>
                <w:u w:val="single"/>
              </w:rPr>
              <w:t xml:space="preserve"> </w:t>
            </w:r>
          </w:p>
        </w:tc>
      </w:tr>
      <w:tr w14:paraId="579B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471" w:type="pct"/>
            <w:vAlign w:val="center"/>
          </w:tcPr>
          <w:p w14:paraId="01E07874">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794" w:type="pct"/>
            <w:vAlign w:val="center"/>
          </w:tcPr>
          <w:p w14:paraId="65E9DB8A">
            <w:pPr>
              <w:pStyle w:val="43"/>
              <w:widowControl w:val="0"/>
              <w:spacing w:before="0" w:beforeAutospacing="0" w:after="0" w:afterAutospacing="0" w:line="360" w:lineRule="auto"/>
              <w:jc w:val="center"/>
              <w:rPr>
                <w:rFonts w:ascii="宋体" w:hAnsi="宋体" w:eastAsia="宋体"/>
                <w:b w:val="0"/>
                <w:color w:val="auto"/>
                <w:sz w:val="24"/>
                <w:highlight w:val="none"/>
              </w:rPr>
            </w:pPr>
            <w:r>
              <w:rPr>
                <w:rFonts w:hint="eastAsia" w:ascii="宋体" w:hAnsi="宋体" w:eastAsia="宋体"/>
                <w:b/>
                <w:bCs w:val="0"/>
                <w:color w:val="auto"/>
                <w:sz w:val="24"/>
                <w:highlight w:val="none"/>
              </w:rPr>
              <w:t>投标保证金</w:t>
            </w:r>
          </w:p>
        </w:tc>
        <w:tc>
          <w:tcPr>
            <w:tcW w:w="3733" w:type="pct"/>
            <w:vAlign w:val="center"/>
          </w:tcPr>
          <w:p w14:paraId="722B02DC">
            <w:pPr>
              <w:spacing w:line="360" w:lineRule="auto"/>
              <w:rPr>
                <w:rFonts w:hint="eastAsia" w:eastAsia="@仿宋_GB2312"/>
                <w:color w:val="auto"/>
                <w:highlight w:val="none"/>
                <w:lang w:eastAsia="zh-CN"/>
              </w:rPr>
            </w:pPr>
            <w:r>
              <w:rPr>
                <w:rFonts w:hint="eastAsia" w:ascii="宋体" w:hAnsi="宋体" w:eastAsia="宋体"/>
                <w:b/>
                <w:bCs w:val="0"/>
                <w:color w:val="auto"/>
                <w:kern w:val="0"/>
                <w:sz w:val="24"/>
                <w:szCs w:val="28"/>
                <w:highlight w:val="none"/>
                <w:lang w:val="en-US" w:eastAsia="zh-CN"/>
              </w:rPr>
              <w:t>不要求</w:t>
            </w:r>
          </w:p>
        </w:tc>
      </w:tr>
      <w:tr w14:paraId="2C4B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71" w:type="pct"/>
            <w:vAlign w:val="center"/>
          </w:tcPr>
          <w:p w14:paraId="06278B6A">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794" w:type="pct"/>
            <w:vAlign w:val="center"/>
          </w:tcPr>
          <w:p w14:paraId="49DD7E96">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733" w:type="pct"/>
            <w:vAlign w:val="center"/>
          </w:tcPr>
          <w:p w14:paraId="4DC007A3">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 xml:space="preserve">60 </w:t>
            </w:r>
            <w:r>
              <w:rPr>
                <w:rFonts w:hint="eastAsia" w:ascii="宋体" w:hAnsi="宋体" w:eastAsia="宋体"/>
                <w:b w:val="0"/>
                <w:color w:val="auto"/>
                <w:sz w:val="24"/>
                <w:highlight w:val="none"/>
              </w:rPr>
              <w:t>日历日</w:t>
            </w:r>
          </w:p>
        </w:tc>
      </w:tr>
      <w:tr w14:paraId="6337E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71" w:type="pct"/>
            <w:vAlign w:val="center"/>
          </w:tcPr>
          <w:p w14:paraId="05EE5787">
            <w:pPr>
              <w:pStyle w:val="44"/>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794" w:type="pct"/>
            <w:vAlign w:val="center"/>
          </w:tcPr>
          <w:p w14:paraId="65AB8947">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733" w:type="pct"/>
            <w:vAlign w:val="center"/>
          </w:tcPr>
          <w:p w14:paraId="6280D24C">
            <w:pPr>
              <w:pStyle w:val="43"/>
              <w:widowControl w:val="0"/>
              <w:spacing w:before="0" w:beforeAutospacing="0" w:after="0" w:afterAutospacing="0" w:line="360" w:lineRule="auto"/>
              <w:jc w:val="both"/>
              <w:rPr>
                <w:rFonts w:hint="default"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 xml:space="preserve"> 开始解密时间30 </w:t>
            </w:r>
            <w:r>
              <w:rPr>
                <w:rFonts w:hint="eastAsia" w:ascii="宋体" w:hAnsi="宋体" w:eastAsia="宋体"/>
                <w:b w:val="0"/>
                <w:color w:val="auto"/>
                <w:sz w:val="24"/>
                <w:highlight w:val="none"/>
                <w:u w:val="none"/>
              </w:rPr>
              <w:t>分钟内</w:t>
            </w:r>
          </w:p>
        </w:tc>
      </w:tr>
      <w:tr w14:paraId="65C2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71" w:type="pct"/>
            <w:vAlign w:val="center"/>
          </w:tcPr>
          <w:p w14:paraId="1C5005F3">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794" w:type="pct"/>
            <w:vAlign w:val="center"/>
          </w:tcPr>
          <w:p w14:paraId="096C4419">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733" w:type="pct"/>
            <w:vAlign w:val="center"/>
          </w:tcPr>
          <w:p w14:paraId="0769FA36">
            <w:pPr>
              <w:pStyle w:val="43"/>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bCs w:val="0"/>
                <w:color w:val="auto"/>
                <w:sz w:val="24"/>
                <w:szCs w:val="24"/>
                <w:highlight w:val="none"/>
                <w:lang w:val="en-US" w:eastAsia="zh-CN"/>
              </w:rPr>
              <w:t>由评标委员会对投标人资格进行审查</w:t>
            </w:r>
          </w:p>
        </w:tc>
      </w:tr>
      <w:tr w14:paraId="342B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71" w:type="pct"/>
            <w:vAlign w:val="center"/>
          </w:tcPr>
          <w:p w14:paraId="07544248">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794" w:type="pct"/>
            <w:vAlign w:val="center"/>
          </w:tcPr>
          <w:p w14:paraId="14361BC6">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733" w:type="pct"/>
            <w:vAlign w:val="center"/>
          </w:tcPr>
          <w:p w14:paraId="3DCDCAA6">
            <w:pPr>
              <w:pStyle w:val="43"/>
              <w:widowControl w:val="0"/>
              <w:spacing w:before="0" w:beforeAutospacing="0" w:after="0" w:afterAutospacing="0" w:line="360" w:lineRule="auto"/>
              <w:jc w:val="both"/>
              <w:rPr>
                <w:rFonts w:ascii="宋体" w:hAnsi="宋体" w:eastAsia="宋体"/>
                <w:b w:val="0"/>
                <w:color w:val="auto"/>
                <w:sz w:val="24"/>
                <w:highlight w:val="none"/>
                <w:u w:val="none"/>
              </w:rPr>
            </w:pPr>
            <w:r>
              <w:rPr>
                <w:rFonts w:ascii="宋体" w:hAnsi="宋体" w:eastAsia="宋体"/>
                <w:b w:val="0"/>
                <w:bCs w:val="0"/>
                <w:color w:val="auto"/>
                <w:sz w:val="24"/>
                <w:szCs w:val="24"/>
                <w:highlight w:val="none"/>
                <w:u w:val="none"/>
              </w:rPr>
              <w:t>□</w:t>
            </w:r>
            <w:r>
              <w:rPr>
                <w:rFonts w:hint="eastAsia" w:ascii="宋体" w:hAnsi="宋体" w:eastAsia="宋体"/>
                <w:b w:val="0"/>
                <w:color w:val="auto"/>
                <w:sz w:val="24"/>
                <w:highlight w:val="none"/>
                <w:u w:val="none"/>
              </w:rPr>
              <w:t>最低评标价法</w:t>
            </w:r>
          </w:p>
          <w:p w14:paraId="30D5F750">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u w:val="none"/>
                <w:lang w:eastAsia="zh-CN"/>
              </w:rPr>
              <w:t>☑</w:t>
            </w:r>
            <w:r>
              <w:rPr>
                <w:rFonts w:hint="eastAsia" w:ascii="宋体" w:hAnsi="宋体" w:eastAsia="宋体"/>
                <w:b w:val="0"/>
                <w:color w:val="auto"/>
                <w:sz w:val="24"/>
                <w:highlight w:val="none"/>
                <w:u w:val="none"/>
              </w:rPr>
              <w:t>综合评分法</w:t>
            </w:r>
          </w:p>
        </w:tc>
      </w:tr>
      <w:tr w14:paraId="6085C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71" w:type="pct"/>
            <w:vAlign w:val="center"/>
          </w:tcPr>
          <w:p w14:paraId="265042D2">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794" w:type="pct"/>
            <w:vAlign w:val="center"/>
          </w:tcPr>
          <w:p w14:paraId="24282B9F">
            <w:pPr>
              <w:pStyle w:val="43"/>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color w:val="auto"/>
                <w:sz w:val="24"/>
                <w:highlight w:val="none"/>
              </w:rPr>
              <w:t>报价扣除</w:t>
            </w:r>
          </w:p>
        </w:tc>
        <w:tc>
          <w:tcPr>
            <w:tcW w:w="3733" w:type="pct"/>
            <w:shd w:val="clear" w:color="auto" w:fill="auto"/>
            <w:vAlign w:val="center"/>
          </w:tcPr>
          <w:p w14:paraId="7FDE3FD5">
            <w:pPr>
              <w:pStyle w:val="43"/>
              <w:widowControl w:val="0"/>
              <w:spacing w:before="0" w:beforeAutospacing="0" w:after="0" w:afterAutospacing="0" w:line="360" w:lineRule="auto"/>
              <w:jc w:val="both"/>
              <w:rPr>
                <w:rFonts w:hint="eastAsia" w:ascii="仿宋" w:hAnsi="仿宋" w:eastAsia="仿宋" w:cs="仿宋"/>
                <w:color w:val="auto"/>
                <w:kern w:val="2"/>
                <w:sz w:val="21"/>
                <w:highlight w:val="none"/>
                <w:lang w:val="en-US" w:eastAsia="zh-CN" w:bidi="ar-SA"/>
              </w:rPr>
            </w:pPr>
            <w:r>
              <w:rPr>
                <w:rFonts w:hint="eastAsia" w:ascii="宋体" w:hAnsi="宋体" w:eastAsia="宋体"/>
                <w:b w:val="0"/>
                <w:color w:val="auto"/>
                <w:sz w:val="24"/>
                <w:highlight w:val="none"/>
              </w:rPr>
              <w:t>本项目不适用</w:t>
            </w:r>
          </w:p>
        </w:tc>
      </w:tr>
      <w:tr w14:paraId="62FA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71" w:type="pct"/>
            <w:vAlign w:val="center"/>
          </w:tcPr>
          <w:p w14:paraId="62B97303">
            <w:pPr>
              <w:pStyle w:val="44"/>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794" w:type="pct"/>
            <w:vAlign w:val="center"/>
          </w:tcPr>
          <w:p w14:paraId="0526B8E0">
            <w:pPr>
              <w:spacing w:line="360" w:lineRule="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p>
        </w:tc>
        <w:tc>
          <w:tcPr>
            <w:tcW w:w="3733" w:type="pct"/>
            <w:vAlign w:val="center"/>
          </w:tcPr>
          <w:p w14:paraId="4C6E1350">
            <w:pPr>
              <w:pStyle w:val="4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color w:val="auto"/>
                <w:sz w:val="24"/>
                <w:highlight w:val="none"/>
              </w:rPr>
              <w:t>本项目不适用</w:t>
            </w:r>
          </w:p>
        </w:tc>
      </w:tr>
      <w:tr w14:paraId="456E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71" w:type="pct"/>
            <w:vAlign w:val="center"/>
          </w:tcPr>
          <w:p w14:paraId="5F863C61">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794" w:type="pct"/>
            <w:vAlign w:val="center"/>
          </w:tcPr>
          <w:p w14:paraId="6422F33F">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733" w:type="pct"/>
            <w:vAlign w:val="center"/>
          </w:tcPr>
          <w:p w14:paraId="5289A58C">
            <w:pPr>
              <w:pStyle w:val="43"/>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lang w:val="en-US" w:eastAsia="zh-CN"/>
              </w:rPr>
              <w:t xml:space="preserve"> 1-3名 </w:t>
            </w:r>
          </w:p>
        </w:tc>
      </w:tr>
      <w:tr w14:paraId="2B5E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71" w:type="pct"/>
            <w:vAlign w:val="center"/>
          </w:tcPr>
          <w:p w14:paraId="7857674C">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794" w:type="pct"/>
            <w:vAlign w:val="center"/>
          </w:tcPr>
          <w:p w14:paraId="4140DBC8">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733" w:type="pct"/>
            <w:vAlign w:val="center"/>
          </w:tcPr>
          <w:p w14:paraId="755F9CDB">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A8"/>
            </w:r>
            <w:r>
              <w:rPr>
                <w:rFonts w:hint="eastAsia" w:asciiTheme="minorEastAsia" w:hAnsiTheme="minorEastAsia" w:eastAsiaTheme="minorEastAsia"/>
                <w:color w:val="auto"/>
                <w:kern w:val="0"/>
                <w:sz w:val="24"/>
                <w:szCs w:val="24"/>
                <w:highlight w:val="none"/>
              </w:rPr>
              <w:t>采购人委托评标委员会确定</w:t>
            </w:r>
          </w:p>
          <w:p w14:paraId="2F273207">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lang w:eastAsia="zh-CN"/>
              </w:rPr>
              <w:t>☑</w:t>
            </w:r>
            <w:r>
              <w:rPr>
                <w:rFonts w:hint="eastAsia" w:asciiTheme="minorEastAsia" w:hAnsiTheme="minorEastAsia" w:eastAsiaTheme="minorEastAsia"/>
                <w:b w:val="0"/>
                <w:bCs w:val="0"/>
                <w:color w:val="auto"/>
                <w:kern w:val="2"/>
                <w:sz w:val="24"/>
                <w:szCs w:val="24"/>
                <w:highlight w:val="none"/>
              </w:rPr>
              <w:t>采购人确定</w:t>
            </w:r>
          </w:p>
        </w:tc>
      </w:tr>
      <w:tr w14:paraId="5B4F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71" w:type="pct"/>
            <w:vAlign w:val="center"/>
          </w:tcPr>
          <w:p w14:paraId="16926625">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794" w:type="pct"/>
            <w:vAlign w:val="center"/>
          </w:tcPr>
          <w:p w14:paraId="4F1035C0">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733" w:type="pct"/>
            <w:vAlign w:val="center"/>
          </w:tcPr>
          <w:p w14:paraId="3A99AF53">
            <w:pPr>
              <w:pStyle w:val="43"/>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lang w:eastAsia="zh-CN"/>
              </w:rPr>
              <w:t>招标文件中规定进行公示的其他内容</w:t>
            </w:r>
          </w:p>
        </w:tc>
      </w:tr>
      <w:tr w14:paraId="1A71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71" w:type="pct"/>
            <w:vAlign w:val="center"/>
          </w:tcPr>
          <w:p w14:paraId="575B88ED">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794" w:type="pct"/>
            <w:vAlign w:val="center"/>
          </w:tcPr>
          <w:p w14:paraId="2999B215">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733" w:type="pct"/>
            <w:vAlign w:val="center"/>
          </w:tcPr>
          <w:p w14:paraId="331BFCC4">
            <w:pPr>
              <w:pStyle w:val="43"/>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67938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71" w:type="pct"/>
            <w:vAlign w:val="center"/>
          </w:tcPr>
          <w:p w14:paraId="55D0FDD1">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794" w:type="pct"/>
            <w:vAlign w:val="center"/>
          </w:tcPr>
          <w:p w14:paraId="66EEB43F">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733" w:type="pct"/>
            <w:vAlign w:val="center"/>
          </w:tcPr>
          <w:p w14:paraId="5D19F76D">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661F44BA">
            <w:pPr>
              <w:pStyle w:val="4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6623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471" w:type="pct"/>
            <w:vAlign w:val="center"/>
          </w:tcPr>
          <w:p w14:paraId="71FB9405">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794" w:type="pct"/>
            <w:vAlign w:val="center"/>
          </w:tcPr>
          <w:p w14:paraId="0EDB3267">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733" w:type="pct"/>
          </w:tcPr>
          <w:p w14:paraId="1FEF7071">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169F9B66">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免收</w:t>
            </w:r>
          </w:p>
          <w:p w14:paraId="4146FF9E">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u w:val="single"/>
                <w:lang w:val="en-US" w:eastAsia="zh-CN"/>
              </w:rPr>
              <w:t>2.5</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00595823">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4927A143">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4C085E0F">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FE"/>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FE"/>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1EF6E8F6">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采购人 </w:t>
            </w:r>
          </w:p>
          <w:p w14:paraId="44A14F0B">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中标后提供 </w:t>
            </w:r>
          </w:p>
          <w:p w14:paraId="2626978E">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货物全部交货验收合格后，乙方提出申请后退还。</w:t>
            </w:r>
          </w:p>
          <w:p w14:paraId="56DFA4AA">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5B830159">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0DF45511">
            <w:pPr>
              <w:spacing w:line="360" w:lineRule="auto"/>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p w14:paraId="23E1E163">
            <w:pPr>
              <w:spacing w:line="360" w:lineRule="auto"/>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w:t>
            </w:r>
            <w:r>
              <w:rPr>
                <w:rFonts w:hint="eastAsia" w:ascii="宋体" w:hAnsi="宋体" w:eastAsia="宋体"/>
                <w:b/>
                <w:bCs/>
                <w:color w:val="auto"/>
                <w:kern w:val="0"/>
                <w:sz w:val="24"/>
                <w:szCs w:val="24"/>
                <w:highlight w:val="none"/>
                <w:lang w:val="en-US" w:eastAsia="zh-CN"/>
              </w:rPr>
              <w:t>3</w:t>
            </w:r>
            <w:r>
              <w:rPr>
                <w:rFonts w:hint="eastAsia" w:ascii="宋体" w:hAnsi="宋体" w:eastAsia="宋体"/>
                <w:b/>
                <w:bCs/>
                <w:color w:val="auto"/>
                <w:kern w:val="0"/>
                <w:sz w:val="24"/>
                <w:szCs w:val="24"/>
                <w:highlight w:val="none"/>
              </w:rPr>
              <w:t>）履约保证金因中标人原因导致交货期限延长的，其履约保证金有效期应相应延长。</w:t>
            </w:r>
          </w:p>
          <w:p w14:paraId="3232BFF3">
            <w:pPr>
              <w:spacing w:line="360" w:lineRule="auto"/>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w:t>
            </w:r>
            <w:r>
              <w:rPr>
                <w:rFonts w:hint="eastAsia" w:ascii="宋体" w:hAnsi="宋体" w:eastAsia="宋体"/>
                <w:b/>
                <w:bCs/>
                <w:color w:val="auto"/>
                <w:kern w:val="0"/>
                <w:sz w:val="24"/>
                <w:szCs w:val="24"/>
                <w:highlight w:val="none"/>
                <w:lang w:val="en-US" w:eastAsia="zh-CN"/>
              </w:rPr>
              <w:t>4</w:t>
            </w:r>
            <w:r>
              <w:rPr>
                <w:rFonts w:hint="eastAsia" w:ascii="宋体" w:hAnsi="宋体" w:eastAsia="宋体"/>
                <w:b/>
                <w:bCs/>
                <w:color w:val="auto"/>
                <w:kern w:val="0"/>
                <w:sz w:val="24"/>
                <w:szCs w:val="24"/>
                <w:highlight w:val="none"/>
              </w:rPr>
              <w:t>）发生下列之一者，则不予退还履约保证金：</w:t>
            </w:r>
          </w:p>
          <w:p w14:paraId="00852AC3">
            <w:pPr>
              <w:spacing w:line="360" w:lineRule="auto"/>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①中标人发生违约行为而完全终止合同；</w:t>
            </w:r>
          </w:p>
          <w:p w14:paraId="154957F8">
            <w:pPr>
              <w:spacing w:line="360" w:lineRule="auto"/>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②中标人不履行实质性承诺。</w:t>
            </w:r>
          </w:p>
          <w:p w14:paraId="511D4E55">
            <w:pPr>
              <w:spacing w:line="360" w:lineRule="auto"/>
              <w:rPr>
                <w:rFonts w:hint="eastAsia"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w:t>
            </w:r>
            <w:r>
              <w:rPr>
                <w:rFonts w:hint="eastAsia" w:ascii="宋体" w:hAnsi="宋体" w:eastAsia="宋体"/>
                <w:b/>
                <w:bCs/>
                <w:color w:val="auto"/>
                <w:kern w:val="0"/>
                <w:sz w:val="24"/>
                <w:szCs w:val="24"/>
                <w:highlight w:val="none"/>
                <w:lang w:val="en-US" w:eastAsia="zh-CN"/>
              </w:rPr>
              <w:t>5</w:t>
            </w:r>
            <w:r>
              <w:rPr>
                <w:rFonts w:hint="eastAsia" w:ascii="宋体" w:hAnsi="宋体" w:eastAsia="宋体"/>
                <w:b/>
                <w:bCs/>
                <w:color w:val="auto"/>
                <w:kern w:val="0"/>
                <w:sz w:val="24"/>
                <w:szCs w:val="24"/>
                <w:highlight w:val="none"/>
              </w:rPr>
              <w:t>）履约保证金的退还或不予退还并不免除中标人对已交付合同货物的质量责任。</w:t>
            </w:r>
          </w:p>
        </w:tc>
      </w:tr>
      <w:tr w14:paraId="05050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471" w:type="pct"/>
            <w:vAlign w:val="center"/>
          </w:tcPr>
          <w:p w14:paraId="691C91A2">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794" w:type="pct"/>
            <w:vAlign w:val="center"/>
          </w:tcPr>
          <w:p w14:paraId="1919AE48">
            <w:pPr>
              <w:pStyle w:val="43"/>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733" w:type="pct"/>
          </w:tcPr>
          <w:p w14:paraId="75CA5ABA">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（1）采购人与中标人应当自发出中标通知书之日起30日内签订合同。</w:t>
            </w:r>
          </w:p>
          <w:p w14:paraId="3398A2F7">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textAlignment w:val="auto"/>
              <w:rPr>
                <w:rFonts w:hint="eastAsia" w:ascii="宋体" w:hAnsi="宋体" w:eastAsia="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w:t>
            </w:r>
            <w:r>
              <w:rPr>
                <w:rFonts w:hint="default" w:ascii="宋体" w:hAnsi="宋体" w:eastAsia="宋体" w:cs="宋体"/>
                <w:b w:val="0"/>
                <w:bCs w:val="0"/>
                <w:color w:val="auto"/>
                <w:sz w:val="24"/>
                <w:szCs w:val="24"/>
                <w:highlight w:val="none"/>
                <w:lang w:val="en-US" w:eastAsia="zh-CN"/>
              </w:rPr>
              <w:t>不得擅自变更合同，</w:t>
            </w:r>
            <w:r>
              <w:rPr>
                <w:rFonts w:hint="eastAsia" w:ascii="宋体" w:hAnsi="宋体" w:eastAsia="宋体" w:cs="宋体"/>
                <w:b w:val="0"/>
                <w:bCs w:val="0"/>
                <w:color w:val="auto"/>
                <w:sz w:val="24"/>
                <w:szCs w:val="24"/>
                <w:highlight w:val="none"/>
                <w:lang w:val="en-US" w:eastAsia="zh-CN"/>
              </w:rPr>
              <w:t>经双方协商一致的情况</w:t>
            </w:r>
            <w:r>
              <w:rPr>
                <w:rFonts w:hint="default" w:ascii="宋体" w:hAnsi="宋体" w:eastAsia="宋体" w:cs="宋体"/>
                <w:b w:val="0"/>
                <w:bCs w:val="0"/>
                <w:color w:val="auto"/>
                <w:sz w:val="24"/>
                <w:szCs w:val="24"/>
                <w:highlight w:val="none"/>
                <w:lang w:val="en-US" w:eastAsia="zh-CN"/>
              </w:rPr>
              <w:t>除外。</w:t>
            </w:r>
          </w:p>
        </w:tc>
      </w:tr>
      <w:tr w14:paraId="4F43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71" w:type="pct"/>
            <w:vAlign w:val="center"/>
          </w:tcPr>
          <w:p w14:paraId="59C4D0DD">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794" w:type="pct"/>
            <w:vAlign w:val="center"/>
          </w:tcPr>
          <w:p w14:paraId="1A987307">
            <w:pPr>
              <w:pStyle w:val="43"/>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733" w:type="pct"/>
            <w:vAlign w:val="center"/>
          </w:tcPr>
          <w:p w14:paraId="6A116EFE">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color w:val="auto"/>
                <w:spacing w:val="14"/>
                <w:sz w:val="24"/>
                <w:szCs w:val="24"/>
                <w:highlight w:val="none"/>
              </w:rPr>
              <w:t>中标人</w:t>
            </w:r>
          </w:p>
          <w:p w14:paraId="0DE6A3B7">
            <w:pPr>
              <w:keepNext w:val="0"/>
              <w:keepLines w:val="0"/>
              <w:pageBreakBefore w:val="0"/>
              <w:widowControl w:val="0"/>
              <w:kinsoku/>
              <w:wordWrap/>
              <w:overflowPunct/>
              <w:topLinePunct w:val="0"/>
              <w:autoSpaceDE/>
              <w:autoSpaceDN/>
              <w:bidi w:val="0"/>
              <w:adjustRightInd/>
              <w:snapToGrid/>
              <w:spacing w:before="24" w:line="360" w:lineRule="auto"/>
              <w:textAlignment w:val="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hint="default"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银行转账或电汇</w:t>
            </w:r>
            <w:r>
              <w:rPr>
                <w:rFonts w:ascii="宋体" w:hAnsi="宋体" w:eastAsia="宋体" w:cs="宋体"/>
                <w:color w:val="auto"/>
                <w:sz w:val="24"/>
                <w:szCs w:val="24"/>
                <w:highlight w:val="none"/>
                <w:u w:val="single" w:color="auto"/>
              </w:rPr>
              <w:t xml:space="preserve"> </w:t>
            </w:r>
          </w:p>
          <w:p w14:paraId="50CEC323">
            <w:pPr>
              <w:pStyle w:val="4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bCs w:val="0"/>
                <w:color w:val="auto"/>
                <w:kern w:val="0"/>
                <w:sz w:val="24"/>
                <w:szCs w:val="28"/>
                <w:highlight w:val="none"/>
              </w:rPr>
              <w:t>（3）</w:t>
            </w:r>
            <w:r>
              <w:rPr>
                <w:rFonts w:hint="default" w:ascii="宋体" w:hAnsi="宋体" w:eastAsia="宋体" w:cs="@仿宋_GB2312"/>
                <w:b w:val="0"/>
                <w:bCs/>
                <w:color w:val="auto"/>
                <w:kern w:val="0"/>
                <w:sz w:val="24"/>
                <w:szCs w:val="28"/>
                <w:highlight w:val="none"/>
                <w:lang w:val="en-US" w:eastAsia="zh-CN" w:bidi="ar-SA"/>
              </w:rPr>
              <w:t>收费标准：</w:t>
            </w:r>
            <w:r>
              <w:rPr>
                <w:rFonts w:hint="eastAsia" w:ascii="宋体" w:hAnsi="宋体" w:eastAsia="宋体" w:cs="宋体"/>
                <w:b w:val="0"/>
                <w:bCs w:val="0"/>
                <w:color w:val="auto"/>
                <w:sz w:val="24"/>
                <w:szCs w:val="24"/>
                <w:highlight w:val="none"/>
                <w:u w:val="single" w:color="auto"/>
              </w:rPr>
              <w:t>按计委计价格[2002]1980号文件和发改委发改价格[2011]534号文件规定标准的60%，计取收费的计算基数为代理项目的中标金额</w:t>
            </w:r>
            <w:r>
              <w:rPr>
                <w:rFonts w:ascii="宋体" w:hAnsi="宋体" w:eastAsia="宋体" w:cs="宋体"/>
                <w:color w:val="auto"/>
                <w:sz w:val="24"/>
                <w:szCs w:val="24"/>
                <w:highlight w:val="none"/>
                <w:u w:val="single" w:color="auto"/>
              </w:rPr>
              <w:t xml:space="preserve"> </w:t>
            </w:r>
          </w:p>
        </w:tc>
      </w:tr>
      <w:tr w14:paraId="07A8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71" w:type="pct"/>
            <w:vAlign w:val="center"/>
          </w:tcPr>
          <w:p w14:paraId="306EC6AE">
            <w:pPr>
              <w:pStyle w:val="44"/>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794" w:type="pct"/>
            <w:vAlign w:val="center"/>
          </w:tcPr>
          <w:p w14:paraId="56604392">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733" w:type="pct"/>
            <w:vAlign w:val="center"/>
          </w:tcPr>
          <w:p w14:paraId="7001B997">
            <w:pPr>
              <w:pStyle w:val="43"/>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递交方式（任选其一）：</w:t>
            </w:r>
          </w:p>
          <w:p w14:paraId="13BE048A">
            <w:pPr>
              <w:pStyle w:val="43"/>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（1）书面形式递交</w:t>
            </w:r>
            <w:r>
              <w:rPr>
                <w:rFonts w:hint="eastAsia" w:ascii="宋体" w:hAnsi="宋体" w:eastAsia="宋体"/>
                <w:b w:val="0"/>
                <w:color w:val="auto"/>
                <w:sz w:val="24"/>
                <w:highlight w:val="none"/>
                <w:lang w:eastAsia="zh-CN"/>
              </w:rPr>
              <w:t>；</w:t>
            </w:r>
          </w:p>
          <w:p w14:paraId="48BA6616">
            <w:pPr>
              <w:pStyle w:val="43"/>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（2）登录电子交易系统</w:t>
            </w:r>
          </w:p>
          <w:p w14:paraId="61F54F1D">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http://60.171.247.212:8111/TPBidder/memberLogin点击网上“质疑”菜单发起在线质疑，招标人或招标代理会在约定期限内做出答复。</w:t>
            </w:r>
          </w:p>
          <w:p w14:paraId="1445BDB6">
            <w:pPr>
              <w:pStyle w:val="43"/>
              <w:widowControl w:val="0"/>
              <w:spacing w:before="0" w:beforeAutospacing="0" w:after="0" w:afterAutospacing="0" w:line="360" w:lineRule="auto"/>
              <w:jc w:val="both"/>
              <w:rPr>
                <w:rFonts w:ascii="宋体" w:hAnsi="宋体" w:eastAsia="宋体"/>
                <w:b w:val="0"/>
                <w:bCs w:val="0"/>
                <w:color w:val="auto"/>
                <w:sz w:val="24"/>
                <w:szCs w:val="18"/>
                <w:highlight w:val="none"/>
              </w:rPr>
            </w:pPr>
            <w:r>
              <w:rPr>
                <w:rFonts w:hint="eastAsia" w:ascii="宋体" w:hAnsi="宋体" w:eastAsia="宋体"/>
                <w:b w:val="0"/>
                <w:color w:val="auto"/>
                <w:sz w:val="24"/>
                <w:highlight w:val="none"/>
              </w:rPr>
              <w:t>接收部门：</w:t>
            </w:r>
            <w:r>
              <w:rPr>
                <w:rFonts w:hint="eastAsia" w:ascii="宋体" w:hAnsi="宋体" w:eastAsia="宋体"/>
                <w:b w:val="0"/>
                <w:color w:val="auto"/>
                <w:sz w:val="24"/>
                <w:highlight w:val="none"/>
                <w:u w:val="single"/>
                <w:lang w:eastAsia="zh-CN"/>
              </w:rPr>
              <w:t>安徽省招标集团股份有限公司</w:t>
            </w:r>
          </w:p>
          <w:p w14:paraId="0AE196BB">
            <w:pPr>
              <w:pStyle w:val="43"/>
              <w:widowControl w:val="0"/>
              <w:spacing w:before="0" w:beforeAutospacing="0" w:after="0" w:afterAutospacing="0" w:line="360" w:lineRule="auto"/>
              <w:jc w:val="both"/>
              <w:rPr>
                <w:rFonts w:hint="eastAsia" w:ascii="宋体" w:hAnsi="宋体" w:eastAsia="宋体"/>
                <w:b w:val="0"/>
                <w:bCs w:val="0"/>
                <w:color w:val="auto"/>
                <w:sz w:val="24"/>
                <w:szCs w:val="18"/>
                <w:highlight w:val="none"/>
                <w:lang w:eastAsia="zh-CN"/>
              </w:rPr>
            </w:pPr>
            <w:r>
              <w:rPr>
                <w:rFonts w:ascii="宋体" w:hAnsi="宋体" w:eastAsia="宋体"/>
                <w:b w:val="0"/>
                <w:color w:val="auto"/>
                <w:sz w:val="24"/>
                <w:highlight w:val="none"/>
              </w:rPr>
              <w:t>联系电话：</w:t>
            </w:r>
            <w:r>
              <w:rPr>
                <w:rFonts w:hint="eastAsia" w:ascii="宋体" w:hAnsi="宋体" w:eastAsia="宋体"/>
                <w:b w:val="0"/>
                <w:color w:val="auto"/>
                <w:sz w:val="24"/>
                <w:highlight w:val="none"/>
                <w:u w:val="single"/>
              </w:rPr>
              <w:t>0551-6606138</w:t>
            </w:r>
            <w:r>
              <w:rPr>
                <w:rFonts w:hint="eastAsia" w:ascii="宋体" w:hAnsi="宋体" w:eastAsia="宋体"/>
                <w:b w:val="0"/>
                <w:color w:val="auto"/>
                <w:sz w:val="24"/>
                <w:highlight w:val="none"/>
                <w:u w:val="single"/>
                <w:lang w:val="en-US" w:eastAsia="zh-CN"/>
              </w:rPr>
              <w:t>5/18130315528</w:t>
            </w:r>
          </w:p>
          <w:p w14:paraId="3917F23C">
            <w:pPr>
              <w:pStyle w:val="43"/>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rPr>
              <w:t>通讯地址：</w:t>
            </w:r>
            <w:r>
              <w:rPr>
                <w:rFonts w:hint="eastAsia" w:ascii="宋体" w:hAnsi="宋体" w:eastAsia="宋体"/>
                <w:b w:val="0"/>
                <w:color w:val="auto"/>
                <w:sz w:val="24"/>
                <w:highlight w:val="none"/>
                <w:u w:val="single"/>
                <w:lang w:eastAsia="zh-CN"/>
              </w:rPr>
              <w:t>安徽省合肥市包河区紫云路888号</w:t>
            </w:r>
          </w:p>
        </w:tc>
      </w:tr>
      <w:tr w14:paraId="65AF8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71" w:type="pct"/>
            <w:vAlign w:val="center"/>
          </w:tcPr>
          <w:p w14:paraId="7D80F19C">
            <w:pPr>
              <w:pStyle w:val="44"/>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794" w:type="pct"/>
            <w:vAlign w:val="center"/>
          </w:tcPr>
          <w:p w14:paraId="746E8AD2">
            <w:pPr>
              <w:pStyle w:val="43"/>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733" w:type="pct"/>
            <w:vAlign w:val="center"/>
          </w:tcPr>
          <w:p w14:paraId="23ADAA09">
            <w:pPr>
              <w:pStyle w:val="43"/>
              <w:widowControl w:val="0"/>
              <w:numPr>
                <w:ilvl w:val="0"/>
                <w:numId w:val="0"/>
              </w:numPr>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4EFA775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6B2FF78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07D71DD1">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DD43B1B">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6FE872C5">
            <w:pPr>
              <w:pStyle w:val="43"/>
              <w:widowControl w:val="0"/>
              <w:numPr>
                <w:ilvl w:val="0"/>
                <w:numId w:val="0"/>
              </w:numPr>
              <w:spacing w:before="0" w:beforeAutospacing="0" w:after="0" w:afterAutospacing="0" w:line="360" w:lineRule="auto"/>
              <w:jc w:val="both"/>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3B0E8BDA">
            <w:pPr>
              <w:pStyle w:val="43"/>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2、操作提示：</w:t>
            </w:r>
          </w:p>
          <w:p w14:paraId="0EF45180">
            <w:pPr>
              <w:pStyle w:val="43"/>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1）本招标项目的澄清采用远程方式进行，请各投标人在评审结束前不要离开电脑，按《投标人操作手册》提供的方法操作，响应时间不超过发起后15分钟，若超过15分钟，视为放弃解释权力，评委按不利于投标人解释处理。（注：评标委员会启动异常低价投标审查时，时间应当延长至30分钟。）</w:t>
            </w:r>
          </w:p>
          <w:p w14:paraId="434D8CFB">
            <w:pPr>
              <w:pStyle w:val="43"/>
              <w:widowControl w:val="0"/>
              <w:numPr>
                <w:ilvl w:val="0"/>
                <w:numId w:val="0"/>
              </w:numPr>
              <w:spacing w:before="0" w:beforeAutospacing="0" w:after="0" w:afterAutospacing="0" w:line="360" w:lineRule="auto"/>
              <w:jc w:val="both"/>
              <w:rPr>
                <w:rFonts w:hint="eastAsia"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2）澄清流程：①全国公共资源交易平台（安徽省·宿州市）（http://ggzyjy.ahsz.gov.cn/）-电子交易系统-选择新系统登录；②选择项目-澄清答复；③点击答复，在规定时间内按照澄清问题要求回复；④回复完成后-点击生成质询回复单-保存提交。</w:t>
            </w:r>
          </w:p>
          <w:p w14:paraId="6E31D50C">
            <w:pPr>
              <w:pStyle w:val="43"/>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3、供应商自身原因导致解密失败的，风险由供应商自行承担。因供应商没有及时登录系统、未完成远程网上解密、询标、澄清等环节导致无法接受评审委员会评审等情形的风险，由供应商自行承担。</w:t>
            </w:r>
          </w:p>
        </w:tc>
      </w:tr>
    </w:tbl>
    <w:p w14:paraId="5DC4CF9D">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50" w:name="_Toc23937"/>
      <w:bookmarkStart w:id="51" w:name="_Toc24882"/>
      <w:bookmarkStart w:id="52" w:name="_Toc15666"/>
      <w:bookmarkStart w:id="53" w:name="_Toc14880"/>
      <w:bookmarkStart w:id="54" w:name="_Toc7000"/>
      <w:r>
        <w:rPr>
          <w:rFonts w:hint="eastAsia" w:asciiTheme="minorEastAsia" w:hAnsiTheme="minorEastAsia" w:eastAsiaTheme="minorEastAsia"/>
          <w:b/>
          <w:color w:val="auto"/>
          <w:sz w:val="24"/>
          <w:szCs w:val="24"/>
          <w:highlight w:val="none"/>
        </w:rPr>
        <w:t>二、</w:t>
      </w:r>
      <w:r>
        <w:rPr>
          <w:rFonts w:asciiTheme="minorEastAsia" w:hAnsiTheme="minorEastAsia" w:eastAsiaTheme="minorEastAsia"/>
          <w:b/>
          <w:color w:val="auto"/>
          <w:sz w:val="24"/>
          <w:szCs w:val="24"/>
          <w:highlight w:val="none"/>
        </w:rPr>
        <w:t>投标人须知</w:t>
      </w:r>
      <w:r>
        <w:rPr>
          <w:rFonts w:hint="eastAsia" w:asciiTheme="minorEastAsia" w:hAnsiTheme="minorEastAsia" w:eastAsiaTheme="minorEastAsia"/>
          <w:b/>
          <w:color w:val="auto"/>
          <w:sz w:val="24"/>
          <w:szCs w:val="24"/>
          <w:highlight w:val="none"/>
        </w:rPr>
        <w:t>正文</w:t>
      </w:r>
      <w:bookmarkEnd w:id="50"/>
      <w:bookmarkEnd w:id="51"/>
      <w:bookmarkEnd w:id="52"/>
      <w:bookmarkEnd w:id="53"/>
      <w:bookmarkEnd w:id="54"/>
    </w:p>
    <w:p w14:paraId="2A8B6E0B">
      <w:pPr>
        <w:spacing w:line="360" w:lineRule="auto"/>
        <w:ind w:firstLine="437"/>
        <w:outlineLvl w:val="2"/>
        <w:rPr>
          <w:rFonts w:hint="eastAsia" w:asciiTheme="minorEastAsia" w:hAnsiTheme="minorEastAsia" w:eastAsiaTheme="minorEastAsia"/>
          <w:b/>
          <w:color w:val="auto"/>
          <w:sz w:val="24"/>
          <w:highlight w:val="none"/>
          <w:lang w:val="en-US" w:eastAsia="zh-CN"/>
        </w:rPr>
      </w:pPr>
      <w:bookmarkStart w:id="55" w:name="_Toc32504"/>
      <w:r>
        <w:rPr>
          <w:rFonts w:hint="eastAsia" w:asciiTheme="minorEastAsia" w:hAnsiTheme="minorEastAsia" w:eastAsiaTheme="minorEastAsia"/>
          <w:b/>
          <w:color w:val="auto"/>
          <w:sz w:val="24"/>
          <w:highlight w:val="none"/>
          <w:lang w:val="en-US" w:eastAsia="zh-CN"/>
        </w:rPr>
        <w:t>1.采购人、采购代理机构及投标人</w:t>
      </w:r>
      <w:bookmarkEnd w:id="55"/>
    </w:p>
    <w:p w14:paraId="5DC2E3B3">
      <w:pPr>
        <w:adjustRightInd w:val="0"/>
        <w:snapToGrid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w:t>
      </w:r>
      <w:r>
        <w:rPr>
          <w:rFonts w:hint="eastAsia" w:ascii="宋体" w:hAnsi="宋体" w:eastAsia="宋体"/>
          <w:color w:val="auto"/>
          <w:sz w:val="24"/>
          <w:highlight w:val="none"/>
          <w:lang w:eastAsia="zh-CN"/>
        </w:rPr>
        <w:t>招标采购</w:t>
      </w:r>
      <w:r>
        <w:rPr>
          <w:rFonts w:ascii="宋体" w:hAnsi="宋体" w:eastAsia="宋体"/>
          <w:color w:val="auto"/>
          <w:sz w:val="24"/>
          <w:highlight w:val="none"/>
        </w:rPr>
        <w:t>活动的国家机关、事业单位、团体组织。</w:t>
      </w:r>
    </w:p>
    <w:p w14:paraId="45FCB35A">
      <w:pPr>
        <w:adjustRightInd w:val="0"/>
        <w:snapToGrid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680BA4DE">
      <w:pPr>
        <w:adjustRightInd w:val="0"/>
        <w:snapToGrid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w:t>
      </w:r>
      <w:r>
        <w:rPr>
          <w:rFonts w:hint="eastAsia" w:ascii="宋体" w:hAnsi="宋体" w:eastAsia="宋体"/>
          <w:color w:val="auto"/>
          <w:sz w:val="24"/>
          <w:highlight w:val="none"/>
          <w:lang w:eastAsia="zh-CN"/>
        </w:rPr>
        <w:t>招标采购</w:t>
      </w:r>
      <w:r>
        <w:rPr>
          <w:rFonts w:ascii="宋体" w:hAnsi="宋体" w:eastAsia="宋体"/>
          <w:color w:val="auto"/>
          <w:sz w:val="24"/>
          <w:highlight w:val="none"/>
        </w:rPr>
        <w:t>监督管理部门：</w:t>
      </w:r>
      <w:r>
        <w:rPr>
          <w:rFonts w:hint="eastAsia" w:ascii="宋体" w:hAnsi="宋体" w:eastAsia="宋体"/>
          <w:color w:val="auto"/>
          <w:sz w:val="24"/>
          <w:highlight w:val="none"/>
          <w:lang w:val="en-US" w:eastAsia="zh-CN"/>
        </w:rPr>
        <w:t>采购人及主管部门</w:t>
      </w:r>
      <w:r>
        <w:rPr>
          <w:rFonts w:hint="eastAsia" w:ascii="宋体" w:hAnsi="宋体" w:eastAsia="宋体"/>
          <w:color w:val="auto"/>
          <w:sz w:val="24"/>
          <w:highlight w:val="none"/>
        </w:rPr>
        <w:t>指定的有关部门依法履行与</w:t>
      </w:r>
      <w:r>
        <w:rPr>
          <w:rFonts w:hint="eastAsia" w:ascii="宋体" w:hAnsi="宋体" w:eastAsia="宋体"/>
          <w:color w:val="auto"/>
          <w:sz w:val="24"/>
          <w:highlight w:val="none"/>
          <w:lang w:eastAsia="zh-CN"/>
        </w:rPr>
        <w:t>招标采购</w:t>
      </w:r>
      <w:r>
        <w:rPr>
          <w:rFonts w:hint="eastAsia" w:ascii="宋体" w:hAnsi="宋体" w:eastAsia="宋体"/>
          <w:color w:val="auto"/>
          <w:sz w:val="24"/>
          <w:highlight w:val="none"/>
        </w:rPr>
        <w:t>活动有关的监督管理职责。</w:t>
      </w:r>
    </w:p>
    <w:p w14:paraId="3828D108">
      <w:pPr>
        <w:adjustRightInd w:val="0"/>
        <w:snapToGrid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分支机构不得参加采购活动，但银行、保险、石油石化、电力、电信等特殊行业除外。</w:t>
      </w:r>
      <w:r>
        <w:rPr>
          <w:rFonts w:ascii="宋体" w:hAnsi="宋体" w:eastAsia="宋体"/>
          <w:color w:val="auto"/>
          <w:sz w:val="24"/>
          <w:highlight w:val="none"/>
        </w:rPr>
        <w:t>本项目的投标人须满足以下条件：</w:t>
      </w:r>
    </w:p>
    <w:p w14:paraId="61387739">
      <w:pPr>
        <w:adjustRightInd w:val="0"/>
        <w:snapToGrid w:val="0"/>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投标人应当具备下列条件：</w:t>
      </w:r>
    </w:p>
    <w:p w14:paraId="55529010">
      <w:pPr>
        <w:adjustRightInd w:val="0"/>
        <w:snapToGrid w:val="0"/>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具有独立承担民事责任的能力；</w:t>
      </w:r>
    </w:p>
    <w:p w14:paraId="66E66DE9">
      <w:pPr>
        <w:adjustRightInd w:val="0"/>
        <w:snapToGrid w:val="0"/>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具有良好的商业信誉和健全的财务会计制度；</w:t>
      </w:r>
    </w:p>
    <w:p w14:paraId="09197009">
      <w:pPr>
        <w:adjustRightInd w:val="0"/>
        <w:snapToGrid w:val="0"/>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具有履行合同所必需的设备和专业技术能力；</w:t>
      </w:r>
    </w:p>
    <w:p w14:paraId="7FE237F0">
      <w:pPr>
        <w:adjustRightInd w:val="0"/>
        <w:snapToGrid w:val="0"/>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有依法缴纳税收和社会保障资金的良好记录；</w:t>
      </w:r>
    </w:p>
    <w:p w14:paraId="06185364">
      <w:pPr>
        <w:adjustRightInd w:val="0"/>
        <w:snapToGrid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参加本采购活动前三年内，在经营活动中没有重大违法记录。</w:t>
      </w:r>
    </w:p>
    <w:p w14:paraId="5FB51865">
      <w:pPr>
        <w:adjustRightInd w:val="0"/>
        <w:snapToGrid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15CE03DC">
      <w:pPr>
        <w:adjustRightInd w:val="0"/>
        <w:snapToGrid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423A3CFA">
      <w:pPr>
        <w:adjustRightInd w:val="0"/>
        <w:snapToGrid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71CFDC66">
      <w:pPr>
        <w:adjustRightInd w:val="0"/>
        <w:snapToGrid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FB0FB48">
      <w:pPr>
        <w:adjustRightInd w:val="0"/>
        <w:snapToGrid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5BA68891">
      <w:pPr>
        <w:adjustRightInd w:val="0"/>
        <w:snapToGrid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w:t>
      </w:r>
      <w:r>
        <w:rPr>
          <w:rFonts w:hint="eastAsia" w:ascii="宋体" w:hAnsi="宋体" w:eastAsia="宋体"/>
          <w:color w:val="auto"/>
          <w:sz w:val="24"/>
          <w:highlight w:val="none"/>
          <w:lang w:val="en-US" w:eastAsia="zh-CN"/>
        </w:rPr>
        <w:t>本章1.4.1项</w:t>
      </w:r>
      <w:r>
        <w:rPr>
          <w:rFonts w:ascii="宋体" w:hAnsi="宋体" w:eastAsia="宋体"/>
          <w:color w:val="auto"/>
          <w:sz w:val="24"/>
          <w:highlight w:val="none"/>
        </w:rPr>
        <w:t>规定的条件。</w:t>
      </w:r>
    </w:p>
    <w:p w14:paraId="7DC9BEB2">
      <w:pPr>
        <w:adjustRightInd w:val="0"/>
        <w:snapToGrid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2A6FBB3B">
      <w:pPr>
        <w:adjustRightInd w:val="0"/>
        <w:snapToGrid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4F2826BF">
      <w:pPr>
        <w:adjustRightInd w:val="0"/>
        <w:snapToGrid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0E40F0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418C518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7188B91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788A3498">
      <w:pPr>
        <w:spacing w:line="360" w:lineRule="auto"/>
        <w:ind w:firstLine="437"/>
        <w:outlineLvl w:val="2"/>
        <w:rPr>
          <w:rFonts w:hint="default" w:asciiTheme="minorEastAsia" w:hAnsiTheme="minorEastAsia" w:eastAsiaTheme="minorEastAsia"/>
          <w:b/>
          <w:color w:val="auto"/>
          <w:sz w:val="24"/>
          <w:highlight w:val="none"/>
          <w:lang w:val="en-US" w:eastAsia="zh-CN"/>
        </w:rPr>
      </w:pPr>
      <w:bookmarkStart w:id="56" w:name="_Toc28028"/>
      <w:r>
        <w:rPr>
          <w:rFonts w:hint="eastAsia" w:asciiTheme="minorEastAsia" w:hAnsiTheme="minorEastAsia" w:eastAsiaTheme="minorEastAsia"/>
          <w:b/>
          <w:color w:val="auto"/>
          <w:sz w:val="24"/>
          <w:highlight w:val="none"/>
          <w:lang w:val="en-US" w:eastAsia="zh-CN"/>
        </w:rPr>
        <w:t>2.资金落实情况</w:t>
      </w:r>
      <w:bookmarkEnd w:id="56"/>
    </w:p>
    <w:p w14:paraId="39FE854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4C60BDA5">
      <w:pPr>
        <w:spacing w:line="360" w:lineRule="auto"/>
        <w:ind w:firstLine="437"/>
        <w:outlineLvl w:val="2"/>
        <w:rPr>
          <w:rFonts w:hint="eastAsia" w:asciiTheme="minorEastAsia" w:hAnsiTheme="minorEastAsia" w:eastAsiaTheme="minorEastAsia"/>
          <w:b/>
          <w:color w:val="auto"/>
          <w:sz w:val="24"/>
          <w:highlight w:val="none"/>
          <w:lang w:val="en-US" w:eastAsia="zh-CN"/>
        </w:rPr>
      </w:pPr>
      <w:bookmarkStart w:id="57" w:name="_Toc18036"/>
      <w:r>
        <w:rPr>
          <w:rFonts w:hint="eastAsia" w:asciiTheme="minorEastAsia" w:hAnsiTheme="minorEastAsia" w:eastAsiaTheme="minorEastAsia"/>
          <w:b/>
          <w:color w:val="auto"/>
          <w:sz w:val="24"/>
          <w:highlight w:val="none"/>
          <w:lang w:val="en-US" w:eastAsia="zh-CN"/>
        </w:rPr>
        <w:t>3.投标费用</w:t>
      </w:r>
      <w:bookmarkEnd w:id="57"/>
    </w:p>
    <w:p w14:paraId="12595DEF">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74001C89">
      <w:pPr>
        <w:spacing w:line="360" w:lineRule="auto"/>
        <w:ind w:firstLine="437"/>
        <w:outlineLvl w:val="2"/>
        <w:rPr>
          <w:rFonts w:hint="eastAsia" w:asciiTheme="minorEastAsia" w:hAnsiTheme="minorEastAsia" w:eastAsiaTheme="minorEastAsia"/>
          <w:b/>
          <w:color w:val="auto"/>
          <w:sz w:val="24"/>
          <w:highlight w:val="none"/>
          <w:lang w:val="en-US" w:eastAsia="zh-CN"/>
        </w:rPr>
      </w:pPr>
      <w:bookmarkStart w:id="58" w:name="_Toc15347"/>
      <w:r>
        <w:rPr>
          <w:rFonts w:hint="eastAsia" w:asciiTheme="minorEastAsia" w:hAnsiTheme="minorEastAsia" w:eastAsiaTheme="minorEastAsia"/>
          <w:b/>
          <w:color w:val="auto"/>
          <w:sz w:val="24"/>
          <w:highlight w:val="none"/>
          <w:lang w:val="en-US" w:eastAsia="zh-CN"/>
        </w:rPr>
        <w:t>4.适用法律</w:t>
      </w:r>
      <w:bookmarkEnd w:id="58"/>
    </w:p>
    <w:p w14:paraId="7C7230F3">
      <w:pPr>
        <w:spacing w:line="360" w:lineRule="auto"/>
        <w:ind w:firstLine="435"/>
        <w:rPr>
          <w:rFonts w:hint="eastAsia" w:asciiTheme="minorEastAsia" w:hAnsiTheme="minorEastAsia" w:eastAsiaTheme="minorEastAsia"/>
          <w:b/>
          <w:color w:val="auto"/>
          <w:sz w:val="24"/>
          <w:highlight w:val="none"/>
          <w:lang w:val="en-US" w:eastAsia="zh-CN"/>
        </w:rPr>
      </w:pPr>
      <w:r>
        <w:rPr>
          <w:rFonts w:hint="eastAsia" w:ascii="宋体" w:hAnsi="宋体" w:eastAsia="宋体"/>
          <w:color w:val="auto"/>
          <w:sz w:val="24"/>
          <w:highlight w:val="none"/>
        </w:rPr>
        <w:t>本项目采购人、采购代理机构、投标人、评标委员会的相关行为均受《中华人民共和国</w:t>
      </w:r>
      <w:r>
        <w:rPr>
          <w:rFonts w:hint="eastAsia" w:ascii="宋体" w:hAnsi="宋体" w:eastAsia="宋体"/>
          <w:color w:val="auto"/>
          <w:sz w:val="24"/>
          <w:highlight w:val="none"/>
          <w:lang w:val="en-US" w:eastAsia="zh-CN"/>
        </w:rPr>
        <w:t>民法典</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、采购人及</w:t>
      </w:r>
      <w:r>
        <w:rPr>
          <w:rFonts w:hint="eastAsia" w:ascii="宋体" w:hAnsi="宋体" w:eastAsia="宋体"/>
          <w:color w:val="auto"/>
          <w:sz w:val="24"/>
          <w:highlight w:val="none"/>
          <w:lang w:eastAsia="zh-CN"/>
        </w:rPr>
        <w:t>招标采购</w:t>
      </w:r>
      <w:r>
        <w:rPr>
          <w:rFonts w:ascii="宋体" w:hAnsi="宋体" w:eastAsia="宋体"/>
          <w:color w:val="auto"/>
          <w:sz w:val="24"/>
          <w:highlight w:val="none"/>
        </w:rPr>
        <w:t>监督管理部门</w:t>
      </w:r>
      <w:r>
        <w:rPr>
          <w:rFonts w:hint="eastAsia" w:ascii="宋体" w:hAnsi="宋体" w:eastAsia="宋体"/>
          <w:color w:val="auto"/>
          <w:sz w:val="24"/>
          <w:highlight w:val="none"/>
        </w:rPr>
        <w:t>的</w:t>
      </w:r>
      <w:r>
        <w:rPr>
          <w:rFonts w:hint="eastAsia" w:ascii="宋体" w:hAnsi="宋体" w:eastAsia="宋体"/>
          <w:color w:val="auto"/>
          <w:sz w:val="24"/>
          <w:highlight w:val="none"/>
          <w:lang w:val="en-US" w:eastAsia="zh-CN"/>
        </w:rPr>
        <w:t>招标采购</w:t>
      </w:r>
      <w:r>
        <w:rPr>
          <w:rFonts w:hint="eastAsia" w:ascii="宋体" w:hAnsi="宋体" w:eastAsia="宋体"/>
          <w:color w:val="auto"/>
          <w:sz w:val="24"/>
          <w:highlight w:val="none"/>
        </w:rPr>
        <w:t>有关规定的约束，其权利受到上述法律法规的保护。</w:t>
      </w:r>
    </w:p>
    <w:p w14:paraId="7FDB416B">
      <w:pPr>
        <w:spacing w:line="360" w:lineRule="auto"/>
        <w:ind w:firstLine="437"/>
        <w:outlineLvl w:val="2"/>
        <w:rPr>
          <w:rFonts w:hint="eastAsia" w:asciiTheme="minorEastAsia" w:hAnsiTheme="minorEastAsia" w:eastAsiaTheme="minorEastAsia"/>
          <w:b/>
          <w:color w:val="auto"/>
          <w:sz w:val="24"/>
          <w:highlight w:val="none"/>
          <w:lang w:val="en-US" w:eastAsia="zh-CN"/>
        </w:rPr>
      </w:pPr>
      <w:bookmarkStart w:id="59" w:name="_Toc20592"/>
      <w:r>
        <w:rPr>
          <w:rFonts w:hint="eastAsia" w:asciiTheme="minorEastAsia" w:hAnsiTheme="minorEastAsia" w:eastAsiaTheme="minorEastAsia"/>
          <w:b/>
          <w:color w:val="auto"/>
          <w:sz w:val="24"/>
          <w:highlight w:val="none"/>
          <w:lang w:val="en-US" w:eastAsia="zh-CN"/>
        </w:rPr>
        <w:t>5.招标文件构成</w:t>
      </w:r>
      <w:bookmarkEnd w:id="59"/>
    </w:p>
    <w:p w14:paraId="27F0E07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67CDC3BA">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7A2F9A60">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2A1A3974">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47F08C34">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50964707">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采购合同</w:t>
      </w:r>
    </w:p>
    <w:p w14:paraId="72652774">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6898DAF5">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07784B7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4D67292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原则上采购人、采购代理机构不要求投标人提供样品。仅凭书面方式不能准确描述采购需求，或者需要对样品进行主观判断以确认是否满足采购需求等特殊情况除外。</w:t>
      </w:r>
    </w:p>
    <w:p w14:paraId="1175C91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如需提供样品，对样品相关要求见</w:t>
      </w:r>
      <w:r>
        <w:rPr>
          <w:rFonts w:hint="eastAsia" w:asciiTheme="minorEastAsia" w:hAnsiTheme="minorEastAsia" w:eastAsiaTheme="minorEastAsia"/>
          <w:color w:val="auto"/>
          <w:sz w:val="24"/>
          <w:highlight w:val="none"/>
        </w:rPr>
        <w:t>采购需求</w:t>
      </w:r>
      <w:r>
        <w:rPr>
          <w:rFonts w:asciiTheme="minorEastAsia" w:hAnsiTheme="minorEastAsia" w:eastAsiaTheme="minorEastAsia"/>
          <w:color w:val="auto"/>
          <w:sz w:val="24"/>
          <w:highlight w:val="none"/>
        </w:rPr>
        <w:t>，对样品的评审方法及评审标准见招标文件第</w:t>
      </w:r>
      <w:r>
        <w:rPr>
          <w:rFonts w:hint="eastAsia" w:asciiTheme="minorEastAsia" w:hAnsiTheme="minorEastAsia" w:eastAsiaTheme="minorEastAsia"/>
          <w:color w:val="auto"/>
          <w:sz w:val="24"/>
          <w:highlight w:val="none"/>
        </w:rPr>
        <w:t>四</w:t>
      </w:r>
      <w:r>
        <w:rPr>
          <w:rFonts w:asciiTheme="minorEastAsia" w:hAnsiTheme="minorEastAsia" w:eastAsiaTheme="minorEastAsia"/>
          <w:color w:val="auto"/>
          <w:sz w:val="24"/>
          <w:highlight w:val="none"/>
        </w:rPr>
        <w:t>章。</w:t>
      </w:r>
    </w:p>
    <w:p w14:paraId="3196F46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投标人应认真阅读招标文件所有的事项、格式、条款和技术规范等。</w:t>
      </w:r>
    </w:p>
    <w:p w14:paraId="62C64EE7">
      <w:pPr>
        <w:spacing w:line="360" w:lineRule="auto"/>
        <w:ind w:firstLine="437"/>
        <w:outlineLvl w:val="2"/>
        <w:rPr>
          <w:rFonts w:hint="eastAsia" w:asciiTheme="minorEastAsia" w:hAnsiTheme="minorEastAsia" w:eastAsiaTheme="minorEastAsia"/>
          <w:b/>
          <w:color w:val="auto"/>
          <w:sz w:val="24"/>
          <w:highlight w:val="none"/>
          <w:lang w:val="en-US" w:eastAsia="zh-CN"/>
        </w:rPr>
      </w:pPr>
      <w:bookmarkStart w:id="60" w:name="_Toc4477"/>
      <w:r>
        <w:rPr>
          <w:rFonts w:hint="eastAsia" w:asciiTheme="minorEastAsia" w:hAnsiTheme="minorEastAsia" w:eastAsiaTheme="minorEastAsia"/>
          <w:b/>
          <w:color w:val="auto"/>
          <w:sz w:val="24"/>
          <w:highlight w:val="none"/>
          <w:lang w:val="en-US" w:eastAsia="zh-CN"/>
        </w:rPr>
        <w:t>6.招标文件的澄清与修改</w:t>
      </w:r>
      <w:bookmarkEnd w:id="60"/>
    </w:p>
    <w:p w14:paraId="7DE2CD3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218CB24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在宿州市公共资源交易网（http://ggzyjy.ahsz.gov.cn/szfront/）以发布更正公告的方式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7AFADCB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0CD701F4">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69F925FF">
      <w:pPr>
        <w:spacing w:line="360" w:lineRule="auto"/>
        <w:ind w:firstLine="437"/>
        <w:outlineLvl w:val="2"/>
        <w:rPr>
          <w:rFonts w:hint="eastAsia" w:asciiTheme="minorEastAsia" w:hAnsiTheme="minorEastAsia" w:eastAsiaTheme="minorEastAsia"/>
          <w:b/>
          <w:color w:val="auto"/>
          <w:sz w:val="24"/>
          <w:highlight w:val="none"/>
          <w:lang w:val="en-US" w:eastAsia="zh-CN"/>
        </w:rPr>
      </w:pPr>
      <w:bookmarkStart w:id="61" w:name="_Toc31348"/>
      <w:r>
        <w:rPr>
          <w:rFonts w:hint="eastAsia" w:asciiTheme="minorEastAsia" w:hAnsiTheme="minorEastAsia" w:eastAsiaTheme="minorEastAsia"/>
          <w:b/>
          <w:color w:val="auto"/>
          <w:sz w:val="24"/>
          <w:highlight w:val="none"/>
          <w:lang w:val="en-US" w:eastAsia="zh-CN"/>
        </w:rPr>
        <w:t>7.投标范围及投标文件中标准和计量单位的使用</w:t>
      </w:r>
      <w:bookmarkEnd w:id="61"/>
    </w:p>
    <w:p w14:paraId="4B17A0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1E5F965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284258A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投标人所投货物及伴随的服务和工程均应符合国家强制性标准。</w:t>
      </w:r>
    </w:p>
    <w:p w14:paraId="59F91B8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0103052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155DFD0B">
      <w:pPr>
        <w:spacing w:line="360" w:lineRule="auto"/>
        <w:ind w:firstLine="437"/>
        <w:outlineLvl w:val="2"/>
        <w:rPr>
          <w:rFonts w:asciiTheme="minorEastAsia" w:hAnsiTheme="minorEastAsia" w:eastAsiaTheme="minorEastAsia"/>
          <w:b/>
          <w:color w:val="auto"/>
          <w:sz w:val="24"/>
          <w:highlight w:val="none"/>
        </w:rPr>
      </w:pPr>
      <w:bookmarkStart w:id="62" w:name="_Toc1064"/>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bookmarkEnd w:id="62"/>
    </w:p>
    <w:p w14:paraId="3DD172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155FC191">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r>
        <w:rPr>
          <w:rFonts w:hint="eastAsia" w:asciiTheme="minorEastAsia" w:hAnsiTheme="minorEastAsia" w:eastAsiaTheme="minorEastAsia"/>
          <w:color w:val="auto"/>
          <w:sz w:val="24"/>
          <w:highlight w:val="none"/>
          <w:lang w:val="en-US" w:eastAsia="zh-CN"/>
        </w:rPr>
        <w:t>等。</w:t>
      </w:r>
    </w:p>
    <w:p w14:paraId="210EC1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28597FA4">
      <w:pPr>
        <w:spacing w:line="360" w:lineRule="auto"/>
        <w:ind w:firstLine="437"/>
        <w:outlineLvl w:val="2"/>
        <w:rPr>
          <w:rFonts w:asciiTheme="minorEastAsia" w:hAnsiTheme="minorEastAsia" w:eastAsiaTheme="minorEastAsia"/>
          <w:b/>
          <w:color w:val="auto"/>
          <w:sz w:val="24"/>
          <w:highlight w:val="none"/>
        </w:rPr>
      </w:pPr>
      <w:bookmarkStart w:id="63" w:name="_Toc32372"/>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bookmarkEnd w:id="63"/>
    </w:p>
    <w:p w14:paraId="65901CD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703A5A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6FA0F33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C05A11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657540C2">
      <w:pPr>
        <w:spacing w:line="360" w:lineRule="auto"/>
        <w:ind w:firstLine="437"/>
        <w:outlineLvl w:val="2"/>
        <w:rPr>
          <w:rFonts w:asciiTheme="minorEastAsia" w:hAnsiTheme="minorEastAsia" w:eastAsiaTheme="minorEastAsia"/>
          <w:b/>
          <w:color w:val="auto"/>
          <w:sz w:val="24"/>
          <w:highlight w:val="none"/>
        </w:rPr>
      </w:pPr>
      <w:bookmarkStart w:id="64" w:name="_Toc22982"/>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bookmarkEnd w:id="64"/>
    </w:p>
    <w:p w14:paraId="5FE224A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.1投标人在提交投标文件的同时，应按投标人须知前附表规定的金额和形式提交投标保证金。联合体投标的，其投标保证金由牵头人提交，并应符合投标人须知前附表的规定。</w:t>
      </w:r>
    </w:p>
    <w:p w14:paraId="5BC60F3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.2投标人不按投标人须知前附表要求提交投标保证金的，评标委员会将否决其投标。</w:t>
      </w:r>
    </w:p>
    <w:p w14:paraId="130934CE">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.3投标保证金的退还：</w:t>
      </w:r>
    </w:p>
    <w:p w14:paraId="14C0C6F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.3.1中标人的投标保证金，在采购合同签订之日起五个工作日内退还。</w:t>
      </w:r>
    </w:p>
    <w:p w14:paraId="239F593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.3.2未中标人的投标保证金，自中标通知书发出之日起5个工作日内退还。</w:t>
      </w:r>
    </w:p>
    <w:p w14:paraId="06441EFA">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.3.3采购项目有质疑、投诉的，中标候选人、提出质疑的投标人及投诉人的投标保证金在质疑、投诉处理后，按相关规定办理。</w:t>
      </w:r>
    </w:p>
    <w:p w14:paraId="4656438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.4中标人有下列情形之一的，采购人不予退还其缴纳的投标保证金；</w:t>
      </w:r>
    </w:p>
    <w:p w14:paraId="05E2CC2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.4.1投标人在规定的投标有效期内撤销其投标文件或放弃中标人候选资格的；</w:t>
      </w:r>
    </w:p>
    <w:p w14:paraId="51755FE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.4.2中标人在收到中标通知书后，无正当理由拒签合同协议书或未按招标文件规定提交履约担保；</w:t>
      </w:r>
    </w:p>
    <w:p w14:paraId="221627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.4.3存在提供虚假材料参加投标或串通投标等违法、违规行为被查实的。</w:t>
      </w:r>
    </w:p>
    <w:p w14:paraId="6603E68A">
      <w:pPr>
        <w:spacing w:line="360" w:lineRule="auto"/>
        <w:ind w:firstLine="437"/>
        <w:outlineLvl w:val="2"/>
        <w:rPr>
          <w:rFonts w:asciiTheme="minorEastAsia" w:hAnsiTheme="minorEastAsia" w:eastAsiaTheme="minorEastAsia"/>
          <w:b/>
          <w:color w:val="auto"/>
          <w:sz w:val="24"/>
          <w:highlight w:val="none"/>
        </w:rPr>
      </w:pPr>
      <w:bookmarkStart w:id="65" w:name="_Toc30692"/>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bookmarkEnd w:id="65"/>
    </w:p>
    <w:p w14:paraId="69120D7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D3FC45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7473E73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13E37F2F">
      <w:pPr>
        <w:spacing w:line="360" w:lineRule="auto"/>
        <w:ind w:firstLine="437"/>
        <w:outlineLvl w:val="2"/>
        <w:rPr>
          <w:rFonts w:asciiTheme="minorEastAsia" w:hAnsiTheme="minorEastAsia" w:eastAsiaTheme="minorEastAsia"/>
          <w:b/>
          <w:color w:val="auto"/>
          <w:sz w:val="24"/>
          <w:highlight w:val="none"/>
        </w:rPr>
      </w:pPr>
      <w:bookmarkStart w:id="66" w:name="_Toc8509"/>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bookmarkEnd w:id="66"/>
    </w:p>
    <w:p w14:paraId="314840C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49AB9B26">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39BC939B">
      <w:pPr>
        <w:spacing w:line="360" w:lineRule="auto"/>
        <w:ind w:firstLine="437"/>
        <w:outlineLvl w:val="2"/>
        <w:rPr>
          <w:rFonts w:asciiTheme="minorEastAsia" w:hAnsiTheme="minorEastAsia" w:eastAsiaTheme="minorEastAsia"/>
          <w:b/>
          <w:color w:val="auto"/>
          <w:sz w:val="24"/>
          <w:highlight w:val="none"/>
        </w:rPr>
      </w:pPr>
      <w:bookmarkStart w:id="67" w:name="_Toc7750"/>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bookmarkEnd w:id="67"/>
    </w:p>
    <w:p w14:paraId="0AF258B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4843CF3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0774D7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19074D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6AEEBD56">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1D8220A4">
      <w:pPr>
        <w:spacing w:line="360" w:lineRule="auto"/>
        <w:ind w:firstLine="437"/>
        <w:outlineLvl w:val="2"/>
        <w:rPr>
          <w:rFonts w:asciiTheme="minorEastAsia" w:hAnsiTheme="minorEastAsia" w:eastAsiaTheme="minorEastAsia"/>
          <w:b/>
          <w:color w:val="auto"/>
          <w:sz w:val="24"/>
          <w:highlight w:val="none"/>
        </w:rPr>
      </w:pPr>
      <w:bookmarkStart w:id="68" w:name="_Toc28505"/>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bookmarkEnd w:id="68"/>
    </w:p>
    <w:p w14:paraId="07D25B4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评标委员会</w:t>
      </w:r>
      <w:r>
        <w:rPr>
          <w:rFonts w:hint="eastAsia" w:asciiTheme="minorEastAsia" w:hAnsiTheme="minorEastAsia" w:eastAsiaTheme="minorEastAsia"/>
          <w:color w:val="auto"/>
          <w:sz w:val="24"/>
          <w:highlight w:val="none"/>
        </w:rPr>
        <w:t>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w:t>
      </w:r>
      <w:r>
        <w:rPr>
          <w:rFonts w:hint="eastAsia" w:asciiTheme="minorEastAsia" w:hAnsiTheme="minorEastAsia" w:eastAsiaTheme="minorEastAsia"/>
          <w:color w:val="auto"/>
          <w:sz w:val="24"/>
          <w:highlight w:val="none"/>
          <w:lang w:val="en-US" w:eastAsia="zh-CN"/>
        </w:rPr>
        <w:t>符合性审查</w:t>
      </w:r>
      <w:r>
        <w:rPr>
          <w:rFonts w:hint="eastAsia" w:asciiTheme="minorEastAsia" w:hAnsiTheme="minorEastAsia" w:eastAsiaTheme="minorEastAsia"/>
          <w:color w:val="auto"/>
          <w:sz w:val="24"/>
          <w:highlight w:val="none"/>
        </w:rPr>
        <w:t>。</w:t>
      </w:r>
    </w:p>
    <w:p w14:paraId="1C269AFE">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国家企业信用信息公示系统网站（www.gsxt.gov.cn）</w:t>
      </w:r>
      <w:r>
        <w:rPr>
          <w:rFonts w:hint="eastAsia" w:ascii="宋体" w:hAnsi="宋体" w:eastAsia="宋体" w:cs="宋体"/>
          <w:color w:val="auto"/>
          <w:sz w:val="24"/>
          <w:szCs w:val="24"/>
          <w:highlight w:val="none"/>
        </w:rPr>
        <w:t>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w:t>
      </w:r>
      <w:r>
        <w:rPr>
          <w:rFonts w:hint="eastAsia" w:ascii="宋体" w:hAnsi="宋体" w:eastAsia="宋体" w:cs="宋体"/>
          <w:color w:val="auto"/>
          <w:sz w:val="24"/>
          <w:szCs w:val="24"/>
          <w:highlight w:val="none"/>
          <w:lang w:eastAsia="zh-CN"/>
        </w:rPr>
        <w:t>、</w:t>
      </w:r>
      <w:r>
        <w:rPr>
          <w:rFonts w:hint="eastAsia" w:ascii="宋体" w:hAnsi="宋体" w:eastAsia="宋体"/>
          <w:color w:val="auto"/>
          <w:sz w:val="24"/>
          <w:szCs w:val="18"/>
          <w:highlight w:val="none"/>
        </w:rPr>
        <w:t>国家企业信用信息公示系统网站（www.gsxt.gov.cn）企业经营异常名录</w:t>
      </w:r>
      <w:r>
        <w:rPr>
          <w:rFonts w:hint="eastAsia" w:ascii="宋体" w:hAnsi="宋体" w:eastAsia="宋体" w:cs="宋体"/>
          <w:color w:val="auto"/>
          <w:sz w:val="24"/>
          <w:szCs w:val="24"/>
          <w:highlight w:val="none"/>
        </w:rPr>
        <w:t>及其他不符合</w:t>
      </w:r>
      <w:r>
        <w:rPr>
          <w:rFonts w:hint="eastAsia" w:ascii="宋体" w:hAnsi="宋体" w:eastAsia="宋体"/>
          <w:color w:val="auto"/>
          <w:sz w:val="24"/>
          <w:highlight w:val="none"/>
          <w:lang w:val="en-US" w:eastAsia="zh-CN"/>
        </w:rPr>
        <w:t>本章1.4.1项</w:t>
      </w:r>
      <w:r>
        <w:rPr>
          <w:rFonts w:hint="eastAsia" w:ascii="宋体" w:hAnsi="宋体" w:eastAsia="宋体" w:cs="宋体"/>
          <w:color w:val="auto"/>
          <w:sz w:val="24"/>
          <w:szCs w:val="24"/>
          <w:highlight w:val="none"/>
        </w:rPr>
        <w:t>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7B61F1D5">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ABD89A3">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p w14:paraId="2D7ED0A1">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w:t>
      </w:r>
      <w:r>
        <w:rPr>
          <w:rFonts w:hint="eastAsia" w:ascii="宋体" w:hAnsi="宋体" w:eastAsia="宋体"/>
          <w:color w:val="auto"/>
          <w:sz w:val="24"/>
          <w:highlight w:val="none"/>
          <w:lang w:val="en-US" w:eastAsia="zh-CN"/>
        </w:rPr>
        <w:t>民法典</w:t>
      </w:r>
      <w:r>
        <w:rPr>
          <w:rFonts w:ascii="宋体" w:hAnsi="宋体" w:eastAsia="宋体"/>
          <w:color w:val="auto"/>
          <w:sz w:val="24"/>
          <w:highlight w:val="none"/>
        </w:rPr>
        <w:t>》</w:t>
      </w:r>
      <w:r>
        <w:rPr>
          <w:rFonts w:hint="eastAsia" w:asciiTheme="minorEastAsia" w:hAnsiTheme="minorEastAsia" w:eastAsiaTheme="minorEastAsia"/>
          <w:color w:val="auto"/>
          <w:sz w:val="24"/>
          <w:highlight w:val="none"/>
        </w:rPr>
        <w:t>及本项目</w:t>
      </w:r>
      <w:r>
        <w:rPr>
          <w:rFonts w:hint="eastAsia" w:ascii="宋体" w:hAnsi="宋体" w:eastAsia="宋体"/>
          <w:color w:val="auto"/>
          <w:sz w:val="24"/>
          <w:highlight w:val="none"/>
          <w:lang w:val="en-US" w:eastAsia="zh-CN"/>
        </w:rPr>
        <w:t>采购人及</w:t>
      </w:r>
      <w:r>
        <w:rPr>
          <w:rFonts w:hint="eastAsia" w:ascii="宋体" w:hAnsi="宋体" w:eastAsia="宋体"/>
          <w:color w:val="auto"/>
          <w:sz w:val="24"/>
          <w:highlight w:val="none"/>
          <w:lang w:eastAsia="zh-CN"/>
        </w:rPr>
        <w:t>招标采购</w:t>
      </w:r>
      <w:r>
        <w:rPr>
          <w:rFonts w:ascii="宋体" w:hAnsi="宋体" w:eastAsia="宋体"/>
          <w:color w:val="auto"/>
          <w:sz w:val="24"/>
          <w:highlight w:val="none"/>
        </w:rPr>
        <w:t>监督管理部门</w:t>
      </w:r>
      <w:r>
        <w:rPr>
          <w:rFonts w:hint="eastAsia" w:asciiTheme="minorEastAsia" w:hAnsiTheme="minorEastAsia" w:eastAsiaTheme="minorEastAsia"/>
          <w:color w:val="auto"/>
          <w:sz w:val="24"/>
          <w:highlight w:val="none"/>
        </w:rPr>
        <w:t>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33F8E8B1">
      <w:pPr>
        <w:spacing w:line="360" w:lineRule="auto"/>
        <w:ind w:firstLine="437"/>
        <w:outlineLvl w:val="2"/>
        <w:rPr>
          <w:rFonts w:asciiTheme="minorEastAsia" w:hAnsiTheme="minorEastAsia" w:eastAsiaTheme="minorEastAsia"/>
          <w:b/>
          <w:color w:val="auto"/>
          <w:sz w:val="24"/>
          <w:highlight w:val="none"/>
        </w:rPr>
      </w:pPr>
      <w:bookmarkStart w:id="69" w:name="_Toc18760"/>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bookmarkEnd w:id="69"/>
    </w:p>
    <w:p w14:paraId="085FEEDC">
      <w:pPr>
        <w:spacing w:line="360" w:lineRule="auto"/>
        <w:ind w:firstLine="435"/>
        <w:rPr>
          <w:rFonts w:asciiTheme="minorEastAsia" w:hAnsiTheme="minorEastAsia" w:eastAsiaTheme="minorEastAsia"/>
          <w:color w:val="auto"/>
          <w:sz w:val="24"/>
          <w:highlight w:val="none"/>
        </w:rPr>
      </w:pPr>
      <w:bookmarkStart w:id="70" w:name="_Toc8951"/>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3CB63F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.2如一个分包内只有一种产品，不同投标人所投产品为同一品牌的，按如下方式处理：</w:t>
      </w:r>
    </w:p>
    <w:p w14:paraId="6964646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.2.1如本项目使用最低评标价法，提供相同品牌产品的不同投标人以其中通过资格审查、符合性审查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且报价最低的参加评标；报价相同的，由采购人或者采购人委托评标委员会按照招标文件中评标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规定的方式确定一个参加评标的投标人；未规定的采取随机抽取方式确定，其他投标将被认定为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733085B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.2.2如本项目使用综合评分法，提供相同品牌产品且通过资格审查、符合性审查</w:t>
      </w:r>
      <w:r>
        <w:rPr>
          <w:rFonts w:hint="eastAsia" w:ascii="宋体" w:hAnsi="宋体" w:eastAsia="宋体"/>
          <w:color w:val="auto"/>
          <w:sz w:val="24"/>
          <w:highlight w:val="none"/>
          <w:lang w:eastAsia="zh-CN"/>
        </w:rPr>
        <w:t>、</w:t>
      </w:r>
      <w:r>
        <w:rPr>
          <w:rFonts w:hint="eastAsia" w:ascii="宋体" w:hAnsi="宋体" w:eastAsia="宋体" w:cs="Times New Roman"/>
          <w:color w:val="auto"/>
          <w:sz w:val="24"/>
          <w:highlight w:val="none"/>
          <w:lang w:val="en-US" w:eastAsia="zh-CN"/>
        </w:rPr>
        <w:t>异常低价投标审查</w:t>
      </w:r>
      <w:r>
        <w:rPr>
          <w:rFonts w:ascii="宋体" w:hAnsi="宋体" w:eastAsia="宋体"/>
          <w:color w:val="auto"/>
          <w:sz w:val="24"/>
          <w:highlight w:val="none"/>
        </w:rPr>
        <w:t>的不同投标人，按一家投标人计算，评审后得分最高的同品牌投标人获得中标人推荐资格；评审得分相同的，由采购人或者采购人委托评标委员会按照招标文件中评标</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w:t>
      </w:r>
      <w:r>
        <w:rPr>
          <w:rFonts w:ascii="宋体" w:hAnsi="宋体" w:eastAsia="宋体"/>
          <w:color w:val="auto"/>
          <w:sz w:val="24"/>
          <w:highlight w:val="none"/>
        </w:rPr>
        <w:t>规定的方式确定一个投标人获得中标人推荐资格；未规定的采取随机抽取方式确定，其他同品牌投标人不作为中标候选人。</w:t>
      </w:r>
    </w:p>
    <w:p w14:paraId="57FF24A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.3如一个分包内包含多种产品的，采购人或采购代理机构将在</w:t>
      </w:r>
      <w:r>
        <w:rPr>
          <w:rFonts w:hint="eastAsia" w:asciiTheme="minorEastAsia" w:hAnsiTheme="minorEastAsia" w:eastAsiaTheme="minorEastAsia"/>
          <w:color w:val="auto"/>
          <w:sz w:val="24"/>
          <w:highlight w:val="none"/>
          <w:u w:val="none"/>
          <w:lang w:val="en-US" w:eastAsia="zh-CN"/>
        </w:rPr>
        <w:t>采购需求</w:t>
      </w:r>
      <w:r>
        <w:rPr>
          <w:rFonts w:asciiTheme="minorEastAsia" w:hAnsiTheme="minorEastAsia" w:eastAsiaTheme="minorEastAsia"/>
          <w:color w:val="auto"/>
          <w:sz w:val="24"/>
          <w:highlight w:val="none"/>
          <w:u w:val="none"/>
        </w:rPr>
        <w:t>中</w:t>
      </w:r>
      <w:r>
        <w:rPr>
          <w:rFonts w:asciiTheme="minorEastAsia" w:hAnsiTheme="minorEastAsia" w:eastAsiaTheme="minorEastAsia"/>
          <w:color w:val="auto"/>
          <w:sz w:val="24"/>
          <w:highlight w:val="none"/>
        </w:rPr>
        <w:t>载明核心产品，多家投标人提供的核心产品品牌相同的，按第</w:t>
      </w: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款</w:t>
      </w:r>
      <w:r>
        <w:rPr>
          <w:rFonts w:asciiTheme="minorEastAsia" w:hAnsiTheme="minorEastAsia" w:eastAsiaTheme="minorEastAsia"/>
          <w:color w:val="auto"/>
          <w:sz w:val="24"/>
          <w:highlight w:val="none"/>
        </w:rPr>
        <w:t>规定处理。</w:t>
      </w:r>
    </w:p>
    <w:p w14:paraId="0A2CF38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w:t>
      </w:r>
      <w:r>
        <w:rPr>
          <w:rFonts w:hint="eastAsia" w:ascii="宋体" w:hAnsi="宋体" w:eastAsia="宋体"/>
          <w:color w:val="auto"/>
          <w:sz w:val="24"/>
          <w:highlight w:val="none"/>
        </w:rPr>
        <w:t>投标文件的澄清</w:t>
      </w:r>
    </w:p>
    <w:p w14:paraId="58432FE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.4.1为有助于投标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7526278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09C4D30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asciiTheme="minorEastAsia" w:hAnsiTheme="minorEastAsia" w:eastAsiaTheme="minorEastAsia"/>
          <w:color w:val="auto"/>
          <w:sz w:val="24"/>
          <w:highlight w:val="none"/>
        </w:rPr>
        <w:t>4.2</w:t>
      </w:r>
      <w:r>
        <w:rPr>
          <w:rFonts w:hint="eastAsia" w:asciiTheme="minorEastAsia" w:hAnsiTheme="minorEastAsia" w:eastAsiaTheme="minorEastAsia"/>
          <w:color w:val="auto"/>
          <w:sz w:val="24"/>
          <w:highlight w:val="none"/>
        </w:rPr>
        <w:t>投标人的澄清、说明或补正将作为投标文件的一部分。</w:t>
      </w:r>
    </w:p>
    <w:p w14:paraId="72A3C5D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4.3评标委员会对投标人提交的澄清、说明或补正有疑问的，可以要求投标人进一步澄清、说明或补正，直至满足评标委员会的要求。</w:t>
      </w:r>
    </w:p>
    <w:p w14:paraId="0F9417D8">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ascii="宋体" w:hAnsi="宋体" w:eastAsia="宋体"/>
          <w:color w:val="auto"/>
          <w:sz w:val="24"/>
          <w:highlight w:val="none"/>
        </w:rPr>
        <w:t>5投标文件报价出现前后不一致的，按照下列规定修正：</w:t>
      </w:r>
    </w:p>
    <w:p w14:paraId="3EDECDD7">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0ECDD985">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5D736918">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245D5D65">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610F9380">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2B874DAF">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19D25D8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bookmarkEnd w:id="70"/>
    </w:p>
    <w:p w14:paraId="5EBB803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6214BC1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45C95E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5437DCD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E8C71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07209EC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4FC3C0D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38CDB6F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5BC8229F">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052BE219">
      <w:pPr>
        <w:spacing w:line="360" w:lineRule="auto"/>
        <w:ind w:firstLine="437"/>
        <w:outlineLvl w:val="2"/>
        <w:rPr>
          <w:rFonts w:asciiTheme="minorEastAsia" w:hAnsiTheme="minorEastAsia" w:eastAsiaTheme="minorEastAsia"/>
          <w:b/>
          <w:color w:val="auto"/>
          <w:sz w:val="24"/>
          <w:highlight w:val="none"/>
        </w:rPr>
      </w:pPr>
      <w:bookmarkStart w:id="71" w:name="_Toc12969"/>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bookmarkEnd w:id="71"/>
    </w:p>
    <w:p w14:paraId="443453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62436CC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78C77474">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3901DEC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6B7C0283">
      <w:pPr>
        <w:spacing w:line="360" w:lineRule="auto"/>
        <w:ind w:firstLine="435"/>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eastAsia="zh-CN"/>
        </w:rPr>
        <w:t>17.</w:t>
      </w:r>
      <w:r>
        <w:rPr>
          <w:rFonts w:ascii="宋体" w:hAnsi="宋体" w:eastAsia="宋体"/>
          <w:color w:val="auto"/>
          <w:sz w:val="24"/>
          <w:highlight w:val="none"/>
        </w:rPr>
        <w:t>3</w:t>
      </w:r>
      <w:r>
        <w:rPr>
          <w:rFonts w:hint="eastAsia" w:ascii="宋体" w:hAnsi="宋体" w:eastAsia="宋体"/>
          <w:color w:val="auto"/>
          <w:sz w:val="24"/>
          <w:highlight w:val="none"/>
          <w:lang w:val="en-US" w:eastAsia="zh-CN"/>
        </w:rPr>
        <w:t>本项目不适用中小微企业等报价扣除政策。</w:t>
      </w:r>
    </w:p>
    <w:p w14:paraId="5BBCB81B">
      <w:pPr>
        <w:spacing w:line="360" w:lineRule="auto"/>
        <w:ind w:firstLine="435"/>
        <w:rPr>
          <w:rFonts w:hint="default"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17.4本项目接受本国产品及进口产品参与本项目投标，但不适用本国产品价格扣除政策。</w:t>
      </w:r>
    </w:p>
    <w:p w14:paraId="3303A7E9">
      <w:pPr>
        <w:spacing w:line="360" w:lineRule="auto"/>
        <w:ind w:firstLine="437"/>
        <w:outlineLvl w:val="2"/>
        <w:rPr>
          <w:rFonts w:asciiTheme="minorEastAsia" w:hAnsiTheme="minorEastAsia" w:eastAsiaTheme="minorEastAsia"/>
          <w:b/>
          <w:color w:val="auto"/>
          <w:sz w:val="24"/>
          <w:highlight w:val="none"/>
        </w:rPr>
      </w:pPr>
      <w:bookmarkStart w:id="72" w:name="_Toc29639"/>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bookmarkEnd w:id="72"/>
    </w:p>
    <w:p w14:paraId="5670916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0B658737">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5F64B9E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725FC58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1B0E593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5812BAA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18FAF02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7F0C02C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招标采购监督管理部门</w:t>
      </w:r>
      <w:r>
        <w:rPr>
          <w:rFonts w:hint="eastAsia" w:asciiTheme="minorEastAsia" w:hAnsiTheme="minorEastAsia" w:eastAsiaTheme="minorEastAsia"/>
          <w:color w:val="auto"/>
          <w:sz w:val="24"/>
          <w:highlight w:val="none"/>
        </w:rPr>
        <w:t>批准。</w:t>
      </w:r>
    </w:p>
    <w:p w14:paraId="3B487218">
      <w:pPr>
        <w:spacing w:line="360" w:lineRule="auto"/>
        <w:ind w:firstLine="437"/>
        <w:outlineLvl w:val="2"/>
        <w:rPr>
          <w:rFonts w:asciiTheme="minorEastAsia" w:hAnsiTheme="minorEastAsia" w:eastAsiaTheme="minorEastAsia"/>
          <w:b/>
          <w:color w:val="auto"/>
          <w:sz w:val="24"/>
          <w:highlight w:val="none"/>
        </w:rPr>
      </w:pPr>
      <w:bookmarkStart w:id="73" w:name="_Toc19586"/>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bookmarkEnd w:id="73"/>
    </w:p>
    <w:p w14:paraId="143479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635E4FF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54F1DF2A">
      <w:pPr>
        <w:spacing w:line="360" w:lineRule="auto"/>
        <w:ind w:firstLine="437"/>
        <w:outlineLvl w:val="2"/>
        <w:rPr>
          <w:rFonts w:asciiTheme="minorEastAsia" w:hAnsiTheme="minorEastAsia" w:eastAsiaTheme="minorEastAsia"/>
          <w:b/>
          <w:color w:val="auto"/>
          <w:sz w:val="24"/>
          <w:highlight w:val="none"/>
        </w:rPr>
      </w:pPr>
      <w:bookmarkStart w:id="74" w:name="_Toc26623"/>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bookmarkEnd w:id="74"/>
    </w:p>
    <w:p w14:paraId="2991CF8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0</w:t>
      </w:r>
      <w:r>
        <w:rPr>
          <w:rFonts w:asciiTheme="minorEastAsia" w:hAnsiTheme="minorEastAsia" w:eastAsiaTheme="minorEastAsia"/>
          <w:color w:val="auto"/>
          <w:sz w:val="24"/>
          <w:highlight w:val="none"/>
        </w:rPr>
        <w:t>.1评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0D4E92F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1）采用最低评标价法的，除了算术修正外，不对投标人的投标价格进行任何调整。评标结果按修正后的投标报价由低到高顺序排列。修正后的投标报价</w:t>
      </w:r>
      <w:r>
        <w:rPr>
          <w:rFonts w:hint="eastAsia" w:asciiTheme="minorEastAsia" w:hAnsiTheme="minorEastAsia" w:eastAsiaTheme="minorEastAsia"/>
          <w:color w:val="auto"/>
          <w:sz w:val="24"/>
          <w:highlight w:val="none"/>
        </w:rPr>
        <w:t>出现两家或两家以上相同者，采取评标委员会随机抽取的方式确定中标候选顺序。</w:t>
      </w:r>
    </w:p>
    <w:p w14:paraId="4C4EF33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2）采用综合评分法的，评标结果按评审后得分由高到低顺序排列。得分相同的，按投标报价由低到高顺序排列。得分与投标报价均相同的</w:t>
      </w:r>
      <w:r>
        <w:rPr>
          <w:rFonts w:hint="eastAsia" w:asciiTheme="minorEastAsia" w:hAnsiTheme="minorEastAsia" w:eastAsiaTheme="minorEastAsia"/>
          <w:color w:val="auto"/>
          <w:sz w:val="24"/>
          <w:highlight w:val="none"/>
        </w:rPr>
        <w:t>，采取评标委员会随机抽取的方式确定中标候选顺序。</w:t>
      </w:r>
    </w:p>
    <w:p w14:paraId="12D92B92">
      <w:pPr>
        <w:spacing w:line="360" w:lineRule="auto"/>
        <w:ind w:firstLine="437"/>
        <w:outlineLvl w:val="2"/>
        <w:rPr>
          <w:rFonts w:asciiTheme="minorEastAsia" w:hAnsiTheme="minorEastAsia" w:eastAsiaTheme="minorEastAsia"/>
          <w:b/>
          <w:color w:val="auto"/>
          <w:sz w:val="24"/>
          <w:highlight w:val="none"/>
        </w:rPr>
      </w:pPr>
      <w:bookmarkStart w:id="75" w:name="_Toc30379"/>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bookmarkEnd w:id="75"/>
    </w:p>
    <w:p w14:paraId="132308CC">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60E228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2032BC9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5BCF0C9C">
      <w:pPr>
        <w:spacing w:line="360" w:lineRule="auto"/>
        <w:ind w:firstLine="437"/>
        <w:outlineLvl w:val="2"/>
        <w:rPr>
          <w:rFonts w:asciiTheme="minorEastAsia" w:hAnsiTheme="minorEastAsia" w:eastAsiaTheme="minorEastAsia"/>
          <w:b/>
          <w:color w:val="auto"/>
          <w:sz w:val="24"/>
          <w:highlight w:val="none"/>
        </w:rPr>
      </w:pPr>
      <w:bookmarkStart w:id="76" w:name="_Toc28845"/>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bookmarkEnd w:id="76"/>
    </w:p>
    <w:p w14:paraId="26277F5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5898EB7C">
      <w:pPr>
        <w:spacing w:line="360" w:lineRule="auto"/>
        <w:ind w:firstLine="437"/>
        <w:outlineLvl w:val="2"/>
        <w:rPr>
          <w:rFonts w:asciiTheme="minorEastAsia" w:hAnsiTheme="minorEastAsia" w:eastAsiaTheme="minorEastAsia"/>
          <w:b/>
          <w:color w:val="auto"/>
          <w:sz w:val="24"/>
          <w:highlight w:val="none"/>
        </w:rPr>
      </w:pPr>
      <w:bookmarkStart w:id="77" w:name="_Toc29766"/>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bookmarkEnd w:id="77"/>
    </w:p>
    <w:p w14:paraId="68BB133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5DD0F371">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w:t>
      </w:r>
      <w:r>
        <w:rPr>
          <w:rFonts w:hint="eastAsia" w:ascii="宋体" w:hAnsi="宋体" w:eastAsia="宋体"/>
          <w:color w:val="auto"/>
          <w:sz w:val="24"/>
          <w:szCs w:val="18"/>
          <w:highlight w:val="none"/>
          <w:lang w:val="en-US" w:eastAsia="zh-CN"/>
        </w:rPr>
        <w:t>招标公告发布媒介</w:t>
      </w:r>
      <w:r>
        <w:rPr>
          <w:rFonts w:hint="eastAsia" w:ascii="宋体" w:hAnsi="宋体" w:eastAsia="宋体"/>
          <w:color w:val="auto"/>
          <w:sz w:val="24"/>
          <w:szCs w:val="18"/>
          <w:highlight w:val="none"/>
        </w:rPr>
        <w:t>上发布中标结果公告。</w:t>
      </w:r>
    </w:p>
    <w:p w14:paraId="2B7D5D2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697C0120">
      <w:pPr>
        <w:spacing w:line="360" w:lineRule="auto"/>
        <w:ind w:firstLine="437"/>
        <w:outlineLvl w:val="2"/>
        <w:rPr>
          <w:rFonts w:asciiTheme="minorEastAsia" w:hAnsiTheme="minorEastAsia" w:eastAsiaTheme="minorEastAsia"/>
          <w:b/>
          <w:color w:val="auto"/>
          <w:sz w:val="24"/>
          <w:highlight w:val="none"/>
        </w:rPr>
      </w:pPr>
      <w:bookmarkStart w:id="78" w:name="_Toc10634"/>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bookmarkEnd w:id="78"/>
    </w:p>
    <w:p w14:paraId="45A1E9C5">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46E4970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008BC8F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5C33E9E3">
      <w:pPr>
        <w:spacing w:line="360" w:lineRule="auto"/>
        <w:ind w:firstLine="437"/>
        <w:outlineLvl w:val="2"/>
        <w:rPr>
          <w:rFonts w:asciiTheme="minorEastAsia" w:hAnsiTheme="minorEastAsia" w:eastAsiaTheme="minorEastAsia"/>
          <w:b/>
          <w:color w:val="auto"/>
          <w:sz w:val="24"/>
          <w:highlight w:val="none"/>
        </w:rPr>
      </w:pPr>
      <w:bookmarkStart w:id="79" w:name="_Toc19138"/>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bookmarkEnd w:id="79"/>
    </w:p>
    <w:p w14:paraId="2BBF109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1173E71B">
      <w:pPr>
        <w:spacing w:line="360" w:lineRule="auto"/>
        <w:ind w:firstLine="437"/>
        <w:outlineLvl w:val="2"/>
        <w:rPr>
          <w:rFonts w:asciiTheme="minorEastAsia" w:hAnsiTheme="minorEastAsia" w:eastAsiaTheme="minorEastAsia"/>
          <w:b/>
          <w:color w:val="auto"/>
          <w:sz w:val="24"/>
          <w:highlight w:val="none"/>
        </w:rPr>
      </w:pPr>
      <w:bookmarkStart w:id="80" w:name="_Toc24703"/>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bookmarkEnd w:id="80"/>
    </w:p>
    <w:p w14:paraId="1C55DFE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2A885AE1">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6B416D7A">
      <w:pPr>
        <w:spacing w:line="360" w:lineRule="auto"/>
        <w:ind w:firstLine="437"/>
        <w:outlineLvl w:val="2"/>
        <w:rPr>
          <w:rFonts w:asciiTheme="minorEastAsia" w:hAnsiTheme="minorEastAsia" w:eastAsiaTheme="minorEastAsia"/>
          <w:b/>
          <w:color w:val="auto"/>
          <w:sz w:val="24"/>
          <w:highlight w:val="none"/>
        </w:rPr>
      </w:pPr>
      <w:bookmarkStart w:id="81" w:name="_Toc15823"/>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bookmarkEnd w:id="81"/>
    </w:p>
    <w:p w14:paraId="4DD2BE3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的时间内完成采购合同签订及合同公告。</w:t>
      </w:r>
    </w:p>
    <w:p w14:paraId="408839A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7BB0D53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，也可以重新开展采购活动。</w:t>
      </w:r>
    </w:p>
    <w:p w14:paraId="5AAC0AB0">
      <w:pPr>
        <w:spacing w:line="360" w:lineRule="auto"/>
        <w:ind w:firstLine="437"/>
        <w:outlineLvl w:val="2"/>
        <w:rPr>
          <w:rFonts w:hint="default" w:asciiTheme="minorEastAsia" w:hAnsiTheme="minorEastAsia" w:eastAsiaTheme="minorEastAsia"/>
          <w:b/>
          <w:color w:val="auto"/>
          <w:sz w:val="24"/>
          <w:highlight w:val="none"/>
          <w:lang w:val="en-US" w:eastAsia="zh-CN"/>
        </w:rPr>
      </w:pPr>
      <w:bookmarkStart w:id="82" w:name="_Toc27193"/>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bookmarkEnd w:id="82"/>
    </w:p>
    <w:p w14:paraId="4A22555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1207539D">
      <w:pPr>
        <w:spacing w:line="360" w:lineRule="auto"/>
        <w:ind w:firstLine="437"/>
        <w:outlineLvl w:val="2"/>
        <w:rPr>
          <w:rFonts w:asciiTheme="minorEastAsia" w:hAnsiTheme="minorEastAsia" w:eastAsiaTheme="minorEastAsia"/>
          <w:b/>
          <w:color w:val="auto"/>
          <w:sz w:val="24"/>
          <w:highlight w:val="none"/>
        </w:rPr>
      </w:pPr>
      <w:bookmarkStart w:id="83" w:name="_Toc30746"/>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83"/>
    </w:p>
    <w:p w14:paraId="58F1947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不得以不正当手段获取采购代理业务，不得与采购人、供应商恶意串通。</w:t>
      </w:r>
    </w:p>
    <w:p w14:paraId="2326169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D2CAC09">
      <w:pPr>
        <w:spacing w:line="360" w:lineRule="auto"/>
        <w:ind w:firstLine="437"/>
        <w:outlineLvl w:val="2"/>
        <w:rPr>
          <w:rFonts w:asciiTheme="minorEastAsia" w:hAnsiTheme="minorEastAsia" w:eastAsiaTheme="minorEastAsia"/>
          <w:b/>
          <w:color w:val="auto"/>
          <w:sz w:val="24"/>
          <w:highlight w:val="none"/>
        </w:rPr>
      </w:pPr>
      <w:bookmarkStart w:id="84" w:name="_Toc13444"/>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84"/>
    </w:p>
    <w:p w14:paraId="2C54034A">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3ED6094A">
      <w:pPr>
        <w:spacing w:line="360" w:lineRule="auto"/>
        <w:ind w:firstLine="437"/>
        <w:outlineLvl w:val="2"/>
        <w:rPr>
          <w:rFonts w:asciiTheme="minorEastAsia" w:hAnsiTheme="minorEastAsia" w:eastAsiaTheme="minorEastAsia"/>
          <w:b/>
          <w:color w:val="auto"/>
          <w:sz w:val="24"/>
          <w:highlight w:val="none"/>
        </w:rPr>
      </w:pPr>
      <w:bookmarkStart w:id="85" w:name="_Toc11984"/>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bookmarkEnd w:id="85"/>
    </w:p>
    <w:p w14:paraId="0A8DE59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6102004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w:t>
      </w:r>
      <w:r>
        <w:rPr>
          <w:rFonts w:hint="eastAsia" w:ascii="宋体" w:hAnsi="宋体" w:eastAsia="宋体"/>
          <w:color w:val="auto"/>
          <w:sz w:val="24"/>
          <w:highlight w:val="none"/>
          <w:lang w:val="en-US" w:eastAsia="zh-CN"/>
        </w:rPr>
        <w:t>招标文件规定的</w:t>
      </w:r>
      <w:r>
        <w:rPr>
          <w:rFonts w:hint="eastAsia" w:ascii="宋体" w:hAnsi="宋体" w:eastAsia="宋体"/>
          <w:color w:val="auto"/>
          <w:sz w:val="24"/>
          <w:highlight w:val="none"/>
        </w:rPr>
        <w:t>格式（详见招标文件）要求，在法定质疑期内以书面形式提出质疑，超出法定质疑期提交的质疑将被拒绝。针对同一采购程序环节的质疑应一次性提出。</w:t>
      </w:r>
    </w:p>
    <w:p w14:paraId="1046B516">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60C4A597">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2A6F08E0">
      <w:pPr>
        <w:spacing w:line="360" w:lineRule="auto"/>
        <w:ind w:firstLine="437"/>
        <w:outlineLvl w:val="2"/>
        <w:rPr>
          <w:rFonts w:asciiTheme="minorEastAsia" w:hAnsiTheme="minorEastAsia" w:eastAsiaTheme="minorEastAsia"/>
          <w:b/>
          <w:color w:val="auto"/>
          <w:sz w:val="24"/>
          <w:highlight w:val="none"/>
        </w:rPr>
      </w:pPr>
      <w:bookmarkStart w:id="86" w:name="_Toc19518"/>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bookmarkEnd w:id="86"/>
    </w:p>
    <w:p w14:paraId="100934F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14323931">
      <w:pPr>
        <w:spacing w:line="360" w:lineRule="auto"/>
        <w:ind w:firstLine="435"/>
        <w:rPr>
          <w:rFonts w:asciiTheme="minorEastAsia" w:hAnsiTheme="minorEastAsia" w:eastAsiaTheme="minorEastAsia"/>
          <w:color w:val="auto"/>
          <w:sz w:val="24"/>
          <w:highlight w:val="none"/>
        </w:rPr>
      </w:pPr>
    </w:p>
    <w:p w14:paraId="7084582A">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46B29A95">
      <w:pPr>
        <w:spacing w:line="360" w:lineRule="auto"/>
        <w:jc w:val="center"/>
        <w:outlineLvl w:val="0"/>
        <w:rPr>
          <w:rFonts w:hint="eastAsia" w:asciiTheme="minorEastAsia" w:hAnsiTheme="minorEastAsia" w:eastAsiaTheme="minorEastAsia"/>
          <w:b/>
          <w:color w:val="auto"/>
          <w:sz w:val="28"/>
          <w:highlight w:val="none"/>
          <w:lang w:eastAsia="zh-CN"/>
        </w:rPr>
      </w:pPr>
      <w:bookmarkStart w:id="87" w:name="_Toc11950"/>
      <w:bookmarkStart w:id="88" w:name="_Toc15918"/>
      <w:bookmarkStart w:id="89" w:name="_Toc16690"/>
      <w:bookmarkStart w:id="90" w:name="_Toc15234"/>
      <w:r>
        <w:rPr>
          <w:rFonts w:hint="eastAsia" w:asciiTheme="minorEastAsia" w:hAnsiTheme="minorEastAsia" w:eastAsiaTheme="minorEastAsia"/>
          <w:b/>
          <w:color w:val="auto"/>
          <w:sz w:val="28"/>
          <w:highlight w:val="none"/>
        </w:rPr>
        <w:t>第三章  采购需求</w:t>
      </w:r>
      <w:bookmarkEnd w:id="87"/>
      <w:bookmarkEnd w:id="88"/>
      <w:bookmarkEnd w:id="89"/>
      <w:bookmarkEnd w:id="90"/>
    </w:p>
    <w:p w14:paraId="0D9E3639">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51D5CD58">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1.</w:t>
      </w:r>
      <w:r>
        <w:rPr>
          <w:rFonts w:ascii="宋体" w:hAnsi="宋体" w:eastAsia="宋体"/>
          <w:color w:val="auto"/>
          <w:sz w:val="24"/>
          <w:szCs w:val="18"/>
          <w:highlight w:val="none"/>
        </w:rPr>
        <w:t>根据</w:t>
      </w:r>
      <w:r>
        <w:rPr>
          <w:rFonts w:hint="eastAsia" w:ascii="宋体" w:hAnsi="宋体" w:eastAsia="宋体"/>
          <w:color w:val="auto"/>
          <w:sz w:val="24"/>
          <w:szCs w:val="18"/>
          <w:highlight w:val="none"/>
          <w:lang w:val="en-US" w:eastAsia="zh-CN"/>
        </w:rPr>
        <w:t>采购人</w:t>
      </w:r>
      <w:r>
        <w:rPr>
          <w:rFonts w:ascii="宋体" w:hAnsi="宋体" w:eastAsia="宋体"/>
          <w:color w:val="auto"/>
          <w:sz w:val="24"/>
          <w:szCs w:val="18"/>
          <w:highlight w:val="none"/>
        </w:rPr>
        <w:t>及</w:t>
      </w:r>
      <w:r>
        <w:rPr>
          <w:rFonts w:hint="eastAsia" w:ascii="宋体" w:hAnsi="宋体" w:eastAsia="宋体"/>
          <w:color w:val="auto"/>
          <w:sz w:val="24"/>
          <w:szCs w:val="18"/>
          <w:highlight w:val="none"/>
          <w:lang w:val="en-US" w:eastAsia="zh-CN"/>
        </w:rPr>
        <w:t>招标</w:t>
      </w:r>
      <w:r>
        <w:rPr>
          <w:rFonts w:ascii="宋体" w:hAnsi="宋体" w:eastAsia="宋体"/>
          <w:color w:val="auto"/>
          <w:sz w:val="24"/>
          <w:szCs w:val="18"/>
          <w:highlight w:val="none"/>
        </w:rPr>
        <w:t>采购管理部门的相关规定，下列采购需求</w:t>
      </w:r>
      <w:r>
        <w:rPr>
          <w:rFonts w:hint="eastAsia" w:ascii="宋体" w:hAnsi="宋体" w:eastAsia="宋体"/>
          <w:color w:val="auto"/>
          <w:sz w:val="24"/>
          <w:szCs w:val="18"/>
          <w:highlight w:val="none"/>
          <w:lang w:val="en-US" w:eastAsia="zh-CN"/>
        </w:rPr>
        <w:t>中列明的货物允许进口产品参与投标且</w:t>
      </w:r>
      <w:r>
        <w:rPr>
          <w:rFonts w:ascii="宋体" w:hAnsi="宋体" w:eastAsia="宋体"/>
          <w:color w:val="auto"/>
          <w:sz w:val="24"/>
          <w:szCs w:val="18"/>
          <w:highlight w:val="none"/>
        </w:rPr>
        <w:t>已履行相关手续，</w:t>
      </w:r>
      <w:r>
        <w:rPr>
          <w:rFonts w:hint="eastAsia" w:ascii="宋体" w:hAnsi="宋体" w:eastAsia="宋体"/>
          <w:color w:val="auto"/>
          <w:sz w:val="24"/>
          <w:szCs w:val="18"/>
          <w:highlight w:val="none"/>
          <w:lang w:val="en-US" w:eastAsia="zh-CN"/>
        </w:rPr>
        <w:t>且</w:t>
      </w:r>
      <w:r>
        <w:rPr>
          <w:rFonts w:ascii="宋体" w:hAnsi="宋体" w:eastAsia="宋体"/>
          <w:color w:val="auto"/>
          <w:sz w:val="24"/>
          <w:szCs w:val="18"/>
          <w:highlight w:val="none"/>
        </w:rPr>
        <w:t>不限制满足招标文件要求的国内产品</w:t>
      </w:r>
      <w:r>
        <w:rPr>
          <w:rFonts w:hint="eastAsia" w:ascii="宋体" w:hAnsi="宋体" w:eastAsia="宋体"/>
          <w:color w:val="auto"/>
          <w:sz w:val="24"/>
          <w:szCs w:val="18"/>
          <w:highlight w:val="none"/>
          <w:lang w:val="en-US" w:eastAsia="zh-CN"/>
        </w:rPr>
        <w:t>和进口产品</w:t>
      </w:r>
      <w:r>
        <w:rPr>
          <w:rFonts w:ascii="宋体" w:hAnsi="宋体" w:eastAsia="宋体"/>
          <w:color w:val="auto"/>
          <w:sz w:val="24"/>
          <w:szCs w:val="18"/>
          <w:highlight w:val="none"/>
        </w:rPr>
        <w:t>参与竞争</w:t>
      </w:r>
      <w:r>
        <w:rPr>
          <w:rFonts w:hint="eastAsia" w:ascii="宋体" w:hAnsi="宋体" w:eastAsia="宋体"/>
          <w:color w:val="auto"/>
          <w:sz w:val="24"/>
          <w:szCs w:val="18"/>
          <w:highlight w:val="none"/>
        </w:rPr>
        <w:t>。</w:t>
      </w:r>
    </w:p>
    <w:p w14:paraId="79D1A6D3">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2.下列采购需求中：标注▲的产品为核心产品。</w:t>
      </w:r>
    </w:p>
    <w:p w14:paraId="4A44DA97">
      <w:pPr>
        <w:spacing w:line="360" w:lineRule="auto"/>
        <w:ind w:firstLine="435"/>
        <w:rPr>
          <w:rFonts w:hint="eastAsia" w:ascii="宋体" w:hAnsi="宋体" w:eastAsia="宋体"/>
          <w:color w:val="auto"/>
          <w:sz w:val="24"/>
          <w:szCs w:val="18"/>
          <w:highlight w:val="none"/>
          <w:lang w:val="en-US" w:eastAsia="zh-CN"/>
        </w:rPr>
      </w:pPr>
      <w:r>
        <w:rPr>
          <w:rFonts w:hint="eastAsia" w:ascii="宋体" w:hAnsi="宋体" w:eastAsia="宋体"/>
          <w:b/>
          <w:bCs/>
          <w:color w:val="auto"/>
          <w:sz w:val="24"/>
          <w:szCs w:val="18"/>
          <w:highlight w:val="none"/>
          <w:lang w:val="en-US" w:eastAsia="zh-CN"/>
        </w:rPr>
        <w:t>3.投标产品具有相应有效的医疗器械注册证（适用第二类和第三类医疗器械）或备案凭证（适用第一类医疗器械）</w:t>
      </w:r>
      <w:r>
        <w:rPr>
          <w:rFonts w:hint="eastAsia" w:ascii="宋体" w:hAnsi="宋体" w:eastAsia="宋体" w:cs="宋体"/>
          <w:b/>
          <w:bCs/>
          <w:color w:val="auto"/>
          <w:kern w:val="0"/>
          <w:sz w:val="24"/>
          <w:szCs w:val="24"/>
          <w:highlight w:val="none"/>
          <w:lang w:bidi="ar"/>
        </w:rPr>
        <w:t>。</w:t>
      </w:r>
    </w:p>
    <w:p w14:paraId="1C65E8E5">
      <w:pPr>
        <w:spacing w:line="360" w:lineRule="auto"/>
        <w:ind w:firstLine="437"/>
        <w:outlineLvl w:val="1"/>
        <w:rPr>
          <w:rFonts w:hint="eastAsia" w:ascii="宋体" w:hAnsi="宋体" w:eastAsia="宋体" w:cs="宋体"/>
          <w:b/>
          <w:bCs/>
          <w:color w:val="auto"/>
          <w:kern w:val="0"/>
          <w:sz w:val="24"/>
          <w:szCs w:val="24"/>
          <w:highlight w:val="none"/>
          <w:lang w:val="en-US" w:eastAsia="zh-CN" w:bidi="ar"/>
        </w:rPr>
      </w:pPr>
      <w:bookmarkStart w:id="91" w:name="_Toc31778"/>
      <w:bookmarkStart w:id="92" w:name="_Toc4665"/>
      <w:r>
        <w:rPr>
          <w:rFonts w:hint="eastAsia" w:ascii="宋体" w:hAnsi="宋体" w:eastAsia="宋体"/>
          <w:b/>
          <w:bCs/>
          <w:color w:val="auto"/>
          <w:sz w:val="24"/>
          <w:szCs w:val="18"/>
          <w:highlight w:val="none"/>
          <w:lang w:val="en-US" w:eastAsia="zh-CN"/>
        </w:rPr>
        <w:t>4.</w:t>
      </w:r>
      <w:r>
        <w:rPr>
          <w:rFonts w:hint="eastAsia" w:ascii="宋体" w:hAnsi="宋体" w:eastAsia="宋体" w:cs="宋体"/>
          <w:b/>
          <w:bCs/>
          <w:color w:val="auto"/>
          <w:kern w:val="0"/>
          <w:sz w:val="24"/>
          <w:szCs w:val="24"/>
          <w:highlight w:val="none"/>
          <w:lang w:val="en-US" w:eastAsia="zh-CN" w:bidi="ar"/>
        </w:rPr>
        <w:t>货物需求相关标识符号说明</w:t>
      </w:r>
      <w:bookmarkEnd w:id="91"/>
      <w:bookmarkEnd w:id="92"/>
    </w:p>
    <w:tbl>
      <w:tblPr>
        <w:tblStyle w:val="2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7"/>
        <w:gridCol w:w="1125"/>
        <w:gridCol w:w="5370"/>
      </w:tblGrid>
      <w:tr w14:paraId="28E5F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7" w:type="dxa"/>
            <w:vAlign w:val="center"/>
          </w:tcPr>
          <w:p w14:paraId="36B039B7">
            <w:pPr>
              <w:widowControl/>
              <w:jc w:val="center"/>
              <w:rPr>
                <w:rFonts w:hint="eastAsia" w:ascii="宋体" w:hAnsi="宋体" w:eastAsia="宋体" w:cs="宋体"/>
                <w:color w:val="auto"/>
                <w:highlight w:val="none"/>
              </w:rPr>
            </w:pPr>
            <w:r>
              <w:rPr>
                <w:rFonts w:hint="eastAsia" w:ascii="宋体" w:hAnsi="宋体" w:eastAsia="宋体" w:cs="宋体"/>
                <w:b/>
                <w:bCs/>
                <w:color w:val="auto"/>
                <w:kern w:val="0"/>
                <w:sz w:val="24"/>
                <w:szCs w:val="24"/>
                <w:highlight w:val="none"/>
                <w:lang w:bidi="ar"/>
              </w:rPr>
              <w:t>标识重要性</w:t>
            </w:r>
          </w:p>
        </w:tc>
        <w:tc>
          <w:tcPr>
            <w:tcW w:w="1125" w:type="dxa"/>
            <w:vAlign w:val="center"/>
          </w:tcPr>
          <w:p w14:paraId="55ACE565">
            <w:pPr>
              <w:widowControl/>
              <w:jc w:val="center"/>
              <w:rPr>
                <w:rFonts w:hint="eastAsia" w:ascii="宋体" w:hAnsi="宋体" w:eastAsia="宋体" w:cs="宋体"/>
                <w:color w:val="auto"/>
                <w:highlight w:val="none"/>
              </w:rPr>
            </w:pPr>
            <w:r>
              <w:rPr>
                <w:rFonts w:hint="eastAsia" w:ascii="宋体" w:hAnsi="宋体" w:eastAsia="宋体" w:cs="宋体"/>
                <w:b/>
                <w:bCs/>
                <w:color w:val="auto"/>
                <w:kern w:val="0"/>
                <w:sz w:val="24"/>
                <w:szCs w:val="24"/>
                <w:highlight w:val="none"/>
                <w:lang w:bidi="ar"/>
              </w:rPr>
              <w:t>标识符号</w:t>
            </w:r>
          </w:p>
        </w:tc>
        <w:tc>
          <w:tcPr>
            <w:tcW w:w="5370" w:type="dxa"/>
            <w:vAlign w:val="center"/>
          </w:tcPr>
          <w:p w14:paraId="3551E1FE">
            <w:pPr>
              <w:widowControl/>
              <w:jc w:val="center"/>
              <w:rPr>
                <w:rFonts w:hint="eastAsia" w:ascii="宋体" w:hAnsi="宋体" w:eastAsia="宋体" w:cs="宋体"/>
                <w:color w:val="auto"/>
                <w:highlight w:val="none"/>
              </w:rPr>
            </w:pPr>
            <w:r>
              <w:rPr>
                <w:rFonts w:hint="eastAsia" w:ascii="宋体" w:hAnsi="宋体" w:eastAsia="宋体" w:cs="宋体"/>
                <w:b/>
                <w:bCs/>
                <w:color w:val="auto"/>
                <w:kern w:val="0"/>
                <w:sz w:val="24"/>
                <w:szCs w:val="24"/>
                <w:highlight w:val="none"/>
                <w:lang w:bidi="ar"/>
              </w:rPr>
              <w:t>代表意思</w:t>
            </w:r>
          </w:p>
        </w:tc>
      </w:tr>
      <w:tr w14:paraId="7C041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027" w:type="dxa"/>
            <w:vAlign w:val="center"/>
          </w:tcPr>
          <w:p w14:paraId="40FCF0FA">
            <w:pPr>
              <w:widowControl/>
              <w:jc w:val="cente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关键指标项</w:t>
            </w:r>
          </w:p>
        </w:tc>
        <w:tc>
          <w:tcPr>
            <w:tcW w:w="1125" w:type="dxa"/>
            <w:vAlign w:val="center"/>
          </w:tcPr>
          <w:p w14:paraId="2627E15E">
            <w:pPr>
              <w:widowControl/>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w:t>
            </w:r>
          </w:p>
        </w:tc>
        <w:tc>
          <w:tcPr>
            <w:tcW w:w="5370" w:type="dxa"/>
            <w:vAlign w:val="center"/>
          </w:tcPr>
          <w:p w14:paraId="6998D325">
            <w:pPr>
              <w:widowControl/>
              <w:jc w:val="center"/>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符合性审查项，未响应或负偏离的，将导致投标无效</w:t>
            </w:r>
          </w:p>
        </w:tc>
      </w:tr>
      <w:tr w14:paraId="019D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027" w:type="dxa"/>
            <w:vAlign w:val="center"/>
          </w:tcPr>
          <w:p w14:paraId="4D62C64E">
            <w:pPr>
              <w:widowControl/>
              <w:jc w:val="center"/>
              <w:rPr>
                <w:rFonts w:hint="eastAsia" w:ascii="宋体" w:hAnsi="宋体" w:eastAsia="宋体" w:cs="宋体"/>
                <w:b/>
                <w:bCs/>
                <w:color w:val="auto"/>
                <w:highlight w:val="none"/>
              </w:rPr>
            </w:pPr>
            <w:r>
              <w:rPr>
                <w:rFonts w:hint="eastAsia" w:ascii="宋体" w:hAnsi="宋体" w:eastAsia="宋体" w:cs="宋体"/>
                <w:b/>
                <w:bCs/>
                <w:color w:val="auto"/>
                <w:kern w:val="0"/>
                <w:sz w:val="24"/>
                <w:szCs w:val="24"/>
                <w:highlight w:val="none"/>
                <w:lang w:bidi="ar"/>
              </w:rPr>
              <w:t>重要指标项</w:t>
            </w:r>
          </w:p>
        </w:tc>
        <w:tc>
          <w:tcPr>
            <w:tcW w:w="1125" w:type="dxa"/>
            <w:vAlign w:val="center"/>
          </w:tcPr>
          <w:p w14:paraId="34D336BC">
            <w:pPr>
              <w:widowControl/>
              <w:jc w:val="center"/>
              <w:rPr>
                <w:rFonts w:hint="eastAsia" w:ascii="宋体" w:hAnsi="宋体" w:eastAsia="宋体" w:cs="宋体"/>
                <w:color w:val="auto"/>
                <w:highlight w:val="none"/>
              </w:rPr>
            </w:pPr>
            <w:r>
              <w:rPr>
                <w:rFonts w:hint="eastAsia" w:ascii="宋体" w:hAnsi="宋体" w:eastAsia="宋体" w:cs="宋体"/>
                <w:color w:val="auto"/>
                <w:sz w:val="32"/>
                <w:szCs w:val="28"/>
                <w:highlight w:val="none"/>
              </w:rPr>
              <w:t>*</w:t>
            </w:r>
          </w:p>
        </w:tc>
        <w:tc>
          <w:tcPr>
            <w:tcW w:w="5370" w:type="dxa"/>
            <w:vAlign w:val="center"/>
          </w:tcPr>
          <w:p w14:paraId="4BA50A4D">
            <w:pPr>
              <w:widowControl/>
              <w:jc w:val="center"/>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bidi="ar"/>
              </w:rPr>
              <w:t>评分项，详见第四章评分细则</w:t>
            </w:r>
          </w:p>
        </w:tc>
      </w:tr>
      <w:tr w14:paraId="0863E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027" w:type="dxa"/>
            <w:vAlign w:val="center"/>
          </w:tcPr>
          <w:p w14:paraId="11523EA8">
            <w:pPr>
              <w:widowControl/>
              <w:jc w:val="center"/>
              <w:rPr>
                <w:rFonts w:hint="eastAsia" w:ascii="宋体" w:hAnsi="宋体" w:eastAsia="宋体" w:cs="宋体"/>
                <w:b/>
                <w:bCs/>
                <w:color w:val="auto"/>
                <w:highlight w:val="none"/>
              </w:rPr>
            </w:pPr>
            <w:r>
              <w:rPr>
                <w:rFonts w:hint="eastAsia" w:ascii="宋体" w:hAnsi="宋体" w:eastAsia="宋体" w:cs="宋体"/>
                <w:b/>
                <w:bCs/>
                <w:color w:val="auto"/>
                <w:kern w:val="0"/>
                <w:sz w:val="24"/>
                <w:szCs w:val="24"/>
                <w:highlight w:val="none"/>
                <w:lang w:bidi="ar"/>
              </w:rPr>
              <w:t>无标识项</w:t>
            </w:r>
          </w:p>
        </w:tc>
        <w:tc>
          <w:tcPr>
            <w:tcW w:w="1125" w:type="dxa"/>
            <w:vAlign w:val="center"/>
          </w:tcPr>
          <w:p w14:paraId="71AC2563">
            <w:pPr>
              <w:widowControl/>
              <w:jc w:val="center"/>
              <w:rPr>
                <w:rFonts w:hint="eastAsia" w:ascii="宋体" w:hAnsi="宋体" w:eastAsia="宋体" w:cs="宋体"/>
                <w:color w:val="auto"/>
                <w:highlight w:val="none"/>
              </w:rPr>
            </w:pPr>
          </w:p>
        </w:tc>
        <w:tc>
          <w:tcPr>
            <w:tcW w:w="5370" w:type="dxa"/>
            <w:vAlign w:val="center"/>
          </w:tcPr>
          <w:p w14:paraId="79EAC4B7">
            <w:pPr>
              <w:widowControl/>
              <w:spacing w:line="360" w:lineRule="auto"/>
              <w:jc w:val="center"/>
              <w:rPr>
                <w:rFonts w:hint="eastAsia" w:ascii="宋体" w:hAnsi="宋体" w:eastAsia="宋体" w:cs="宋体"/>
                <w:color w:val="auto"/>
                <w:highlight w:val="none"/>
              </w:rPr>
            </w:pPr>
            <w:r>
              <w:rPr>
                <w:rFonts w:hint="eastAsia" w:ascii="宋体" w:hAnsi="宋体" w:eastAsia="宋体" w:cs="宋体"/>
                <w:color w:val="auto"/>
                <w:kern w:val="0"/>
                <w:sz w:val="24"/>
                <w:szCs w:val="24"/>
                <w:highlight w:val="none"/>
                <w:lang w:bidi="ar"/>
              </w:rPr>
              <w:t>评分项，详见第四章评分细则</w:t>
            </w:r>
          </w:p>
        </w:tc>
      </w:tr>
      <w:tr w14:paraId="0A2C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3"/>
          </w:tcPr>
          <w:p w14:paraId="6C6E6145">
            <w:pPr>
              <w:widowControl/>
              <w:jc w:val="left"/>
              <w:rPr>
                <w:rFonts w:hint="eastAsia" w:ascii="宋体" w:hAnsi="宋体" w:eastAsia="宋体" w:cs="宋体"/>
                <w:color w:val="auto"/>
                <w:highlight w:val="none"/>
              </w:rPr>
            </w:pPr>
            <w:r>
              <w:rPr>
                <w:rFonts w:hint="eastAsia" w:ascii="宋体" w:hAnsi="宋体" w:eastAsia="宋体" w:cs="宋体"/>
                <w:b/>
                <w:bCs/>
                <w:color w:val="auto"/>
                <w:kern w:val="0"/>
                <w:sz w:val="24"/>
                <w:szCs w:val="24"/>
                <w:highlight w:val="none"/>
                <w:lang w:bidi="ar"/>
              </w:rPr>
              <w:t xml:space="preserve">注： </w:t>
            </w:r>
          </w:p>
          <w:p w14:paraId="0B349A3D">
            <w:pPr>
              <w:widowControl/>
              <w:spacing w:line="360" w:lineRule="auto"/>
              <w:jc w:val="left"/>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1）其中标注</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bidi="ar"/>
              </w:rPr>
              <w:t>★</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bidi="ar"/>
              </w:rPr>
              <w:t>“*”的条款，投标文件中提供能反映其所在条款的相关证明材料扫描件，证明材料包括：产品彩页、技术白皮书、产品说明书、检测/检验报告或“技术参数及要求”中要求的其他证明材料，提供其中之一即可，否则视为负偏离（为便于评审，建议投标人在投标文件中标明证明材料对应的页码，并对参数指标进行标注（如下划线、背景颜色等））。</w:t>
            </w:r>
          </w:p>
          <w:p w14:paraId="185B6603">
            <w:pPr>
              <w:widowControl/>
              <w:spacing w:line="360" w:lineRule="auto"/>
              <w:jc w:val="left"/>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2）</w:t>
            </w:r>
            <w:r>
              <w:rPr>
                <w:rFonts w:hint="eastAsia" w:ascii="宋体" w:hAnsi="宋体" w:eastAsia="宋体" w:cs="宋体"/>
                <w:b/>
                <w:bCs/>
                <w:color w:val="auto"/>
                <w:kern w:val="0"/>
                <w:sz w:val="24"/>
                <w:szCs w:val="24"/>
                <w:highlight w:val="none"/>
                <w:lang w:val="en-US" w:eastAsia="zh-CN" w:bidi="ar"/>
              </w:rPr>
              <w:t>其中</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val="en-US" w:eastAsia="zh-CN" w:bidi="ar"/>
              </w:rPr>
              <w:t>无标识项</w:t>
            </w:r>
            <w:r>
              <w:rPr>
                <w:rFonts w:hint="eastAsia" w:ascii="宋体" w:hAnsi="宋体" w:eastAsia="宋体" w:cs="宋体"/>
                <w:b/>
                <w:bCs/>
                <w:color w:val="auto"/>
                <w:kern w:val="0"/>
                <w:sz w:val="24"/>
                <w:szCs w:val="24"/>
                <w:highlight w:val="none"/>
                <w:lang w:eastAsia="zh-CN" w:bidi="ar"/>
              </w:rPr>
              <w:t>”</w:t>
            </w:r>
            <w:r>
              <w:rPr>
                <w:rFonts w:hint="eastAsia" w:ascii="宋体" w:hAnsi="宋体" w:eastAsia="宋体" w:cs="宋体"/>
                <w:b/>
                <w:bCs/>
                <w:color w:val="auto"/>
                <w:kern w:val="0"/>
                <w:sz w:val="24"/>
                <w:szCs w:val="24"/>
                <w:highlight w:val="none"/>
                <w:lang w:bidi="ar"/>
              </w:rPr>
              <w:t>的条款按照对应参数</w:t>
            </w:r>
            <w:r>
              <w:rPr>
                <w:rFonts w:hint="eastAsia" w:ascii="宋体" w:hAnsi="宋体" w:eastAsia="宋体" w:cs="宋体"/>
                <w:b/>
                <w:bCs/>
                <w:color w:val="auto"/>
                <w:kern w:val="0"/>
                <w:sz w:val="24"/>
                <w:szCs w:val="24"/>
                <w:highlight w:val="none"/>
                <w:lang w:val="en-US" w:eastAsia="zh-CN" w:bidi="ar"/>
              </w:rPr>
              <w:t>中</w:t>
            </w:r>
            <w:r>
              <w:rPr>
                <w:rFonts w:hint="eastAsia" w:ascii="宋体" w:hAnsi="宋体" w:eastAsia="宋体" w:cs="宋体"/>
                <w:b/>
                <w:bCs/>
                <w:color w:val="auto"/>
                <w:kern w:val="0"/>
                <w:sz w:val="24"/>
                <w:szCs w:val="24"/>
                <w:highlight w:val="none"/>
                <w:lang w:eastAsia="zh-CN" w:bidi="ar"/>
              </w:rPr>
              <w:t>的</w:t>
            </w:r>
            <w:r>
              <w:rPr>
                <w:rFonts w:hint="eastAsia" w:ascii="宋体" w:hAnsi="宋体" w:eastAsia="宋体" w:cs="宋体"/>
                <w:b/>
                <w:bCs/>
                <w:color w:val="auto"/>
                <w:kern w:val="0"/>
                <w:sz w:val="24"/>
                <w:szCs w:val="24"/>
                <w:highlight w:val="none"/>
                <w:lang w:bidi="ar"/>
              </w:rPr>
              <w:t>要求提供证明材料（未提供证明材料的不得分），若对应参数没有要求提供证明材料，投标人可以不提供证明材料，投标人须真实填写</w:t>
            </w:r>
            <w:r>
              <w:rPr>
                <w:rFonts w:hint="eastAsia" w:ascii="宋体" w:hAnsi="宋体" w:eastAsia="宋体" w:cs="宋体"/>
                <w:b/>
                <w:bCs/>
                <w:color w:val="auto"/>
                <w:kern w:val="0"/>
                <w:sz w:val="24"/>
                <w:szCs w:val="24"/>
                <w:highlight w:val="none"/>
                <w:lang w:eastAsia="zh-CN" w:bidi="ar"/>
              </w:rPr>
              <w:t>“技术响应表”</w:t>
            </w:r>
            <w:r>
              <w:rPr>
                <w:rFonts w:hint="eastAsia" w:ascii="宋体" w:hAnsi="宋体" w:eastAsia="宋体" w:cs="宋体"/>
                <w:b/>
                <w:bCs/>
                <w:color w:val="auto"/>
                <w:kern w:val="0"/>
                <w:sz w:val="24"/>
                <w:szCs w:val="24"/>
                <w:highlight w:val="none"/>
                <w:lang w:bidi="ar"/>
              </w:rPr>
              <w:t>，评标委员会按照“技术响应表”响应情况进行评审。</w:t>
            </w:r>
          </w:p>
          <w:p w14:paraId="0837566F">
            <w:pPr>
              <w:widowControl/>
              <w:spacing w:line="360" w:lineRule="auto"/>
              <w:jc w:val="left"/>
              <w:rPr>
                <w:rFonts w:hint="eastAsia" w:ascii="宋体" w:hAnsi="宋体" w:eastAsia="宋体" w:cs="宋体"/>
                <w:color w:val="auto"/>
                <w:highlight w:val="none"/>
                <w:lang w:val="en-US"/>
              </w:rPr>
            </w:pPr>
            <w:r>
              <w:rPr>
                <w:rFonts w:hint="eastAsia" w:ascii="宋体" w:hAnsi="宋体" w:eastAsia="宋体" w:cs="宋体"/>
                <w:b/>
                <w:bCs/>
                <w:color w:val="auto"/>
                <w:kern w:val="0"/>
                <w:sz w:val="24"/>
                <w:szCs w:val="24"/>
                <w:highlight w:val="none"/>
                <w:lang w:val="en-US" w:eastAsia="zh-CN" w:bidi="ar"/>
              </w:rPr>
              <w:t>3</w:t>
            </w:r>
            <w:r>
              <w:rPr>
                <w:rFonts w:hint="eastAsia" w:ascii="宋体" w:hAnsi="宋体" w:eastAsia="宋体" w:cs="宋体"/>
                <w:b/>
                <w:bCs/>
                <w:color w:val="auto"/>
                <w:kern w:val="0"/>
                <w:sz w:val="24"/>
                <w:szCs w:val="24"/>
                <w:highlight w:val="none"/>
                <w:lang w:bidi="ar"/>
              </w:rPr>
              <w:t>）如某项标识同时存在一级标识和二级标识时，则以二级标识为最小单位计算条目数量；如某项标识同时存在二级标识和三级标识时，则以三级标识为最小单位计算条目数量</w:t>
            </w:r>
            <w:r>
              <w:rPr>
                <w:rFonts w:hint="eastAsia" w:ascii="宋体" w:hAnsi="宋体" w:eastAsia="宋体" w:cs="宋体"/>
                <w:b/>
                <w:bCs/>
                <w:color w:val="auto"/>
                <w:kern w:val="0"/>
                <w:sz w:val="24"/>
                <w:szCs w:val="24"/>
                <w:highlight w:val="none"/>
                <w:lang w:eastAsia="zh-CN" w:bidi="ar"/>
              </w:rPr>
              <w:t>，以此类推</w:t>
            </w:r>
            <w:r>
              <w:rPr>
                <w:rFonts w:hint="eastAsia" w:ascii="宋体" w:hAnsi="宋体" w:eastAsia="宋体" w:cs="宋体"/>
                <w:b/>
                <w:bCs/>
                <w:color w:val="auto"/>
                <w:kern w:val="0"/>
                <w:sz w:val="24"/>
                <w:szCs w:val="24"/>
                <w:highlight w:val="none"/>
                <w:lang w:bidi="ar"/>
              </w:rPr>
              <w:t>。</w:t>
            </w:r>
          </w:p>
        </w:tc>
      </w:tr>
    </w:tbl>
    <w:p w14:paraId="30B0ED33">
      <w:pPr>
        <w:spacing w:line="360" w:lineRule="auto"/>
        <w:ind w:firstLine="437"/>
        <w:outlineLvl w:val="1"/>
        <w:rPr>
          <w:rFonts w:ascii="宋体" w:hAnsi="宋体" w:eastAsia="宋体"/>
          <w:b/>
          <w:color w:val="auto"/>
          <w:sz w:val="24"/>
          <w:szCs w:val="18"/>
          <w:highlight w:val="none"/>
        </w:rPr>
      </w:pPr>
      <w:bookmarkStart w:id="93" w:name="_Toc28944"/>
      <w:bookmarkStart w:id="94" w:name="_Toc28590"/>
      <w:bookmarkStart w:id="95" w:name="_Toc2554"/>
      <w:bookmarkStart w:id="96" w:name="_Toc1875"/>
      <w:bookmarkStart w:id="97" w:name="_Toc32151"/>
      <w:r>
        <w:rPr>
          <w:rFonts w:hint="eastAsia" w:ascii="宋体" w:hAnsi="宋体" w:eastAsia="宋体"/>
          <w:b/>
          <w:color w:val="auto"/>
          <w:sz w:val="24"/>
          <w:szCs w:val="18"/>
          <w:highlight w:val="none"/>
        </w:rPr>
        <w:t>一、采购需求前附表</w:t>
      </w:r>
      <w:bookmarkEnd w:id="93"/>
      <w:bookmarkEnd w:id="94"/>
      <w:bookmarkEnd w:id="95"/>
      <w:bookmarkEnd w:id="96"/>
      <w:bookmarkEnd w:id="97"/>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43BAD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F188398">
            <w:pPr>
              <w:pStyle w:val="44"/>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200C6B67">
            <w:pPr>
              <w:pStyle w:val="43"/>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1E08E055">
            <w:pPr>
              <w:pStyle w:val="43"/>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20CF3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4D6A7A7">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7EA999D1">
            <w:pPr>
              <w:pStyle w:val="43"/>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付款方式</w:t>
            </w:r>
          </w:p>
        </w:tc>
        <w:tc>
          <w:tcPr>
            <w:tcW w:w="3217" w:type="pct"/>
            <w:vAlign w:val="center"/>
          </w:tcPr>
          <w:p w14:paraId="62B8C4E7">
            <w:pPr>
              <w:pStyle w:val="43"/>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rPr>
              <w:t xml:space="preserve"> 经验收合格后6个月后依照医院付款流程支付。</w:t>
            </w:r>
          </w:p>
        </w:tc>
      </w:tr>
      <w:tr w14:paraId="54BAE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BFF4145">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400801A7">
            <w:pPr>
              <w:pStyle w:val="43"/>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供货及安装地点</w:t>
            </w:r>
          </w:p>
        </w:tc>
        <w:tc>
          <w:tcPr>
            <w:tcW w:w="3217" w:type="pct"/>
            <w:vAlign w:val="center"/>
          </w:tcPr>
          <w:p w14:paraId="008E1630">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宿州市立医院，采购人指定地点</w:t>
            </w:r>
            <w:r>
              <w:rPr>
                <w:rFonts w:hint="eastAsia" w:ascii="宋体" w:hAnsi="宋体" w:eastAsia="宋体"/>
                <w:b w:val="0"/>
                <w:color w:val="auto"/>
                <w:sz w:val="24"/>
                <w:highlight w:val="none"/>
                <w:u w:val="single"/>
              </w:rPr>
              <w:t xml:space="preserve"> </w:t>
            </w:r>
          </w:p>
        </w:tc>
      </w:tr>
      <w:tr w14:paraId="453DE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9C64E8A">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28D0729D">
            <w:pPr>
              <w:pStyle w:val="43"/>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供货及安装期限</w:t>
            </w:r>
          </w:p>
        </w:tc>
        <w:tc>
          <w:tcPr>
            <w:tcW w:w="3217" w:type="pct"/>
            <w:vAlign w:val="center"/>
          </w:tcPr>
          <w:p w14:paraId="64A45A16">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bCs w:val="0"/>
                <w:color w:val="auto"/>
                <w:sz w:val="24"/>
                <w:szCs w:val="18"/>
                <w:highlight w:val="none"/>
                <w:u w:val="single"/>
              </w:rPr>
              <w:t>合同签订后30日内</w:t>
            </w:r>
            <w:r>
              <w:rPr>
                <w:rFonts w:hint="eastAsia" w:ascii="宋体" w:hAnsi="宋体" w:eastAsia="宋体"/>
                <w:b w:val="0"/>
                <w:bCs w:val="0"/>
                <w:color w:val="auto"/>
                <w:sz w:val="24"/>
                <w:szCs w:val="18"/>
                <w:highlight w:val="none"/>
                <w:u w:val="single"/>
                <w:lang w:val="en-US" w:eastAsia="zh-CN"/>
              </w:rPr>
              <w:t>完成供货、安装及调试</w:t>
            </w:r>
            <w:r>
              <w:rPr>
                <w:rFonts w:hint="eastAsia" w:ascii="宋体" w:hAnsi="宋体" w:eastAsia="宋体"/>
                <w:b w:val="0"/>
                <w:bCs w:val="0"/>
                <w:color w:val="auto"/>
                <w:sz w:val="24"/>
                <w:szCs w:val="18"/>
                <w:highlight w:val="none"/>
                <w:u w:val="single"/>
              </w:rPr>
              <w:t>。</w:t>
            </w:r>
            <w:r>
              <w:rPr>
                <w:rFonts w:hint="eastAsia" w:ascii="宋体" w:hAnsi="宋体" w:eastAsia="宋体"/>
                <w:b w:val="0"/>
                <w:bCs w:val="0"/>
                <w:color w:val="auto"/>
                <w:sz w:val="24"/>
                <w:szCs w:val="18"/>
                <w:highlight w:val="none"/>
                <w:u w:val="single"/>
                <w:lang w:val="en-US" w:eastAsia="zh-CN"/>
              </w:rPr>
              <w:t xml:space="preserve">     </w:t>
            </w:r>
            <w:r>
              <w:rPr>
                <w:rFonts w:hint="eastAsia" w:ascii="宋体" w:hAnsi="宋体" w:eastAsia="宋体"/>
                <w:b/>
                <w:bCs w:val="0"/>
                <w:color w:val="auto"/>
                <w:sz w:val="24"/>
                <w:highlight w:val="none"/>
                <w:u w:val="single"/>
              </w:rPr>
              <w:t>保修生效期为：设备安装后验收合格后</w:t>
            </w:r>
          </w:p>
        </w:tc>
      </w:tr>
      <w:tr w14:paraId="1661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A86A6BE">
            <w:pPr>
              <w:pStyle w:val="4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4</w:t>
            </w:r>
          </w:p>
        </w:tc>
        <w:tc>
          <w:tcPr>
            <w:tcW w:w="1192" w:type="pct"/>
            <w:vAlign w:val="center"/>
          </w:tcPr>
          <w:p w14:paraId="6BA5A37C">
            <w:pPr>
              <w:pStyle w:val="43"/>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免费质保期</w:t>
            </w:r>
          </w:p>
        </w:tc>
        <w:tc>
          <w:tcPr>
            <w:tcW w:w="3217" w:type="pct"/>
            <w:vAlign w:val="center"/>
          </w:tcPr>
          <w:p w14:paraId="0D94A51E">
            <w:pPr>
              <w:pStyle w:val="4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整机质保自设备安装验收合格后不少于</w:t>
            </w:r>
            <w:r>
              <w:rPr>
                <w:rFonts w:hint="eastAsia" w:ascii="宋体" w:hAnsi="宋体" w:eastAsia="宋体"/>
                <w:b/>
                <w:bCs w:val="0"/>
                <w:color w:val="auto"/>
                <w:sz w:val="24"/>
                <w:highlight w:val="none"/>
                <w:u w:val="single"/>
              </w:rPr>
              <w:t>3年</w:t>
            </w:r>
            <w:r>
              <w:rPr>
                <w:rFonts w:hint="eastAsia" w:ascii="宋体" w:hAnsi="宋体" w:eastAsia="宋体"/>
                <w:b w:val="0"/>
                <w:color w:val="auto"/>
                <w:sz w:val="24"/>
                <w:highlight w:val="none"/>
                <w:u w:val="single"/>
              </w:rPr>
              <w:t xml:space="preserve">，软件终身提供免费升级服务。 </w:t>
            </w:r>
          </w:p>
        </w:tc>
      </w:tr>
    </w:tbl>
    <w:p w14:paraId="562D6CEE">
      <w:pPr>
        <w:spacing w:line="360" w:lineRule="auto"/>
        <w:ind w:firstLine="437"/>
        <w:outlineLvl w:val="1"/>
        <w:rPr>
          <w:rFonts w:hint="eastAsia" w:ascii="宋体" w:hAnsi="宋体" w:eastAsia="宋体"/>
          <w:b/>
          <w:bCs/>
          <w:color w:val="auto"/>
          <w:sz w:val="24"/>
          <w:szCs w:val="18"/>
          <w:highlight w:val="none"/>
          <w:lang w:eastAsia="zh-CN"/>
        </w:rPr>
      </w:pPr>
      <w:bookmarkStart w:id="98" w:name="_Toc4801"/>
      <w:bookmarkStart w:id="99" w:name="_Toc5944"/>
      <w:bookmarkStart w:id="100" w:name="_Toc10256"/>
      <w:bookmarkStart w:id="101" w:name="_Toc12727"/>
      <w:bookmarkStart w:id="102" w:name="_Toc7671"/>
      <w:r>
        <w:rPr>
          <w:rFonts w:hint="eastAsia" w:ascii="宋体" w:hAnsi="宋体" w:eastAsia="宋体"/>
          <w:b/>
          <w:bCs/>
          <w:color w:val="auto"/>
          <w:sz w:val="24"/>
          <w:szCs w:val="18"/>
          <w:highlight w:val="none"/>
        </w:rPr>
        <w:t>二、</w:t>
      </w:r>
      <w:r>
        <w:rPr>
          <w:rFonts w:hint="eastAsia" w:ascii="宋体" w:hAnsi="宋体" w:eastAsia="宋体"/>
          <w:b/>
          <w:color w:val="auto"/>
          <w:sz w:val="24"/>
          <w:szCs w:val="18"/>
          <w:highlight w:val="none"/>
        </w:rPr>
        <w:t>货物</w:t>
      </w:r>
      <w:r>
        <w:rPr>
          <w:rFonts w:hint="eastAsia" w:ascii="宋体" w:hAnsi="宋体" w:eastAsia="宋体"/>
          <w:b/>
          <w:bCs/>
          <w:color w:val="auto"/>
          <w:sz w:val="24"/>
          <w:szCs w:val="18"/>
          <w:highlight w:val="none"/>
        </w:rPr>
        <w:t>需求</w:t>
      </w:r>
      <w:bookmarkEnd w:id="98"/>
      <w:bookmarkEnd w:id="99"/>
      <w:bookmarkEnd w:id="100"/>
      <w:bookmarkEnd w:id="101"/>
      <w:bookmarkEnd w:id="102"/>
      <w:bookmarkStart w:id="103" w:name="_Toc26870"/>
      <w:bookmarkStart w:id="104" w:name="_Toc7421"/>
      <w:bookmarkStart w:id="105" w:name="_Toc4843"/>
      <w:r>
        <w:rPr>
          <w:rFonts w:hint="eastAsia" w:ascii="宋体" w:hAnsi="宋体" w:eastAsia="宋体"/>
          <w:b/>
          <w:bCs/>
          <w:color w:val="auto"/>
          <w:sz w:val="24"/>
          <w:szCs w:val="18"/>
          <w:highlight w:val="none"/>
          <w:lang w:eastAsia="zh-CN"/>
        </w:rPr>
        <w:t>（</w:t>
      </w:r>
      <w:r>
        <w:rPr>
          <w:rFonts w:hint="eastAsia" w:ascii="宋体" w:hAnsi="宋体" w:eastAsia="宋体"/>
          <w:b/>
          <w:bCs/>
          <w:color w:val="auto"/>
          <w:sz w:val="24"/>
          <w:szCs w:val="18"/>
          <w:highlight w:val="none"/>
          <w:lang w:val="en-US" w:eastAsia="zh-CN"/>
        </w:rPr>
        <w:t>技术要求</w:t>
      </w:r>
      <w:r>
        <w:rPr>
          <w:rFonts w:hint="eastAsia" w:ascii="宋体" w:hAnsi="宋体" w:eastAsia="宋体"/>
          <w:b/>
          <w:bCs/>
          <w:color w:val="auto"/>
          <w:sz w:val="24"/>
          <w:szCs w:val="18"/>
          <w:highlight w:val="none"/>
          <w:lang w:eastAsia="zh-CN"/>
        </w:rPr>
        <w:t>）</w:t>
      </w:r>
    </w:p>
    <w:p w14:paraId="697CD372">
      <w:pPr>
        <w:keepNext w:val="0"/>
        <w:keepLines w:val="0"/>
        <w:pageBreakBefore w:val="0"/>
        <w:kinsoku/>
        <w:wordWrap/>
        <w:overflowPunct/>
        <w:topLinePunct w:val="0"/>
        <w:autoSpaceDE/>
        <w:autoSpaceDN/>
        <w:bidi w:val="0"/>
        <w:adjustRightInd w:val="0"/>
        <w:snapToGrid w:val="0"/>
        <w:spacing w:line="360" w:lineRule="auto"/>
        <w:ind w:left="0"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（一）</w:t>
      </w:r>
      <w:r>
        <w:rPr>
          <w:rFonts w:hint="eastAsia" w:ascii="宋体" w:hAnsi="宋体" w:eastAsia="宋体"/>
          <w:color w:val="auto"/>
          <w:sz w:val="24"/>
          <w:szCs w:val="18"/>
          <w:highlight w:val="none"/>
          <w:lang w:val="en-US" w:eastAsia="zh-CN"/>
        </w:rPr>
        <w:t>▲</w:t>
      </w:r>
      <w:r>
        <w:rPr>
          <w:rFonts w:hint="eastAsia" w:ascii="宋体" w:hAnsi="宋体" w:eastAsia="宋体" w:cs="宋体"/>
          <w:b/>
          <w:bCs/>
          <w:color w:val="auto"/>
          <w:sz w:val="24"/>
          <w:szCs w:val="24"/>
        </w:rPr>
        <w:t>操作手柄（</w:t>
      </w:r>
      <w:r>
        <w:rPr>
          <w:rFonts w:hint="eastAsia" w:ascii="宋体" w:hAnsi="宋体" w:eastAsia="宋体" w:cs="宋体"/>
          <w:b/>
          <w:bCs/>
          <w:color w:val="auto"/>
          <w:sz w:val="24"/>
          <w:szCs w:val="24"/>
          <w:lang w:val="en-US" w:eastAsia="zh-CN"/>
        </w:rPr>
        <w:t>检查镜</w:t>
      </w:r>
      <w:r>
        <w:rPr>
          <w:rFonts w:hint="eastAsia" w:ascii="宋体" w:hAnsi="宋体" w:eastAsia="宋体" w:cs="宋体"/>
          <w:b/>
          <w:bCs/>
          <w:color w:val="auto"/>
          <w:sz w:val="24"/>
          <w:szCs w:val="24"/>
        </w:rPr>
        <w:t>）：</w:t>
      </w:r>
    </w:p>
    <w:p w14:paraId="4E7BFB84">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1.适用范围：适用于气管、支气管及肺的观察、诊断、摄影或辅助治疗。</w:t>
      </w:r>
    </w:p>
    <w:p w14:paraId="3578D0F0">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2.成像原理：电子成像技术，先端头内含LED发光二极管，不含导像、导光纤维。</w:t>
      </w:r>
    </w:p>
    <w:p w14:paraId="39F1E4BD">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★3.主软管外径≤2.8mm，器械通道内径≥1.2mm。</w:t>
      </w:r>
    </w:p>
    <w:p w14:paraId="59567004">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4.插入部有效长度≥610mm，自带有</w:t>
      </w:r>
      <w:r>
        <w:rPr>
          <w:rFonts w:hint="eastAsia" w:ascii="宋体" w:hAnsi="宋体" w:eastAsia="宋体" w:cs="宋体"/>
          <w:color w:val="auto"/>
          <w:sz w:val="24"/>
          <w:szCs w:val="24"/>
          <w:woUserID w:val="1"/>
        </w:rPr>
        <w:t>360°</w:t>
      </w:r>
      <w:r>
        <w:rPr>
          <w:rFonts w:hint="eastAsia" w:ascii="宋体" w:hAnsi="宋体" w:eastAsia="宋体" w:cs="宋体"/>
          <w:color w:val="auto"/>
          <w:sz w:val="24"/>
          <w:szCs w:val="24"/>
        </w:rPr>
        <w:t>刻度标识。</w:t>
      </w:r>
    </w:p>
    <w:p w14:paraId="2DF55D57">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5.视场角≥120°。</w:t>
      </w:r>
    </w:p>
    <w:p w14:paraId="7F7B5DB5">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6.景深：3-100mm。</w:t>
      </w:r>
    </w:p>
    <w:p w14:paraId="5EFC9B9A">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7.插入管软管前端弯曲角度：向上弯曲≥210°，向下弯曲≥180°，双向弯曲≥390°</w:t>
      </w:r>
      <w:r>
        <w:rPr>
          <w:rFonts w:hint="eastAsia" w:ascii="宋体" w:hAnsi="宋体" w:eastAsia="宋体" w:cs="宋体"/>
          <w:color w:val="auto"/>
          <w:sz w:val="24"/>
          <w:szCs w:val="24"/>
          <w:lang w:eastAsia="zh-CN"/>
        </w:rPr>
        <w:t>。</w:t>
      </w:r>
    </w:p>
    <w:p w14:paraId="6F4C15B3">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8.弯角手轮上有操作方向</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具有</w:t>
      </w:r>
      <w:r>
        <w:rPr>
          <w:rFonts w:hint="eastAsia" w:ascii="宋体" w:hAnsi="宋体" w:eastAsia="宋体" w:cs="宋体"/>
          <w:color w:val="auto"/>
          <w:sz w:val="24"/>
          <w:szCs w:val="24"/>
        </w:rPr>
        <w:t>两向标记</w:t>
      </w:r>
      <w:r>
        <w:rPr>
          <w:rFonts w:hint="eastAsia" w:ascii="宋体" w:hAnsi="宋体" w:eastAsia="宋体" w:cs="宋体"/>
          <w:color w:val="auto"/>
          <w:sz w:val="24"/>
          <w:szCs w:val="24"/>
          <w:lang w:val="en-US" w:eastAsia="zh-CN"/>
        </w:rPr>
        <w:t>分别对应</w:t>
      </w:r>
      <w:r>
        <w:rPr>
          <w:rFonts w:hint="eastAsia" w:ascii="宋体" w:hAnsi="宋体" w:eastAsia="宋体" w:cs="宋体"/>
          <w:color w:val="auto"/>
          <w:sz w:val="24"/>
          <w:szCs w:val="24"/>
        </w:rPr>
        <w:t>弯曲部向下弯曲</w:t>
      </w:r>
      <w:r>
        <w:rPr>
          <w:rFonts w:hint="eastAsia" w:ascii="宋体" w:hAnsi="宋体" w:eastAsia="宋体" w:cs="宋体"/>
          <w:color w:val="auto"/>
          <w:sz w:val="24"/>
          <w:szCs w:val="24"/>
          <w:lang w:val="en-US" w:eastAsia="zh-CN"/>
        </w:rPr>
        <w:t>及</w:t>
      </w:r>
      <w:r>
        <w:rPr>
          <w:rFonts w:hint="eastAsia" w:ascii="宋体" w:hAnsi="宋体" w:eastAsia="宋体" w:cs="宋体"/>
          <w:color w:val="auto"/>
          <w:sz w:val="24"/>
          <w:szCs w:val="24"/>
        </w:rPr>
        <w:t>弯曲部向上弯曲。</w:t>
      </w:r>
    </w:p>
    <w:p w14:paraId="092F896C">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9.配备弯角锁紧机构。</w:t>
      </w:r>
    </w:p>
    <w:p w14:paraId="3CAFF4FB">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10.操作手柄具备左右旋转关节和转轴定位点白色刻度标识，可带动插入软管部先端左右旋转，向左 ≥120°,向右 ≥120°。</w:t>
      </w:r>
    </w:p>
    <w:p w14:paraId="6192CB62">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11.插入管具有被动弯曲功能。</w:t>
      </w:r>
    </w:p>
    <w:p w14:paraId="12BB1A0F">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rPr>
        <w:t>12.操作手柄同一平面具有≥3个按键，且可控制图像缩放、拍照录像、冻结等功能。</w:t>
      </w:r>
    </w:p>
    <w:p w14:paraId="4C223217">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.搭配专用图像处理器，可以根据图像处理器实现按键自定义功能，实现电子放大，蓝色调节等功能。</w:t>
      </w:r>
    </w:p>
    <w:p w14:paraId="066DEB4A">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.产品结构含电气插头，不含导光插头，无需额外连接独立医用冷光源机</w:t>
      </w:r>
      <w:r>
        <w:rPr>
          <w:rFonts w:hint="eastAsia" w:ascii="宋体" w:hAnsi="宋体" w:eastAsia="宋体" w:cs="宋体"/>
          <w:color w:val="auto"/>
          <w:sz w:val="24"/>
          <w:szCs w:val="24"/>
          <w:lang w:eastAsia="zh-CN"/>
        </w:rPr>
        <w:t>。</w:t>
      </w:r>
    </w:p>
    <w:p w14:paraId="02C417E2">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.内镜镜头具备防雾功能，无需预热即可观察。</w:t>
      </w:r>
    </w:p>
    <w:p w14:paraId="0704F752">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16</w:t>
      </w:r>
      <w:r>
        <w:rPr>
          <w:rFonts w:hint="eastAsia" w:ascii="宋体" w:hAnsi="宋体" w:eastAsia="宋体" w:cs="宋体"/>
          <w:color w:val="auto"/>
          <w:sz w:val="24"/>
          <w:szCs w:val="24"/>
        </w:rPr>
        <w:t>.连接方式：</w:t>
      </w:r>
      <w:r>
        <w:rPr>
          <w:rFonts w:hint="eastAsia" w:ascii="宋体" w:hAnsi="宋体" w:eastAsia="宋体" w:cs="宋体"/>
          <w:color w:val="auto"/>
          <w:kern w:val="0"/>
          <w:sz w:val="24"/>
          <w:szCs w:val="24"/>
          <w:lang w:val="en-US" w:eastAsia="zh-CN"/>
        </w:rPr>
        <w:t>视频转接线与操作手柄一体式连接设计，转接线可耐受浸泡消毒</w:t>
      </w:r>
      <w:r>
        <w:rPr>
          <w:rFonts w:hint="eastAsia" w:ascii="宋体" w:hAnsi="宋体" w:eastAsia="宋体" w:cs="宋体"/>
          <w:color w:val="auto"/>
          <w:sz w:val="24"/>
          <w:szCs w:val="24"/>
        </w:rPr>
        <w:t>。</w:t>
      </w:r>
    </w:p>
    <w:p w14:paraId="07DCB6BF">
      <w:pPr>
        <w:keepNext w:val="0"/>
        <w:keepLines w:val="0"/>
        <w:pageBreakBefore w:val="0"/>
        <w:numPr>
          <w:ilvl w:val="0"/>
          <w:numId w:val="0"/>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17</w:t>
      </w:r>
      <w:r>
        <w:rPr>
          <w:rFonts w:hint="eastAsia" w:ascii="宋体" w:hAnsi="宋体" w:eastAsia="宋体" w:cs="宋体"/>
          <w:color w:val="auto"/>
          <w:sz w:val="24"/>
          <w:szCs w:val="24"/>
        </w:rPr>
        <w:t>.操作部防水等级：IPX7。</w:t>
      </w:r>
    </w:p>
    <w:p w14:paraId="294BA45F">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18</w:t>
      </w:r>
      <w:r>
        <w:rPr>
          <w:rFonts w:hint="eastAsia" w:ascii="宋体" w:hAnsi="宋体" w:eastAsia="宋体" w:cs="宋体"/>
          <w:color w:val="auto"/>
          <w:sz w:val="24"/>
          <w:szCs w:val="24"/>
        </w:rPr>
        <w:t>.配备防水盖，可进行全浸泡消毒</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消毒灭菌无需ETO帽、NT阀，无需更换配件。</w:t>
      </w:r>
    </w:p>
    <w:p w14:paraId="4594D93E">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kern w:val="0"/>
          <w:sz w:val="24"/>
          <w:szCs w:val="24"/>
          <w:lang w:val="en-US" w:eastAsia="zh-CN"/>
        </w:rPr>
        <w:t>19</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成像像素≥50W</w:t>
      </w:r>
    </w:p>
    <w:p w14:paraId="6D4FA9BB">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20.</w:t>
      </w:r>
      <w:r>
        <w:rPr>
          <w:rFonts w:hint="eastAsia" w:ascii="宋体" w:hAnsi="宋体" w:eastAsia="宋体" w:cs="宋体"/>
          <w:color w:val="auto"/>
          <w:sz w:val="24"/>
          <w:szCs w:val="24"/>
        </w:rPr>
        <w:t>使用</w:t>
      </w:r>
      <w:r>
        <w:rPr>
          <w:rFonts w:hint="eastAsia" w:ascii="宋体" w:hAnsi="宋体" w:eastAsia="宋体" w:cs="宋体"/>
          <w:color w:val="auto"/>
          <w:sz w:val="24"/>
          <w:szCs w:val="24"/>
          <w:lang w:val="en-US" w:eastAsia="zh-CN"/>
        </w:rPr>
        <w:t>有效期</w:t>
      </w:r>
      <w:r>
        <w:rPr>
          <w:rFonts w:hint="eastAsia" w:ascii="宋体" w:hAnsi="宋体" w:eastAsia="宋体" w:cs="宋体"/>
          <w:color w:val="auto"/>
          <w:sz w:val="24"/>
          <w:szCs w:val="24"/>
        </w:rPr>
        <w:t>≥10年。</w:t>
      </w:r>
    </w:p>
    <w:p w14:paraId="76B5BE13">
      <w:pPr>
        <w:keepNext w:val="0"/>
        <w:keepLines w:val="0"/>
        <w:pageBreakBefore w:val="0"/>
        <w:kinsoku/>
        <w:wordWrap/>
        <w:overflowPunct/>
        <w:topLinePunct w:val="0"/>
        <w:autoSpaceDE/>
        <w:autoSpaceDN/>
        <w:bidi w:val="0"/>
        <w:adjustRightInd w:val="0"/>
        <w:snapToGrid w:val="0"/>
        <w:spacing w:line="360" w:lineRule="auto"/>
        <w:ind w:left="0"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（二）</w:t>
      </w:r>
      <w:r>
        <w:rPr>
          <w:rFonts w:hint="eastAsia" w:ascii="宋体" w:hAnsi="宋体" w:eastAsia="宋体" w:cs="宋体"/>
          <w:b/>
          <w:bCs/>
          <w:color w:val="auto"/>
          <w:sz w:val="24"/>
          <w:szCs w:val="24"/>
        </w:rPr>
        <w:t>操作手柄（</w:t>
      </w:r>
      <w:r>
        <w:rPr>
          <w:rFonts w:hint="eastAsia" w:ascii="宋体" w:hAnsi="宋体" w:eastAsia="宋体" w:cs="宋体"/>
          <w:b/>
          <w:bCs/>
          <w:color w:val="auto"/>
          <w:sz w:val="24"/>
          <w:szCs w:val="24"/>
          <w:lang w:val="en-US" w:eastAsia="zh-CN"/>
        </w:rPr>
        <w:t>治疗镜</w:t>
      </w:r>
      <w:r>
        <w:rPr>
          <w:rFonts w:hint="eastAsia" w:ascii="宋体" w:hAnsi="宋体" w:eastAsia="宋体" w:cs="宋体"/>
          <w:b/>
          <w:bCs/>
          <w:color w:val="auto"/>
          <w:sz w:val="24"/>
          <w:szCs w:val="24"/>
        </w:rPr>
        <w:t>）：</w:t>
      </w:r>
    </w:p>
    <w:p w14:paraId="660F00C9">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1.适用范围：适用于气管、支气管及肺的观察、诊断、摄影或辅助治疗。</w:t>
      </w:r>
    </w:p>
    <w:p w14:paraId="11A1F3D3">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2.成像原理：电子成像技术，先端头内含LED发光二极管，产品不含导像、导光纤维。</w:t>
      </w:r>
    </w:p>
    <w:p w14:paraId="4B7B3FFA">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val="en-US" w:eastAsia="zh-CN"/>
        </w:rPr>
        <w:t>★</w:t>
      </w:r>
      <w:r>
        <w:rPr>
          <w:rFonts w:hint="eastAsia" w:ascii="宋体" w:hAnsi="宋体" w:eastAsia="宋体" w:cs="宋体"/>
          <w:color w:val="auto"/>
          <w:sz w:val="24"/>
          <w:szCs w:val="24"/>
        </w:rPr>
        <w:t>3.主软管外径≤4.0mm，器械通道内径≥2.0mm。</w:t>
      </w:r>
    </w:p>
    <w:p w14:paraId="7C8B2BA3">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4.插入部有效长度≥610mm，自带有360°刻度标识。</w:t>
      </w:r>
    </w:p>
    <w:p w14:paraId="5CDA81B7">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5.视场角≥120°。</w:t>
      </w:r>
    </w:p>
    <w:p w14:paraId="485621E1">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6.景深：3-100mm。</w:t>
      </w:r>
    </w:p>
    <w:p w14:paraId="29045A08">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7.插入管软管前端弯曲角度：向上弯曲≥210°，向下弯曲≥180°，双向弯曲≥390°</w:t>
      </w:r>
      <w:r>
        <w:rPr>
          <w:rFonts w:hint="eastAsia" w:ascii="宋体" w:hAnsi="宋体" w:eastAsia="宋体" w:cs="宋体"/>
          <w:color w:val="auto"/>
          <w:sz w:val="24"/>
          <w:szCs w:val="24"/>
          <w:lang w:eastAsia="zh-CN"/>
        </w:rPr>
        <w:t>。</w:t>
      </w:r>
    </w:p>
    <w:p w14:paraId="34CBD731">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8.弯角手轮上有操作方向</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具有</w:t>
      </w:r>
      <w:r>
        <w:rPr>
          <w:rFonts w:hint="eastAsia" w:ascii="宋体" w:hAnsi="宋体" w:eastAsia="宋体" w:cs="宋体"/>
          <w:color w:val="auto"/>
          <w:sz w:val="24"/>
          <w:szCs w:val="24"/>
        </w:rPr>
        <w:t>两向标记</w:t>
      </w:r>
      <w:r>
        <w:rPr>
          <w:rFonts w:hint="eastAsia" w:ascii="宋体" w:hAnsi="宋体" w:eastAsia="宋体" w:cs="宋体"/>
          <w:color w:val="auto"/>
          <w:sz w:val="24"/>
          <w:szCs w:val="24"/>
          <w:lang w:val="en-US" w:eastAsia="zh-CN"/>
        </w:rPr>
        <w:t>分别对应</w:t>
      </w:r>
      <w:r>
        <w:rPr>
          <w:rFonts w:hint="eastAsia" w:ascii="宋体" w:hAnsi="宋体" w:eastAsia="宋体" w:cs="宋体"/>
          <w:color w:val="auto"/>
          <w:sz w:val="24"/>
          <w:szCs w:val="24"/>
        </w:rPr>
        <w:t>弯曲部向下弯曲</w:t>
      </w:r>
      <w:r>
        <w:rPr>
          <w:rFonts w:hint="eastAsia" w:ascii="宋体" w:hAnsi="宋体" w:eastAsia="宋体" w:cs="宋体"/>
          <w:color w:val="auto"/>
          <w:sz w:val="24"/>
          <w:szCs w:val="24"/>
          <w:lang w:val="en-US" w:eastAsia="zh-CN"/>
        </w:rPr>
        <w:t>及</w:t>
      </w:r>
      <w:r>
        <w:rPr>
          <w:rFonts w:hint="eastAsia" w:ascii="宋体" w:hAnsi="宋体" w:eastAsia="宋体" w:cs="宋体"/>
          <w:color w:val="auto"/>
          <w:sz w:val="24"/>
          <w:szCs w:val="24"/>
        </w:rPr>
        <w:t>弯曲部向上弯曲。</w:t>
      </w:r>
    </w:p>
    <w:p w14:paraId="7EF29157">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9.配备弯角锁紧机构。</w:t>
      </w:r>
    </w:p>
    <w:p w14:paraId="1D6D6CA4">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10.操作手柄具备左右旋转关节和转轴定位点白色刻度标识，可带动插入软管部先端左右旋转，向左 ≥120°,向右 ≥120°。</w:t>
      </w:r>
    </w:p>
    <w:p w14:paraId="348AD2EE">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11.插入管具有被动弯曲功能。</w:t>
      </w:r>
    </w:p>
    <w:p w14:paraId="423986C7">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12.</w:t>
      </w:r>
      <w:r>
        <w:rPr>
          <w:rFonts w:hint="eastAsia" w:ascii="宋体" w:hAnsi="宋体" w:eastAsia="宋体" w:cs="宋体"/>
          <w:color w:val="auto"/>
          <w:kern w:val="0"/>
          <w:sz w:val="24"/>
          <w:szCs w:val="24"/>
          <w:lang w:val="en-US" w:eastAsia="zh-CN"/>
        </w:rPr>
        <w:t>操作手柄同一平面具有≥3个按键，且可控制图像缩放、拍照录像、冻结等功能。</w:t>
      </w:r>
    </w:p>
    <w:p w14:paraId="45FCF728">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13.</w:t>
      </w:r>
      <w:r>
        <w:rPr>
          <w:rFonts w:hint="eastAsia" w:ascii="宋体" w:hAnsi="宋体" w:eastAsia="宋体" w:cs="宋体"/>
          <w:color w:val="auto"/>
          <w:sz w:val="24"/>
          <w:szCs w:val="24"/>
        </w:rPr>
        <w:t>搭配专用图像处理器，可以根据图像处理器实现按键自定义功能，实现电子放大，蓝色调节等功能。</w:t>
      </w:r>
    </w:p>
    <w:p w14:paraId="3EEED438">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.含电气插头，不含导光插头，无需额外连接独立医用冷光源机</w:t>
      </w:r>
    </w:p>
    <w:p w14:paraId="48BF9EA3">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.内镜镜头具备防雾功能，无需预热即可观察。</w:t>
      </w:r>
    </w:p>
    <w:p w14:paraId="3FC89662">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.连接方式：</w:t>
      </w:r>
      <w:r>
        <w:rPr>
          <w:rFonts w:hint="eastAsia" w:ascii="宋体" w:hAnsi="宋体" w:eastAsia="宋体" w:cs="宋体"/>
          <w:color w:val="auto"/>
          <w:kern w:val="0"/>
          <w:sz w:val="24"/>
          <w:szCs w:val="24"/>
          <w:lang w:val="en-US" w:eastAsia="zh-CN"/>
        </w:rPr>
        <w:t>视频转接线与操作手柄一体式连接设计，转接线可耐受浸泡消毒</w:t>
      </w:r>
      <w:r>
        <w:rPr>
          <w:rFonts w:hint="eastAsia" w:ascii="宋体" w:hAnsi="宋体" w:eastAsia="宋体" w:cs="宋体"/>
          <w:color w:val="auto"/>
          <w:sz w:val="24"/>
          <w:szCs w:val="24"/>
        </w:rPr>
        <w:t>。</w:t>
      </w:r>
    </w:p>
    <w:p w14:paraId="7B05E2BC">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17</w:t>
      </w:r>
      <w:r>
        <w:rPr>
          <w:rFonts w:hint="eastAsia" w:ascii="宋体" w:hAnsi="宋体" w:eastAsia="宋体" w:cs="宋体"/>
          <w:color w:val="auto"/>
          <w:sz w:val="24"/>
          <w:szCs w:val="24"/>
        </w:rPr>
        <w:t>.操作部防水等级：IPX7。</w:t>
      </w:r>
    </w:p>
    <w:p w14:paraId="237E462F">
      <w:pPr>
        <w:keepNext w:val="0"/>
        <w:keepLines w:val="0"/>
        <w:pageBreakBefore w:val="0"/>
        <w:numPr>
          <w:ilvl w:val="0"/>
          <w:numId w:val="0"/>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18</w:t>
      </w:r>
      <w:r>
        <w:rPr>
          <w:rFonts w:hint="eastAsia" w:ascii="宋体" w:hAnsi="宋体" w:eastAsia="宋体" w:cs="宋体"/>
          <w:color w:val="auto"/>
          <w:sz w:val="24"/>
          <w:szCs w:val="24"/>
        </w:rPr>
        <w:t>.配备防水盖，可进行全浸泡消毒</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消毒灭菌无需ETO帽、NT阀，无需更换配件。</w:t>
      </w:r>
    </w:p>
    <w:p w14:paraId="637320C7">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kern w:val="0"/>
          <w:sz w:val="24"/>
          <w:szCs w:val="24"/>
          <w:lang w:val="en-US" w:eastAsia="zh-CN"/>
        </w:rPr>
        <w:t>19</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成像像素≥50W</w:t>
      </w:r>
    </w:p>
    <w:p w14:paraId="4F2ADA2D">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20.</w:t>
      </w:r>
      <w:r>
        <w:rPr>
          <w:rFonts w:hint="eastAsia" w:ascii="宋体" w:hAnsi="宋体" w:eastAsia="宋体" w:cs="宋体"/>
          <w:color w:val="auto"/>
          <w:sz w:val="24"/>
          <w:szCs w:val="24"/>
        </w:rPr>
        <w:t>使用</w:t>
      </w:r>
      <w:r>
        <w:rPr>
          <w:rFonts w:hint="eastAsia" w:ascii="宋体" w:hAnsi="宋体" w:eastAsia="宋体" w:cs="宋体"/>
          <w:color w:val="auto"/>
          <w:sz w:val="24"/>
          <w:szCs w:val="24"/>
          <w:lang w:val="en-US" w:eastAsia="zh-CN"/>
        </w:rPr>
        <w:t>有效期</w:t>
      </w:r>
      <w:r>
        <w:rPr>
          <w:rFonts w:hint="eastAsia" w:ascii="宋体" w:hAnsi="宋体" w:eastAsia="宋体" w:cs="宋体"/>
          <w:color w:val="auto"/>
          <w:sz w:val="24"/>
          <w:szCs w:val="24"/>
        </w:rPr>
        <w:t>≥10年。</w:t>
      </w:r>
    </w:p>
    <w:p w14:paraId="28CFC37D">
      <w:pPr>
        <w:keepNext w:val="0"/>
        <w:keepLines w:val="0"/>
        <w:pageBreakBefore w:val="0"/>
        <w:widowControl/>
        <w:kinsoku/>
        <w:wordWrap/>
        <w:overflowPunct/>
        <w:topLinePunct w:val="0"/>
        <w:autoSpaceDE/>
        <w:autoSpaceDN/>
        <w:bidi w:val="0"/>
        <w:adjustRightInd w:val="0"/>
        <w:snapToGrid w:val="0"/>
        <w:spacing w:line="360" w:lineRule="auto"/>
        <w:ind w:left="0" w:firstLine="482" w:firstLineChars="200"/>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（三）便携图像</w:t>
      </w:r>
      <w:r>
        <w:rPr>
          <w:rFonts w:hint="eastAsia" w:ascii="宋体" w:hAnsi="宋体" w:eastAsia="宋体" w:cs="宋体"/>
          <w:b/>
          <w:bCs/>
          <w:color w:val="auto"/>
          <w:sz w:val="24"/>
          <w:szCs w:val="24"/>
        </w:rPr>
        <w:t>处理器</w:t>
      </w:r>
      <w:r>
        <w:rPr>
          <w:rFonts w:hint="eastAsia" w:ascii="宋体" w:hAnsi="宋体" w:eastAsia="宋体" w:cs="宋体"/>
          <w:color w:val="auto"/>
          <w:sz w:val="24"/>
          <w:szCs w:val="24"/>
        </w:rPr>
        <w:tab/>
      </w:r>
    </w:p>
    <w:p w14:paraId="458B4E34">
      <w:pPr>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.≥10英寸显示屏，视野</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170°。</w:t>
      </w:r>
    </w:p>
    <w:p w14:paraId="617E228C">
      <w:pPr>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kern w:val="0"/>
          <w:sz w:val="24"/>
          <w:szCs w:val="24"/>
          <w:lang w:val="en-US" w:eastAsia="zh-CN"/>
        </w:rPr>
        <w:t>通过操作部按键可进行图像缩放、拍照录像、冻结解冻功能。</w:t>
      </w:r>
    </w:p>
    <w:p w14:paraId="0711E027">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具有白平衡功能</w:t>
      </w:r>
    </w:p>
    <w:p w14:paraId="39B475D5">
      <w:pPr>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TV输出制式：可选PAL与NTSC，兼容不同地区的电视标准。</w:t>
      </w:r>
    </w:p>
    <w:p w14:paraId="51A6DFDC">
      <w:pPr>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.可进行色彩参数调节，包括对比度、饱和度及亮度，0-15级可调。</w:t>
      </w:r>
    </w:p>
    <w:p w14:paraId="09E6D72A">
      <w:pPr>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.具有CVBS、DVI</w:t>
      </w:r>
      <w:r>
        <w:rPr>
          <w:rFonts w:hint="eastAsia" w:ascii="宋体" w:hAnsi="宋体" w:eastAsia="宋体" w:cs="宋体"/>
          <w:color w:val="auto"/>
          <w:sz w:val="24"/>
          <w:szCs w:val="24"/>
          <w:lang w:val="en-US" w:eastAsia="zh-CN"/>
        </w:rPr>
        <w:t>等</w:t>
      </w:r>
      <w:r>
        <w:rPr>
          <w:rFonts w:hint="eastAsia" w:ascii="宋体" w:hAnsi="宋体" w:eastAsia="宋体" w:cs="宋体"/>
          <w:color w:val="auto"/>
          <w:sz w:val="24"/>
          <w:szCs w:val="24"/>
        </w:rPr>
        <w:t>种信号输出方式，可通过转接头兼容其他常规信号接口接入。</w:t>
      </w:r>
    </w:p>
    <w:p w14:paraId="657FFE86">
      <w:pPr>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.能够同时连接</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条内窥镜，具备</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2路信号输入接口及双镜切换物理按键，切换实时视频输入信号。</w:t>
      </w:r>
    </w:p>
    <w:p w14:paraId="6C3E0D11">
      <w:pPr>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.非USB接口，具有内存卡插槽</w:t>
      </w:r>
      <w:r>
        <w:rPr>
          <w:rFonts w:hint="eastAsia" w:ascii="宋体" w:hAnsi="宋体" w:eastAsia="宋体" w:cs="宋体"/>
          <w:color w:val="auto"/>
          <w:sz w:val="24"/>
          <w:szCs w:val="24"/>
          <w:lang w:eastAsia="zh-CN"/>
        </w:rPr>
        <w:t>，可以存储图片及视频，内存</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eastAsia="zh-CN"/>
        </w:rPr>
        <w:t>64G。</w:t>
      </w:r>
    </w:p>
    <w:p w14:paraId="4A03A7AE">
      <w:pPr>
        <w:keepNext w:val="0"/>
        <w:keepLines w:val="0"/>
        <w:pageBreakBefore w:val="0"/>
        <w:widowControl/>
        <w:kinsoku/>
        <w:wordWrap/>
        <w:overflowPunct/>
        <w:topLinePunct w:val="0"/>
        <w:autoSpaceDE/>
        <w:autoSpaceDN/>
        <w:bidi w:val="0"/>
        <w:adjustRightInd w:val="0"/>
        <w:snapToGrid w:val="0"/>
        <w:spacing w:line="360" w:lineRule="auto"/>
        <w:ind w:left="0" w:firstLine="480" w:firstLineChars="200"/>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.供电方式</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电池供电</w:t>
      </w:r>
      <w:r>
        <w:rPr>
          <w:rFonts w:hint="eastAsia" w:ascii="宋体" w:hAnsi="宋体" w:eastAsia="宋体" w:cs="宋体"/>
          <w:color w:val="auto"/>
          <w:sz w:val="24"/>
          <w:szCs w:val="24"/>
          <w:lang w:val="en-US" w:eastAsia="zh-CN"/>
        </w:rPr>
        <w:t>和</w:t>
      </w:r>
      <w:r>
        <w:rPr>
          <w:rFonts w:hint="eastAsia" w:ascii="宋体" w:hAnsi="宋体" w:eastAsia="宋体" w:cs="宋体"/>
          <w:color w:val="auto"/>
          <w:sz w:val="24"/>
          <w:szCs w:val="24"/>
        </w:rPr>
        <w:t>交流电供电</w:t>
      </w:r>
      <w:r>
        <w:rPr>
          <w:rFonts w:hint="eastAsia" w:ascii="宋体" w:hAnsi="宋体" w:eastAsia="宋体" w:cs="宋体"/>
          <w:color w:val="auto"/>
          <w:sz w:val="24"/>
          <w:szCs w:val="24"/>
          <w:lang w:eastAsia="zh-CN"/>
        </w:rPr>
        <w:t>。</w:t>
      </w:r>
    </w:p>
    <w:p w14:paraId="318EEB57">
      <w:pPr>
        <w:keepNext w:val="0"/>
        <w:keepLines w:val="0"/>
        <w:pageBreakBefore w:val="0"/>
        <w:kinsoku/>
        <w:wordWrap/>
        <w:overflowPunct/>
        <w:topLinePunct w:val="0"/>
        <w:autoSpaceDE/>
        <w:autoSpaceDN/>
        <w:bidi w:val="0"/>
        <w:adjustRightInd w:val="0"/>
        <w:snapToGrid w:val="0"/>
        <w:spacing w:line="360" w:lineRule="auto"/>
        <w:ind w:left="0"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医用内窥镜图像处理器</w:t>
      </w:r>
    </w:p>
    <w:p w14:paraId="06356711">
      <w:pPr>
        <w:keepNext w:val="0"/>
        <w:keepLines w:val="0"/>
        <w:pageBreakBefore w:val="0"/>
        <w:numPr>
          <w:ilvl w:val="0"/>
          <w:numId w:val="0"/>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1.电容式触摸屏，控制面板尺寸：</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val="en-US" w:eastAsia="zh-CN"/>
        </w:rPr>
        <w:t>4.0英寸。</w:t>
      </w:r>
    </w:p>
    <w:p w14:paraId="2A98F706">
      <w:pPr>
        <w:keepNext w:val="0"/>
        <w:keepLines w:val="0"/>
        <w:pageBreakBefore w:val="0"/>
        <w:numPr>
          <w:ilvl w:val="0"/>
          <w:numId w:val="0"/>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2.高清视频信号输出分辨率：≥1920×1080。</w:t>
      </w:r>
    </w:p>
    <w:p w14:paraId="26B18827">
      <w:pPr>
        <w:keepNext w:val="0"/>
        <w:keepLines w:val="0"/>
        <w:pageBreakBefore w:val="0"/>
        <w:numPr>
          <w:ilvl w:val="0"/>
          <w:numId w:val="0"/>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3.具有DVI、SDI、CVBS等多种高清信号输出方式，输出接口共≥6路输出。</w:t>
      </w:r>
    </w:p>
    <w:p w14:paraId="565E126B">
      <w:pPr>
        <w:keepNext w:val="0"/>
        <w:keepLines w:val="0"/>
        <w:pageBreakBefore w:val="0"/>
        <w:numPr>
          <w:ilvl w:val="0"/>
          <w:numId w:val="0"/>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4.图像比例：至少包含16:10、16.9和4:3等≥3种图像比例设置。</w:t>
      </w:r>
    </w:p>
    <w:p w14:paraId="69AB865B">
      <w:pPr>
        <w:keepNext w:val="0"/>
        <w:keepLines w:val="0"/>
        <w:pageBreakBefore w:val="0"/>
        <w:numPr>
          <w:ilvl w:val="0"/>
          <w:numId w:val="0"/>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5.具有CVBS、AHD等信号输入接口，具有≥3种输出图像形状可选。</w:t>
      </w:r>
    </w:p>
    <w:p w14:paraId="77144769">
      <w:pPr>
        <w:keepNext w:val="0"/>
        <w:keepLines w:val="0"/>
        <w:pageBreakBefore w:val="0"/>
        <w:numPr>
          <w:ilvl w:val="0"/>
          <w:numId w:val="0"/>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6.自动增益控制功能为-15~15 可调。</w:t>
      </w:r>
    </w:p>
    <w:p w14:paraId="0C9C6AEE">
      <w:pPr>
        <w:keepNext w:val="0"/>
        <w:keepLines w:val="0"/>
        <w:pageBreakBefore w:val="0"/>
        <w:numPr>
          <w:ilvl w:val="0"/>
          <w:numId w:val="0"/>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7.支持红、绿、蓝三种颜色，增强血管的显示功能。</w:t>
      </w:r>
    </w:p>
    <w:p w14:paraId="7EEB0064">
      <w:pPr>
        <w:keepNext w:val="0"/>
        <w:keepLines w:val="0"/>
        <w:pageBreakBefore w:val="0"/>
        <w:numPr>
          <w:ilvl w:val="0"/>
          <w:numId w:val="0"/>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8.有平均测光、峰值测光模式。</w:t>
      </w:r>
    </w:p>
    <w:p w14:paraId="63579A8E">
      <w:pPr>
        <w:keepNext w:val="0"/>
        <w:keepLines w:val="0"/>
        <w:pageBreakBefore w:val="0"/>
        <w:numPr>
          <w:ilvl w:val="0"/>
          <w:numId w:val="0"/>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9.具有白平衡调节功能。</w:t>
      </w:r>
    </w:p>
    <w:p w14:paraId="0A112260">
      <w:pPr>
        <w:keepNext w:val="0"/>
        <w:keepLines w:val="0"/>
        <w:pageBreakBefore w:val="0"/>
        <w:numPr>
          <w:ilvl w:val="0"/>
          <w:numId w:val="0"/>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10.对比度调节功能为-15~15档可调，轮廓增强功能为-15~15 可调。</w:t>
      </w:r>
    </w:p>
    <w:p w14:paraId="0126F0B2">
      <w:pPr>
        <w:keepNext w:val="0"/>
        <w:keepLines w:val="0"/>
        <w:pageBreakBefore w:val="0"/>
        <w:numPr>
          <w:ilvl w:val="0"/>
          <w:numId w:val="0"/>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11.亮度调节功能：可调节配套使用的电子内窥镜上的LED灯0~15档亮度，可关闭内窥镜LED灯。</w:t>
      </w:r>
    </w:p>
    <w:p w14:paraId="716A0F7E">
      <w:pPr>
        <w:keepNext w:val="0"/>
        <w:keepLines w:val="0"/>
        <w:pageBreakBefore w:val="0"/>
        <w:numPr>
          <w:ilvl w:val="0"/>
          <w:numId w:val="0"/>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12.电子放大功能：可对图像进行放大，1~3倍可调。</w:t>
      </w:r>
    </w:p>
    <w:p w14:paraId="652C84C6">
      <w:pPr>
        <w:keepNext w:val="0"/>
        <w:keepLines w:val="0"/>
        <w:pageBreakBefore w:val="0"/>
        <w:numPr>
          <w:ilvl w:val="0"/>
          <w:numId w:val="0"/>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13.自定义按键功能：可对内窥镜手柄按键进行自定义设置，要求手柄按键可选择的功能：拍照/录像、图像冻结/释放、画面大小、蓝色调节、自动增益控制、轮廓增强功能、对比度调节、测光模式、电子放大。</w:t>
      </w:r>
    </w:p>
    <w:p w14:paraId="6EBC66FD">
      <w:pPr>
        <w:keepNext w:val="0"/>
        <w:keepLines w:val="0"/>
        <w:pageBreakBefore w:val="0"/>
        <w:numPr>
          <w:ilvl w:val="0"/>
          <w:numId w:val="0"/>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14.存储功能：非USB接口，具有外置可热插拔SD存储卡</w:t>
      </w:r>
    </w:p>
    <w:p w14:paraId="4B7D6793">
      <w:pPr>
        <w:keepNext w:val="0"/>
        <w:keepLines w:val="0"/>
        <w:pageBreakBefore w:val="0"/>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15.</w:t>
      </w:r>
      <w:r>
        <w:rPr>
          <w:rFonts w:hint="eastAsia" w:ascii="宋体" w:hAnsi="宋体" w:eastAsia="宋体" w:cs="宋体"/>
          <w:color w:val="auto"/>
          <w:sz w:val="24"/>
          <w:szCs w:val="24"/>
        </w:rPr>
        <w:t>使用</w:t>
      </w:r>
      <w:r>
        <w:rPr>
          <w:rFonts w:hint="eastAsia" w:ascii="宋体" w:hAnsi="宋体" w:eastAsia="宋体" w:cs="宋体"/>
          <w:color w:val="auto"/>
          <w:sz w:val="24"/>
          <w:szCs w:val="24"/>
          <w:lang w:val="en-US" w:eastAsia="zh-CN"/>
        </w:rPr>
        <w:t>有效期</w:t>
      </w:r>
      <w:r>
        <w:rPr>
          <w:rFonts w:hint="eastAsia" w:ascii="宋体" w:hAnsi="宋体" w:eastAsia="宋体" w:cs="宋体"/>
          <w:color w:val="auto"/>
          <w:sz w:val="24"/>
          <w:szCs w:val="24"/>
        </w:rPr>
        <w:t>≥10年。</w:t>
      </w:r>
    </w:p>
    <w:p w14:paraId="262796CA">
      <w:pPr>
        <w:keepNext w:val="0"/>
        <w:keepLines w:val="0"/>
        <w:pageBreakBefore w:val="0"/>
        <w:numPr>
          <w:ilvl w:val="0"/>
          <w:numId w:val="0"/>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16.</w:t>
      </w:r>
      <w:r>
        <w:rPr>
          <w:rFonts w:hint="eastAsia" w:ascii="宋体" w:hAnsi="宋体" w:eastAsia="宋体" w:cs="宋体"/>
          <w:color w:val="auto"/>
          <w:sz w:val="24"/>
          <w:szCs w:val="24"/>
        </w:rPr>
        <w:t>供电方式</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交流电供电：可通过接入DC适配器连接交流电使用，可通过适配器实现24小时连续工作。</w:t>
      </w:r>
    </w:p>
    <w:p w14:paraId="658870F7">
      <w:pPr>
        <w:keepNext w:val="0"/>
        <w:keepLines w:val="0"/>
        <w:pageBreakBefore w:val="0"/>
        <w:numPr>
          <w:ilvl w:val="0"/>
          <w:numId w:val="0"/>
        </w:numPr>
        <w:kinsoku/>
        <w:wordWrap/>
        <w:overflowPunct/>
        <w:topLinePunct w:val="0"/>
        <w:autoSpaceDE/>
        <w:autoSpaceDN/>
        <w:bidi w:val="0"/>
        <w:adjustRightInd w:val="0"/>
        <w:snapToGrid w:val="0"/>
        <w:spacing w:line="360" w:lineRule="auto"/>
        <w:ind w:left="0" w:firstLine="480" w:firstLineChars="200"/>
        <w:textAlignment w:val="auto"/>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17.</w:t>
      </w:r>
      <w:r>
        <w:rPr>
          <w:rFonts w:hint="eastAsia" w:ascii="宋体" w:hAnsi="宋体" w:eastAsia="宋体" w:cs="宋体"/>
          <w:color w:val="auto"/>
          <w:sz w:val="24"/>
          <w:szCs w:val="24"/>
        </w:rPr>
        <w:t>软件终身免费升级。</w:t>
      </w:r>
    </w:p>
    <w:p w14:paraId="3C29CDFD">
      <w:pPr>
        <w:keepNext w:val="0"/>
        <w:keepLines w:val="0"/>
        <w:pageBreakBefore w:val="0"/>
        <w:kinsoku/>
        <w:wordWrap/>
        <w:overflowPunct/>
        <w:topLinePunct w:val="0"/>
        <w:autoSpaceDE/>
        <w:autoSpaceDN/>
        <w:bidi w:val="0"/>
        <w:adjustRightInd w:val="0"/>
        <w:snapToGrid w:val="0"/>
        <w:spacing w:line="360" w:lineRule="auto"/>
        <w:ind w:left="0"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（五）工作站</w:t>
      </w:r>
    </w:p>
    <w:p w14:paraId="738F4DF9">
      <w:pPr>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1.配置工作站主机，可制作图文报告</w:t>
      </w:r>
    </w:p>
    <w:p w14:paraId="183727F4">
      <w:pPr>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2.配备彩色打印机，可打印彩色报告</w:t>
      </w:r>
    </w:p>
    <w:p w14:paraId="2D151879">
      <w:pPr>
        <w:keepNext w:val="0"/>
        <w:keepLines w:val="0"/>
        <w:pageBreakBefore w:val="0"/>
        <w:kinsoku/>
        <w:wordWrap/>
        <w:overflowPunct/>
        <w:topLinePunct w:val="0"/>
        <w:autoSpaceDE/>
        <w:autoSpaceDN/>
        <w:bidi w:val="0"/>
        <w:adjustRightInd w:val="0"/>
        <w:snapToGrid w:val="0"/>
        <w:spacing w:line="360" w:lineRule="auto"/>
        <w:ind w:left="0" w:firstLine="480" w:firstLineChars="200"/>
        <w:jc w:val="both"/>
        <w:textAlignment w:val="auto"/>
        <w:rPr>
          <w:rFonts w:hint="eastAsia"/>
          <w:color w:val="auto"/>
          <w:highlight w:val="none"/>
        </w:rPr>
      </w:pPr>
      <w:r>
        <w:rPr>
          <w:rFonts w:hint="eastAsia" w:ascii="宋体" w:hAnsi="宋体" w:eastAsia="宋体" w:cs="宋体"/>
          <w:b w:val="0"/>
          <w:bCs w:val="0"/>
          <w:color w:val="auto"/>
          <w:sz w:val="24"/>
          <w:szCs w:val="24"/>
          <w:lang w:val="en-US" w:eastAsia="zh-CN"/>
        </w:rPr>
        <w:t>3.可连接医院PACS系统，传输DICOM信息</w:t>
      </w:r>
    </w:p>
    <w:p w14:paraId="7211EA8A">
      <w:pPr>
        <w:spacing w:line="360" w:lineRule="auto"/>
        <w:ind w:firstLine="437"/>
        <w:outlineLvl w:val="1"/>
        <w:rPr>
          <w:rFonts w:ascii="宋体" w:hAnsi="宋体" w:eastAsia="宋体"/>
          <w:b/>
          <w:bCs/>
          <w:color w:val="auto"/>
          <w:sz w:val="24"/>
          <w:szCs w:val="18"/>
          <w:highlight w:val="none"/>
        </w:rPr>
      </w:pPr>
      <w:bookmarkStart w:id="106" w:name="_Toc24214"/>
      <w:bookmarkStart w:id="107" w:name="_Toc29982"/>
      <w:r>
        <w:rPr>
          <w:rFonts w:hint="eastAsia" w:ascii="宋体" w:hAnsi="宋体" w:eastAsia="宋体"/>
          <w:b/>
          <w:bCs/>
          <w:color w:val="auto"/>
          <w:sz w:val="24"/>
          <w:szCs w:val="18"/>
          <w:highlight w:val="none"/>
        </w:rPr>
        <w:t>三、报价要求</w:t>
      </w:r>
      <w:bookmarkEnd w:id="103"/>
      <w:bookmarkEnd w:id="104"/>
      <w:bookmarkEnd w:id="105"/>
      <w:bookmarkEnd w:id="106"/>
      <w:bookmarkEnd w:id="107"/>
    </w:p>
    <w:p w14:paraId="6015AA15">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rPr>
        <w:t>1.本项目报总价，投标报价不得超过最高限价，单台（套）设备报价不得超过单台（套）最高限价。</w:t>
      </w:r>
    </w:p>
    <w:p w14:paraId="048F0F1F">
      <w:pPr>
        <w:spacing w:line="360" w:lineRule="auto"/>
        <w:ind w:firstLine="437"/>
        <w:rPr>
          <w:rFonts w:hint="default" w:ascii="宋体" w:hAnsi="宋体" w:eastAsia="宋体"/>
          <w:bCs/>
          <w:color w:val="auto"/>
          <w:sz w:val="24"/>
          <w:szCs w:val="18"/>
          <w:highlight w:val="none"/>
          <w:lang w:val="en-US" w:eastAsia="zh-CN"/>
        </w:rPr>
      </w:pPr>
      <w:r>
        <w:rPr>
          <w:rFonts w:hint="eastAsia" w:ascii="宋体" w:hAnsi="宋体" w:eastAsia="宋体"/>
          <w:bCs/>
          <w:color w:val="auto"/>
          <w:sz w:val="24"/>
          <w:szCs w:val="18"/>
          <w:highlight w:val="none"/>
          <w:lang w:val="en-US" w:eastAsia="zh-CN"/>
        </w:rPr>
        <w:t>2.投标报价包括货物从设计、采购、制造、交货（包括运输至采购人指定地点卸车就位）至售后服务、人工、管理、税金（除上述采购需求列明的货物需求外，如投标人所投产品须配套其他必要的货物方可正常使用的，投标人须为本项目配备，费用包含在报价中），中标后采购人不再另行追加其他任何费用，请投标人自行考虑报价风险。</w:t>
      </w:r>
    </w:p>
    <w:p w14:paraId="0C00EC5F">
      <w:pPr>
        <w:spacing w:line="360" w:lineRule="auto"/>
        <w:ind w:firstLine="437"/>
        <w:outlineLvl w:val="1"/>
        <w:rPr>
          <w:rFonts w:ascii="宋体" w:hAnsi="宋体" w:eastAsia="宋体"/>
          <w:b/>
          <w:bCs/>
          <w:color w:val="auto"/>
          <w:sz w:val="24"/>
          <w:szCs w:val="18"/>
          <w:highlight w:val="none"/>
        </w:rPr>
      </w:pPr>
      <w:bookmarkStart w:id="108" w:name="_Toc1055"/>
      <w:bookmarkStart w:id="109" w:name="_Toc15293"/>
      <w:bookmarkStart w:id="110" w:name="_Toc4444"/>
      <w:bookmarkStart w:id="111" w:name="_Toc3905"/>
      <w:bookmarkStart w:id="112" w:name="_Toc14698"/>
      <w:r>
        <w:rPr>
          <w:rFonts w:hint="eastAsia" w:ascii="宋体" w:hAnsi="宋体" w:eastAsia="宋体"/>
          <w:b/>
          <w:bCs/>
          <w:color w:val="auto"/>
          <w:sz w:val="24"/>
          <w:szCs w:val="18"/>
          <w:highlight w:val="none"/>
        </w:rPr>
        <w:t>四、其他要求</w:t>
      </w:r>
      <w:bookmarkEnd w:id="108"/>
      <w:bookmarkEnd w:id="109"/>
      <w:bookmarkEnd w:id="110"/>
      <w:bookmarkEnd w:id="111"/>
      <w:bookmarkEnd w:id="112"/>
    </w:p>
    <w:p w14:paraId="05FD5FDE">
      <w:pPr>
        <w:spacing w:line="360" w:lineRule="auto"/>
        <w:ind w:firstLine="437"/>
        <w:outlineLvl w:val="1"/>
        <w:rPr>
          <w:rFonts w:hint="eastAsia" w:ascii="宋体" w:hAnsi="宋体" w:eastAsia="宋体"/>
          <w:b/>
          <w:bCs/>
          <w:color w:val="auto"/>
          <w:sz w:val="24"/>
          <w:szCs w:val="18"/>
          <w:highlight w:val="none"/>
          <w:lang w:eastAsia="zh-CN"/>
        </w:rPr>
      </w:pPr>
      <w:bookmarkStart w:id="113" w:name="_Toc10412"/>
      <w:bookmarkStart w:id="114" w:name="_Toc21996"/>
      <w:r>
        <w:rPr>
          <w:rFonts w:hint="eastAsia" w:ascii="宋体" w:hAnsi="宋体" w:eastAsia="宋体"/>
          <w:b/>
          <w:bCs/>
          <w:color w:val="auto"/>
          <w:sz w:val="24"/>
          <w:szCs w:val="18"/>
          <w:highlight w:val="none"/>
          <w:lang w:val="en-US" w:eastAsia="zh-CN"/>
        </w:rPr>
        <w:t>（一）</w:t>
      </w:r>
      <w:r>
        <w:rPr>
          <w:rFonts w:hint="eastAsia" w:ascii="宋体" w:hAnsi="宋体" w:eastAsia="宋体"/>
          <w:b/>
          <w:bCs/>
          <w:color w:val="auto"/>
          <w:sz w:val="24"/>
          <w:szCs w:val="18"/>
          <w:highlight w:val="none"/>
          <w:lang w:eastAsia="zh-CN"/>
        </w:rPr>
        <w:t>验收标准</w:t>
      </w:r>
      <w:bookmarkEnd w:id="113"/>
      <w:bookmarkEnd w:id="114"/>
    </w:p>
    <w:p w14:paraId="2F7312B4">
      <w:pPr>
        <w:spacing w:line="360" w:lineRule="auto"/>
        <w:ind w:firstLine="437"/>
        <w:outlineLvl w:val="1"/>
        <w:rPr>
          <w:rFonts w:hint="eastAsia" w:ascii="宋体" w:hAnsi="宋体" w:eastAsia="宋体"/>
          <w:b w:val="0"/>
          <w:bCs w:val="0"/>
          <w:color w:val="auto"/>
          <w:sz w:val="24"/>
          <w:szCs w:val="18"/>
          <w:highlight w:val="none"/>
          <w:lang w:eastAsia="zh-CN"/>
        </w:rPr>
      </w:pPr>
      <w:bookmarkStart w:id="115" w:name="_Toc21122"/>
      <w:bookmarkStart w:id="116" w:name="_Toc28361"/>
      <w:r>
        <w:rPr>
          <w:rFonts w:hint="eastAsia" w:ascii="宋体" w:hAnsi="宋体" w:eastAsia="宋体"/>
          <w:b w:val="0"/>
          <w:bCs w:val="0"/>
          <w:color w:val="auto"/>
          <w:sz w:val="24"/>
          <w:szCs w:val="18"/>
          <w:highlight w:val="none"/>
          <w:lang w:eastAsia="zh-CN"/>
        </w:rPr>
        <w:t>1</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卖方交付货物需符合国家相关标准、行业标准、地方标准或者其他标准、规范；卖方交付货物需满足采购技术要求。</w:t>
      </w:r>
      <w:bookmarkEnd w:id="115"/>
      <w:bookmarkEnd w:id="116"/>
    </w:p>
    <w:p w14:paraId="4DE2941F">
      <w:pPr>
        <w:spacing w:line="360" w:lineRule="auto"/>
        <w:ind w:firstLine="437"/>
        <w:outlineLvl w:val="1"/>
        <w:rPr>
          <w:rFonts w:hint="eastAsia" w:ascii="宋体" w:hAnsi="宋体" w:eastAsia="宋体"/>
          <w:b w:val="0"/>
          <w:bCs w:val="0"/>
          <w:color w:val="auto"/>
          <w:sz w:val="24"/>
          <w:szCs w:val="18"/>
          <w:highlight w:val="none"/>
          <w:lang w:eastAsia="zh-CN"/>
        </w:rPr>
      </w:pPr>
      <w:bookmarkStart w:id="117" w:name="_Toc18396"/>
      <w:bookmarkStart w:id="118" w:name="_Toc6943"/>
      <w:r>
        <w:rPr>
          <w:rFonts w:hint="eastAsia" w:ascii="宋体" w:hAnsi="宋体" w:eastAsia="宋体"/>
          <w:b w:val="0"/>
          <w:bCs w:val="0"/>
          <w:color w:val="auto"/>
          <w:sz w:val="24"/>
          <w:szCs w:val="18"/>
          <w:highlight w:val="none"/>
          <w:lang w:eastAsia="zh-CN"/>
        </w:rPr>
        <w:t>2</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在货物到达买方指定地点后，卖方按买方通知时间派技术人员到买方的项目现场，在买方技术人员在场的情况下开箱清点货物，进行安装、调试，直至设备正常运行，并承担因此发生的一切费用。</w:t>
      </w:r>
      <w:bookmarkEnd w:id="117"/>
      <w:bookmarkEnd w:id="118"/>
    </w:p>
    <w:p w14:paraId="3CE98D86">
      <w:pPr>
        <w:spacing w:line="360" w:lineRule="auto"/>
        <w:ind w:firstLine="437"/>
        <w:outlineLvl w:val="1"/>
        <w:rPr>
          <w:rFonts w:hint="eastAsia" w:ascii="宋体" w:hAnsi="宋体" w:eastAsia="宋体"/>
          <w:b w:val="0"/>
          <w:bCs w:val="0"/>
          <w:color w:val="auto"/>
          <w:sz w:val="24"/>
          <w:szCs w:val="18"/>
          <w:highlight w:val="none"/>
          <w:lang w:eastAsia="zh-CN"/>
        </w:rPr>
      </w:pPr>
      <w:bookmarkStart w:id="119" w:name="_Toc28313"/>
      <w:bookmarkStart w:id="120" w:name="_Toc9811"/>
      <w:r>
        <w:rPr>
          <w:rFonts w:hint="eastAsia" w:ascii="宋体" w:hAnsi="宋体" w:eastAsia="宋体"/>
          <w:b w:val="0"/>
          <w:bCs w:val="0"/>
          <w:color w:val="auto"/>
          <w:sz w:val="24"/>
          <w:szCs w:val="18"/>
          <w:highlight w:val="none"/>
          <w:lang w:eastAsia="zh-CN"/>
        </w:rPr>
        <w:t>3</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卖方向买方提供详细的验收标准、验收手册；设备安装后，仪器所有技术参数经检验应符合国家标准及厂方标准；买方有权委托中国有资格的单位对上述仪器进行精度校核；如果由于仪器本身原因而在三十天内调试没有通过，卖方必须更换一套新的相同型号或符合技术性能的仪器设备。</w:t>
      </w:r>
      <w:bookmarkEnd w:id="119"/>
      <w:bookmarkEnd w:id="120"/>
    </w:p>
    <w:p w14:paraId="03F725E3">
      <w:pPr>
        <w:spacing w:line="360" w:lineRule="auto"/>
        <w:ind w:firstLine="437"/>
        <w:outlineLvl w:val="1"/>
        <w:rPr>
          <w:rFonts w:hint="eastAsia" w:ascii="宋体" w:hAnsi="宋体" w:eastAsia="宋体"/>
          <w:b w:val="0"/>
          <w:bCs w:val="0"/>
          <w:color w:val="auto"/>
          <w:sz w:val="24"/>
          <w:szCs w:val="18"/>
          <w:highlight w:val="none"/>
          <w:lang w:eastAsia="zh-CN"/>
        </w:rPr>
      </w:pPr>
      <w:bookmarkStart w:id="121" w:name="_Toc29415"/>
      <w:bookmarkStart w:id="122" w:name="_Toc18953"/>
      <w:r>
        <w:rPr>
          <w:rFonts w:hint="eastAsia" w:ascii="宋体" w:hAnsi="宋体" w:eastAsia="宋体"/>
          <w:b w:val="0"/>
          <w:bCs w:val="0"/>
          <w:color w:val="auto"/>
          <w:sz w:val="24"/>
          <w:szCs w:val="18"/>
          <w:highlight w:val="none"/>
          <w:lang w:eastAsia="zh-CN"/>
        </w:rPr>
        <w:t>4</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所有技术要求采购人验收时将逐条核对，如发现投标人投标响应的技术参数与最终供货的实际情况不符、虚假响应等，由此产生的责任与后果均由中标人承担。</w:t>
      </w:r>
      <w:bookmarkEnd w:id="121"/>
      <w:bookmarkEnd w:id="122"/>
    </w:p>
    <w:p w14:paraId="614430FC">
      <w:pPr>
        <w:spacing w:line="360" w:lineRule="auto"/>
        <w:ind w:firstLine="437"/>
        <w:outlineLvl w:val="1"/>
        <w:rPr>
          <w:rFonts w:hint="eastAsia" w:ascii="宋体" w:hAnsi="宋体" w:eastAsia="宋体"/>
          <w:b w:val="0"/>
          <w:bCs w:val="0"/>
          <w:color w:val="auto"/>
          <w:sz w:val="24"/>
          <w:szCs w:val="18"/>
          <w:highlight w:val="none"/>
          <w:lang w:eastAsia="zh-CN"/>
        </w:rPr>
      </w:pPr>
      <w:bookmarkStart w:id="123" w:name="_Toc5567"/>
      <w:bookmarkStart w:id="124" w:name="_Toc27908"/>
      <w:r>
        <w:rPr>
          <w:rFonts w:hint="eastAsia" w:ascii="宋体" w:hAnsi="宋体" w:eastAsia="宋体"/>
          <w:b w:val="0"/>
          <w:bCs w:val="0"/>
          <w:color w:val="auto"/>
          <w:sz w:val="24"/>
          <w:szCs w:val="18"/>
          <w:highlight w:val="none"/>
          <w:lang w:eastAsia="zh-CN"/>
        </w:rPr>
        <w:t>5</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设备验收合格后，出具验收报告，买卖双方在验收文件上签字并加盖公章生效。</w:t>
      </w:r>
      <w:bookmarkEnd w:id="123"/>
      <w:bookmarkEnd w:id="124"/>
    </w:p>
    <w:p w14:paraId="5942B1A7">
      <w:pPr>
        <w:spacing w:line="360" w:lineRule="auto"/>
        <w:ind w:firstLine="437"/>
        <w:outlineLvl w:val="1"/>
        <w:rPr>
          <w:rFonts w:hint="eastAsia" w:ascii="宋体" w:hAnsi="宋体" w:eastAsia="宋体"/>
          <w:b/>
          <w:bCs/>
          <w:color w:val="auto"/>
          <w:sz w:val="24"/>
          <w:szCs w:val="18"/>
          <w:highlight w:val="none"/>
          <w:lang w:eastAsia="zh-CN"/>
        </w:rPr>
      </w:pPr>
      <w:bookmarkStart w:id="125" w:name="_Toc14192"/>
      <w:bookmarkStart w:id="126" w:name="_Toc23073"/>
      <w:r>
        <w:rPr>
          <w:rFonts w:hint="eastAsia" w:ascii="宋体" w:hAnsi="宋体" w:eastAsia="宋体"/>
          <w:b/>
          <w:bCs/>
          <w:color w:val="auto"/>
          <w:sz w:val="24"/>
          <w:szCs w:val="18"/>
          <w:highlight w:val="none"/>
          <w:lang w:eastAsia="zh-CN"/>
        </w:rPr>
        <w:t>（</w:t>
      </w:r>
      <w:r>
        <w:rPr>
          <w:rFonts w:hint="eastAsia" w:ascii="宋体" w:hAnsi="宋体" w:eastAsia="宋体"/>
          <w:b/>
          <w:bCs/>
          <w:color w:val="auto"/>
          <w:sz w:val="24"/>
          <w:szCs w:val="18"/>
          <w:highlight w:val="none"/>
          <w:lang w:val="en-US" w:eastAsia="zh-CN"/>
        </w:rPr>
        <w:t>二</w:t>
      </w:r>
      <w:r>
        <w:rPr>
          <w:rFonts w:hint="eastAsia" w:ascii="宋体" w:hAnsi="宋体" w:eastAsia="宋体"/>
          <w:b/>
          <w:bCs/>
          <w:color w:val="auto"/>
          <w:sz w:val="24"/>
          <w:szCs w:val="18"/>
          <w:highlight w:val="none"/>
          <w:lang w:eastAsia="zh-CN"/>
        </w:rPr>
        <w:t>）售后服务及其他要求</w:t>
      </w:r>
      <w:bookmarkEnd w:id="125"/>
      <w:bookmarkEnd w:id="126"/>
    </w:p>
    <w:p w14:paraId="192C5C86">
      <w:pPr>
        <w:spacing w:line="360" w:lineRule="auto"/>
        <w:ind w:firstLine="437"/>
        <w:outlineLvl w:val="1"/>
        <w:rPr>
          <w:rFonts w:hint="eastAsia" w:ascii="宋体" w:hAnsi="宋体" w:eastAsia="宋体"/>
          <w:b w:val="0"/>
          <w:bCs w:val="0"/>
          <w:color w:val="auto"/>
          <w:sz w:val="24"/>
          <w:szCs w:val="18"/>
          <w:highlight w:val="none"/>
          <w:lang w:eastAsia="zh-CN"/>
        </w:rPr>
      </w:pPr>
      <w:bookmarkStart w:id="127" w:name="_Toc4519"/>
      <w:bookmarkStart w:id="128" w:name="_Toc25860"/>
      <w:r>
        <w:rPr>
          <w:rFonts w:hint="eastAsia" w:ascii="宋体" w:hAnsi="宋体" w:eastAsia="宋体"/>
          <w:b w:val="0"/>
          <w:bCs w:val="0"/>
          <w:color w:val="auto"/>
          <w:sz w:val="24"/>
          <w:szCs w:val="18"/>
          <w:highlight w:val="none"/>
          <w:lang w:eastAsia="zh-CN"/>
        </w:rPr>
        <w:t>1</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质量保证期：</w:t>
      </w:r>
      <w:r>
        <w:rPr>
          <w:rFonts w:hint="eastAsia" w:ascii="宋体" w:hAnsi="宋体" w:eastAsia="宋体"/>
          <w:b w:val="0"/>
          <w:color w:val="auto"/>
          <w:sz w:val="24"/>
          <w:highlight w:val="none"/>
          <w:u w:val="single"/>
        </w:rPr>
        <w:t>整机质保</w:t>
      </w:r>
      <w:r>
        <w:rPr>
          <w:rFonts w:hint="eastAsia" w:ascii="宋体" w:hAnsi="宋体" w:eastAsia="宋体"/>
          <w:b w:val="0"/>
          <w:color w:val="auto"/>
          <w:sz w:val="24"/>
          <w:highlight w:val="none"/>
          <w:u w:val="single"/>
          <w:lang w:val="en-US" w:eastAsia="zh-CN"/>
        </w:rPr>
        <w:t>自设备安装验收合格后</w:t>
      </w:r>
      <w:r>
        <w:rPr>
          <w:rFonts w:hint="eastAsia" w:ascii="宋体" w:hAnsi="宋体" w:eastAsia="宋体"/>
          <w:b w:val="0"/>
          <w:color w:val="auto"/>
          <w:sz w:val="24"/>
          <w:highlight w:val="none"/>
          <w:u w:val="single"/>
        </w:rPr>
        <w:t>不少于</w:t>
      </w:r>
      <w:r>
        <w:rPr>
          <w:rFonts w:hint="eastAsia" w:ascii="宋体" w:hAnsi="宋体" w:eastAsia="宋体"/>
          <w:b/>
          <w:bCs/>
          <w:color w:val="auto"/>
          <w:sz w:val="24"/>
          <w:highlight w:val="none"/>
          <w:u w:val="single"/>
          <w:lang w:val="en-US" w:eastAsia="zh-CN"/>
        </w:rPr>
        <w:t>3</w:t>
      </w:r>
      <w:r>
        <w:rPr>
          <w:rFonts w:hint="eastAsia" w:ascii="宋体" w:hAnsi="宋体" w:eastAsia="宋体"/>
          <w:b/>
          <w:bCs/>
          <w:color w:val="auto"/>
          <w:sz w:val="24"/>
          <w:highlight w:val="none"/>
          <w:u w:val="single"/>
        </w:rPr>
        <w:t>年</w:t>
      </w:r>
      <w:r>
        <w:rPr>
          <w:rFonts w:hint="eastAsia" w:ascii="宋体" w:hAnsi="宋体" w:eastAsia="宋体"/>
          <w:b w:val="0"/>
          <w:color w:val="auto"/>
          <w:sz w:val="24"/>
          <w:highlight w:val="none"/>
          <w:u w:val="single"/>
          <w:lang w:eastAsia="zh-CN"/>
        </w:rPr>
        <w:t>，</w:t>
      </w:r>
      <w:r>
        <w:rPr>
          <w:rFonts w:hint="eastAsia" w:ascii="宋体" w:hAnsi="宋体" w:eastAsia="宋体"/>
          <w:b w:val="0"/>
          <w:color w:val="auto"/>
          <w:sz w:val="24"/>
          <w:highlight w:val="none"/>
          <w:u w:val="single"/>
        </w:rPr>
        <w:t>软件终身提供免费升级服务。</w:t>
      </w:r>
      <w:bookmarkEnd w:id="127"/>
      <w:bookmarkEnd w:id="128"/>
    </w:p>
    <w:p w14:paraId="6E28DB41">
      <w:pPr>
        <w:spacing w:line="360" w:lineRule="auto"/>
        <w:ind w:firstLine="437"/>
        <w:outlineLvl w:val="1"/>
        <w:rPr>
          <w:rFonts w:hint="eastAsia" w:ascii="宋体" w:hAnsi="宋体" w:eastAsia="宋体"/>
          <w:b w:val="0"/>
          <w:bCs w:val="0"/>
          <w:color w:val="auto"/>
          <w:sz w:val="24"/>
          <w:szCs w:val="18"/>
          <w:highlight w:val="none"/>
          <w:lang w:eastAsia="zh-CN"/>
        </w:rPr>
      </w:pPr>
      <w:bookmarkStart w:id="129" w:name="_Toc31427"/>
      <w:bookmarkStart w:id="130" w:name="_Toc237"/>
      <w:r>
        <w:rPr>
          <w:rFonts w:hint="eastAsia" w:ascii="宋体" w:hAnsi="宋体" w:eastAsia="宋体"/>
          <w:b w:val="0"/>
          <w:bCs w:val="0"/>
          <w:color w:val="auto"/>
          <w:sz w:val="24"/>
          <w:szCs w:val="18"/>
          <w:highlight w:val="none"/>
          <w:lang w:eastAsia="zh-CN"/>
        </w:rPr>
        <w:t>2</w:t>
      </w:r>
      <w:r>
        <w:rPr>
          <w:rFonts w:hint="eastAsia" w:ascii="宋体" w:hAnsi="宋体" w:eastAsia="宋体"/>
          <w:b w:val="0"/>
          <w:bCs w:val="0"/>
          <w:color w:val="auto"/>
          <w:sz w:val="24"/>
          <w:szCs w:val="18"/>
          <w:highlight w:val="none"/>
          <w:lang w:val="en-US" w:eastAsia="zh-CN"/>
        </w:rPr>
        <w:t>.</w:t>
      </w:r>
      <w:r>
        <w:rPr>
          <w:rFonts w:hint="eastAsia" w:ascii="宋体" w:hAnsi="宋体" w:eastAsia="宋体"/>
          <w:b w:val="0"/>
          <w:bCs w:val="0"/>
          <w:color w:val="auto"/>
          <w:sz w:val="24"/>
          <w:szCs w:val="18"/>
          <w:highlight w:val="none"/>
          <w:lang w:eastAsia="zh-CN"/>
        </w:rPr>
        <w:t>在保修期内，属产品质量问题，需免费更换，所发生的一切费用由卖方负担，更换后的零部件质量保证期从更换之日起计算。</w:t>
      </w:r>
      <w:bookmarkEnd w:id="129"/>
      <w:bookmarkEnd w:id="130"/>
    </w:p>
    <w:p w14:paraId="51B42871">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3.</w:t>
      </w:r>
      <w:r>
        <w:rPr>
          <w:rFonts w:hint="eastAsia" w:ascii="宋体" w:hAnsi="宋体" w:eastAsia="宋体"/>
          <w:bCs/>
          <w:color w:val="auto"/>
          <w:sz w:val="24"/>
          <w:szCs w:val="18"/>
          <w:highlight w:val="none"/>
        </w:rPr>
        <w:t>保修期内提供每年不低于两次免费维护保养服务，保修期外工程师维护保养维修免上门费。</w:t>
      </w:r>
    </w:p>
    <w:p w14:paraId="4606E52E">
      <w:pPr>
        <w:spacing w:line="360" w:lineRule="auto"/>
        <w:ind w:firstLine="437"/>
        <w:rPr>
          <w:rFonts w:hint="eastAsia" w:ascii="宋体" w:hAnsi="宋体" w:eastAsia="宋体"/>
          <w:bCs/>
          <w:color w:val="auto"/>
          <w:sz w:val="24"/>
          <w:szCs w:val="18"/>
          <w:highlight w:val="none"/>
        </w:rPr>
      </w:pPr>
      <w:r>
        <w:rPr>
          <w:rFonts w:hint="eastAsia" w:ascii="宋体" w:hAnsi="宋体" w:eastAsia="宋体"/>
          <w:bCs/>
          <w:color w:val="auto"/>
          <w:sz w:val="24"/>
          <w:szCs w:val="18"/>
          <w:highlight w:val="none"/>
          <w:lang w:val="en-US" w:eastAsia="zh-CN"/>
        </w:rPr>
        <w:t>4.</w:t>
      </w:r>
      <w:r>
        <w:rPr>
          <w:rFonts w:hint="eastAsia" w:ascii="宋体" w:hAnsi="宋体" w:eastAsia="宋体"/>
          <w:bCs/>
          <w:color w:val="auto"/>
          <w:sz w:val="24"/>
          <w:szCs w:val="18"/>
          <w:highlight w:val="none"/>
        </w:rPr>
        <w:t>合同签订前需提供原厂质保承诺或买保记录相关证明文件。</w:t>
      </w:r>
    </w:p>
    <w:p w14:paraId="638C1B04">
      <w:pPr>
        <w:spacing w:line="360" w:lineRule="auto"/>
        <w:ind w:firstLine="437"/>
        <w:outlineLvl w:val="1"/>
        <w:rPr>
          <w:rFonts w:hint="eastAsia" w:ascii="宋体" w:hAnsi="宋体" w:eastAsia="宋体"/>
          <w:b w:val="0"/>
          <w:bCs w:val="0"/>
          <w:color w:val="auto"/>
          <w:sz w:val="24"/>
          <w:szCs w:val="18"/>
          <w:highlight w:val="none"/>
          <w:lang w:eastAsia="zh-CN"/>
        </w:rPr>
      </w:pPr>
      <w:bookmarkStart w:id="131" w:name="_Toc7602"/>
      <w:bookmarkStart w:id="132" w:name="_Toc30552"/>
      <w:r>
        <w:rPr>
          <w:rFonts w:hint="eastAsia" w:ascii="宋体" w:hAnsi="宋体" w:eastAsia="宋体"/>
          <w:bCs/>
          <w:color w:val="auto"/>
          <w:sz w:val="24"/>
          <w:szCs w:val="18"/>
          <w:highlight w:val="none"/>
          <w:lang w:val="en-US" w:eastAsia="zh-CN"/>
        </w:rPr>
        <w:t>5.</w:t>
      </w:r>
      <w:bookmarkEnd w:id="131"/>
      <w:bookmarkEnd w:id="132"/>
      <w:r>
        <w:rPr>
          <w:rFonts w:hint="eastAsia" w:ascii="宋体" w:hAnsi="宋体" w:eastAsia="宋体"/>
          <w:bCs/>
          <w:color w:val="auto"/>
          <w:sz w:val="24"/>
          <w:szCs w:val="18"/>
          <w:highlight w:val="none"/>
          <w:lang w:val="en-US" w:eastAsia="zh-CN"/>
        </w:rPr>
        <w:t>如发生医患纠纷，经认定为设备原因，造成重大影响的由供应商承担相应责任。所有损失由供应商承担，包含但不限于经济赔偿责任。</w:t>
      </w:r>
    </w:p>
    <w:p w14:paraId="087A591F">
      <w:pPr>
        <w:spacing w:line="360" w:lineRule="auto"/>
        <w:ind w:firstLine="437"/>
        <w:outlineLvl w:val="1"/>
        <w:rPr>
          <w:rFonts w:hint="eastAsia" w:ascii="宋体" w:hAnsi="宋体" w:eastAsia="宋体"/>
          <w:b w:val="0"/>
          <w:bCs w:val="0"/>
          <w:color w:val="auto"/>
          <w:sz w:val="24"/>
          <w:szCs w:val="18"/>
          <w:highlight w:val="none"/>
          <w:lang w:eastAsia="zh-CN"/>
        </w:rPr>
      </w:pPr>
      <w:bookmarkStart w:id="133" w:name="_Toc6799"/>
      <w:bookmarkStart w:id="134" w:name="_Toc25869"/>
      <w:r>
        <w:rPr>
          <w:rFonts w:hint="eastAsia" w:ascii="宋体" w:hAnsi="宋体" w:eastAsia="宋体"/>
          <w:b w:val="0"/>
          <w:bCs w:val="0"/>
          <w:color w:val="auto"/>
          <w:sz w:val="24"/>
          <w:szCs w:val="18"/>
          <w:highlight w:val="none"/>
          <w:lang w:val="en-US" w:eastAsia="zh-CN"/>
        </w:rPr>
        <w:t>6.</w:t>
      </w:r>
      <w:r>
        <w:rPr>
          <w:rFonts w:hint="eastAsia" w:ascii="宋体" w:hAnsi="宋体" w:eastAsia="宋体"/>
          <w:b w:val="0"/>
          <w:bCs w:val="0"/>
          <w:color w:val="auto"/>
          <w:sz w:val="24"/>
          <w:szCs w:val="18"/>
          <w:highlight w:val="none"/>
          <w:lang w:eastAsia="zh-CN"/>
        </w:rPr>
        <w:t>卖方应有效保证售后维修服务，提供7*24维保技术服务。卖方应提供技术支持，保证系统的正常工作；在保修期外提供成本价维修服务，如需更换零部件，应以成本价提供合格的正品，保证更换的质量。</w:t>
      </w:r>
      <w:bookmarkEnd w:id="133"/>
      <w:bookmarkEnd w:id="134"/>
    </w:p>
    <w:p w14:paraId="4A7F4478">
      <w:pPr>
        <w:spacing w:line="360" w:lineRule="auto"/>
        <w:ind w:firstLine="437"/>
        <w:outlineLvl w:val="1"/>
        <w:rPr>
          <w:rFonts w:hint="eastAsia" w:ascii="宋体" w:hAnsi="宋体" w:eastAsia="宋体"/>
          <w:b w:val="0"/>
          <w:bCs w:val="0"/>
          <w:color w:val="auto"/>
          <w:sz w:val="24"/>
          <w:szCs w:val="18"/>
          <w:highlight w:val="none"/>
          <w:lang w:eastAsia="zh-CN"/>
        </w:rPr>
      </w:pPr>
      <w:bookmarkStart w:id="135" w:name="_Toc4095"/>
      <w:bookmarkStart w:id="136" w:name="_Toc31846"/>
      <w:r>
        <w:rPr>
          <w:rFonts w:hint="eastAsia" w:ascii="宋体" w:hAnsi="宋体" w:eastAsia="宋体"/>
          <w:b w:val="0"/>
          <w:bCs w:val="0"/>
          <w:color w:val="auto"/>
          <w:sz w:val="24"/>
          <w:szCs w:val="18"/>
          <w:highlight w:val="none"/>
          <w:lang w:val="en-US" w:eastAsia="zh-CN"/>
        </w:rPr>
        <w:t>7.</w:t>
      </w:r>
      <w:r>
        <w:rPr>
          <w:rFonts w:hint="eastAsia" w:ascii="宋体" w:hAnsi="宋体" w:eastAsia="宋体"/>
          <w:b w:val="0"/>
          <w:bCs w:val="0"/>
          <w:color w:val="auto"/>
          <w:sz w:val="24"/>
          <w:szCs w:val="18"/>
          <w:highlight w:val="none"/>
          <w:lang w:eastAsia="zh-CN"/>
        </w:rPr>
        <w:t>卖方负责对买方技术人员、操作人员进行现场培训，培训内容包括设备操作、设备维护及简单的设备维修等。</w:t>
      </w:r>
      <w:bookmarkEnd w:id="135"/>
      <w:bookmarkEnd w:id="136"/>
    </w:p>
    <w:p w14:paraId="0CE95776">
      <w:pPr>
        <w:spacing w:line="360" w:lineRule="auto"/>
        <w:ind w:firstLine="437"/>
        <w:outlineLvl w:val="1"/>
        <w:rPr>
          <w:rFonts w:hint="eastAsia" w:ascii="宋体" w:hAnsi="宋体" w:eastAsia="宋体"/>
          <w:b w:val="0"/>
          <w:bCs w:val="0"/>
          <w:color w:val="auto"/>
          <w:sz w:val="24"/>
          <w:szCs w:val="18"/>
          <w:highlight w:val="none"/>
          <w:lang w:eastAsia="zh-CN"/>
        </w:rPr>
      </w:pPr>
      <w:bookmarkStart w:id="137" w:name="_Toc6092"/>
      <w:bookmarkStart w:id="138" w:name="_Toc6053"/>
      <w:r>
        <w:rPr>
          <w:rFonts w:hint="eastAsia" w:ascii="宋体" w:hAnsi="宋体" w:eastAsia="宋体"/>
          <w:b w:val="0"/>
          <w:bCs w:val="0"/>
          <w:color w:val="auto"/>
          <w:sz w:val="24"/>
          <w:szCs w:val="18"/>
          <w:highlight w:val="none"/>
          <w:lang w:val="en-US" w:eastAsia="zh-CN"/>
        </w:rPr>
        <w:t>8.</w:t>
      </w:r>
      <w:r>
        <w:rPr>
          <w:rFonts w:hint="eastAsia" w:ascii="宋体" w:hAnsi="宋体" w:eastAsia="宋体"/>
          <w:b w:val="0"/>
          <w:bCs w:val="0"/>
          <w:color w:val="auto"/>
          <w:sz w:val="24"/>
          <w:szCs w:val="18"/>
          <w:highlight w:val="none"/>
          <w:lang w:eastAsia="zh-CN"/>
        </w:rPr>
        <w:t>所投机型开发的所有软件均须免费对招标人开放，信息接口费用由投标人承担。在质保期内可提供软件免费升级、临床项目指导等。</w:t>
      </w:r>
      <w:bookmarkEnd w:id="137"/>
      <w:bookmarkEnd w:id="138"/>
    </w:p>
    <w:p w14:paraId="3EC8677F">
      <w:pPr>
        <w:spacing w:line="360" w:lineRule="auto"/>
        <w:ind w:firstLine="480" w:firstLineChars="200"/>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所投设备为自合同签订之日起（进口产品前后六个月，国内产品前后三个月）生产的最新产品，</w:t>
      </w:r>
      <w:r>
        <w:rPr>
          <w:rFonts w:hint="eastAsia" w:ascii="宋体" w:hAnsi="宋体" w:eastAsia="宋体"/>
          <w:b/>
          <w:bCs/>
          <w:color w:val="auto"/>
          <w:sz w:val="24"/>
          <w:highlight w:val="none"/>
        </w:rPr>
        <w:t>提供承诺书并加盖公章（提供承诺）。</w:t>
      </w:r>
    </w:p>
    <w:p w14:paraId="23A27CA3">
      <w:pPr>
        <w:spacing w:line="360" w:lineRule="auto"/>
        <w:ind w:firstLine="480" w:firstLineChars="200"/>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.所投产品不含专机专用耗材，如有专机专用耗材终身免费提供使用，</w:t>
      </w:r>
      <w:r>
        <w:rPr>
          <w:rFonts w:hint="eastAsia" w:asciiTheme="minorEastAsia" w:hAnsiTheme="minorEastAsia" w:eastAsiaTheme="minorEastAsia"/>
          <w:b/>
          <w:bCs/>
          <w:color w:val="auto"/>
          <w:sz w:val="24"/>
          <w:highlight w:val="none"/>
        </w:rPr>
        <w:t>提供承诺书并加盖公章（提供承诺）。</w:t>
      </w:r>
    </w:p>
    <w:p w14:paraId="15D04563">
      <w:pPr>
        <w:spacing w:line="360" w:lineRule="auto"/>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79C25AF">
      <w:pPr>
        <w:spacing w:line="360" w:lineRule="auto"/>
        <w:jc w:val="center"/>
        <w:outlineLvl w:val="0"/>
        <w:rPr>
          <w:rFonts w:asciiTheme="minorEastAsia" w:hAnsiTheme="minorEastAsia" w:eastAsiaTheme="minorEastAsia"/>
          <w:b/>
          <w:color w:val="auto"/>
          <w:sz w:val="28"/>
          <w:highlight w:val="none"/>
        </w:rPr>
      </w:pPr>
      <w:bookmarkStart w:id="139" w:name="_Toc31025"/>
      <w:bookmarkStart w:id="140" w:name="_Toc14819"/>
      <w:bookmarkStart w:id="141" w:name="_Toc8354"/>
      <w:bookmarkStart w:id="142" w:name="_Toc25677"/>
      <w:r>
        <w:rPr>
          <w:rFonts w:hint="eastAsia" w:asciiTheme="minorEastAsia" w:hAnsiTheme="minorEastAsia" w:eastAsiaTheme="minorEastAsia"/>
          <w:b/>
          <w:color w:val="auto"/>
          <w:sz w:val="28"/>
          <w:highlight w:val="none"/>
        </w:rPr>
        <w:t>第四章  评标方法和标准（综合评分法）</w:t>
      </w:r>
      <w:bookmarkEnd w:id="139"/>
      <w:bookmarkEnd w:id="140"/>
      <w:bookmarkEnd w:id="141"/>
      <w:bookmarkEnd w:id="142"/>
    </w:p>
    <w:p w14:paraId="36FB348D">
      <w:pPr>
        <w:spacing w:line="360" w:lineRule="auto"/>
        <w:ind w:firstLine="437"/>
        <w:outlineLvl w:val="1"/>
        <w:rPr>
          <w:rFonts w:asciiTheme="minorEastAsia" w:hAnsiTheme="minorEastAsia" w:eastAsiaTheme="minorEastAsia"/>
          <w:b/>
          <w:color w:val="auto"/>
          <w:sz w:val="24"/>
          <w:highlight w:val="none"/>
        </w:rPr>
      </w:pPr>
      <w:bookmarkStart w:id="143" w:name="_Toc15967"/>
      <w:bookmarkStart w:id="144" w:name="_Toc11823"/>
      <w:bookmarkStart w:id="145" w:name="_Toc1246"/>
      <w:bookmarkStart w:id="146" w:name="_Toc30022"/>
      <w:bookmarkStart w:id="147" w:name="_Toc14182"/>
      <w:r>
        <w:rPr>
          <w:rFonts w:hint="eastAsia" w:asciiTheme="minorEastAsia" w:hAnsiTheme="minorEastAsia" w:eastAsiaTheme="minorEastAsia"/>
          <w:b/>
          <w:color w:val="auto"/>
          <w:sz w:val="24"/>
          <w:highlight w:val="none"/>
        </w:rPr>
        <w:t>一、总则</w:t>
      </w:r>
      <w:bookmarkEnd w:id="143"/>
      <w:bookmarkEnd w:id="144"/>
      <w:bookmarkEnd w:id="145"/>
      <w:bookmarkEnd w:id="146"/>
      <w:bookmarkEnd w:id="147"/>
    </w:p>
    <w:p w14:paraId="19F1BC4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7527F94B">
      <w:pPr>
        <w:spacing w:line="360" w:lineRule="auto"/>
        <w:ind w:firstLine="437"/>
        <w:outlineLvl w:val="1"/>
        <w:rPr>
          <w:rFonts w:asciiTheme="minorEastAsia" w:hAnsiTheme="minorEastAsia" w:eastAsiaTheme="minorEastAsia"/>
          <w:b/>
          <w:color w:val="auto"/>
          <w:sz w:val="24"/>
          <w:highlight w:val="none"/>
        </w:rPr>
      </w:pPr>
      <w:bookmarkStart w:id="148" w:name="_Toc9266"/>
      <w:bookmarkStart w:id="149" w:name="_Toc13117"/>
      <w:bookmarkStart w:id="150" w:name="_Toc24150"/>
      <w:bookmarkStart w:id="151" w:name="_Toc16459"/>
      <w:bookmarkStart w:id="152" w:name="_Toc31871"/>
      <w:r>
        <w:rPr>
          <w:rFonts w:hint="eastAsia" w:asciiTheme="minorEastAsia" w:hAnsiTheme="minorEastAsia" w:eastAsiaTheme="minorEastAsia"/>
          <w:b/>
          <w:color w:val="auto"/>
          <w:sz w:val="24"/>
          <w:highlight w:val="none"/>
        </w:rPr>
        <w:t>二、评标方法</w:t>
      </w:r>
      <w:bookmarkEnd w:id="148"/>
      <w:bookmarkEnd w:id="149"/>
      <w:bookmarkEnd w:id="150"/>
      <w:bookmarkEnd w:id="151"/>
      <w:bookmarkEnd w:id="152"/>
    </w:p>
    <w:p w14:paraId="40AD420F">
      <w:pPr>
        <w:spacing w:line="360" w:lineRule="auto"/>
        <w:ind w:firstLine="437"/>
        <w:outlineLvl w:val="2"/>
        <w:rPr>
          <w:rFonts w:hint="eastAsia" w:asciiTheme="minorEastAsia" w:hAnsiTheme="minorEastAsia" w:eastAsiaTheme="minorEastAsia"/>
          <w:color w:val="auto"/>
          <w:sz w:val="24"/>
          <w:highlight w:val="none"/>
        </w:rPr>
      </w:pPr>
      <w:bookmarkStart w:id="153" w:name="_Toc32034"/>
      <w:r>
        <w:rPr>
          <w:rFonts w:hint="eastAsia" w:asciiTheme="minorEastAsia" w:hAnsiTheme="minorEastAsia" w:eastAsiaTheme="minorEastAsia"/>
          <w:color w:val="auto"/>
          <w:sz w:val="24"/>
          <w:highlight w:val="none"/>
        </w:rPr>
        <w:t>2.1资格审查</w:t>
      </w:r>
      <w:bookmarkEnd w:id="153"/>
    </w:p>
    <w:tbl>
      <w:tblPr>
        <w:tblStyle w:val="24"/>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1651"/>
        <w:gridCol w:w="3548"/>
        <w:gridCol w:w="2905"/>
      </w:tblGrid>
      <w:tr w14:paraId="7F0E8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6AE99113">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5EDA5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tcBorders>
              <w:bottom w:val="single" w:color="auto" w:sz="4" w:space="0"/>
            </w:tcBorders>
            <w:vAlign w:val="center"/>
          </w:tcPr>
          <w:p w14:paraId="6EF5068C">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2" w:type="pct"/>
            <w:tcBorders>
              <w:bottom w:val="single" w:color="auto" w:sz="4" w:space="0"/>
            </w:tcBorders>
            <w:vAlign w:val="center"/>
          </w:tcPr>
          <w:p w14:paraId="11869532">
            <w:pPr>
              <w:pStyle w:val="44"/>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审查因素</w:t>
            </w:r>
          </w:p>
        </w:tc>
        <w:tc>
          <w:tcPr>
            <w:tcW w:w="2025" w:type="pct"/>
            <w:tcBorders>
              <w:bottom w:val="single" w:color="auto" w:sz="4" w:space="0"/>
            </w:tcBorders>
            <w:vAlign w:val="center"/>
          </w:tcPr>
          <w:p w14:paraId="42B470F8">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审查内容</w:t>
            </w:r>
          </w:p>
        </w:tc>
        <w:tc>
          <w:tcPr>
            <w:tcW w:w="1656" w:type="pct"/>
            <w:tcBorders>
              <w:bottom w:val="single" w:color="auto" w:sz="4" w:space="0"/>
            </w:tcBorders>
            <w:vAlign w:val="center"/>
          </w:tcPr>
          <w:p w14:paraId="55DEE12A">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29BB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5" w:type="pct"/>
            <w:tcBorders>
              <w:bottom w:val="single" w:color="auto" w:sz="4" w:space="0"/>
            </w:tcBorders>
            <w:vAlign w:val="center"/>
          </w:tcPr>
          <w:p w14:paraId="694D4209">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2" w:type="pct"/>
            <w:tcBorders>
              <w:bottom w:val="single" w:color="auto" w:sz="4" w:space="0"/>
            </w:tcBorders>
            <w:vAlign w:val="center"/>
          </w:tcPr>
          <w:p w14:paraId="07E3D5CB">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025" w:type="pct"/>
            <w:tcBorders>
              <w:bottom w:val="single" w:color="auto" w:sz="4" w:space="0"/>
            </w:tcBorders>
            <w:vAlign w:val="center"/>
          </w:tcPr>
          <w:p w14:paraId="2D206A20">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1AD42113">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6E619164">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11D3135A">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29D30936">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656" w:type="pct"/>
            <w:vAlign w:val="center"/>
          </w:tcPr>
          <w:p w14:paraId="6B7C513F">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5B239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5" w:type="pct"/>
            <w:tcBorders>
              <w:bottom w:val="single" w:color="auto" w:sz="4" w:space="0"/>
            </w:tcBorders>
            <w:vAlign w:val="center"/>
          </w:tcPr>
          <w:p w14:paraId="02DEF098">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2" w:type="pct"/>
            <w:tcBorders>
              <w:bottom w:val="single" w:color="auto" w:sz="4" w:space="0"/>
            </w:tcBorders>
            <w:vAlign w:val="center"/>
          </w:tcPr>
          <w:p w14:paraId="4FE2BB42">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025" w:type="pct"/>
            <w:tcBorders>
              <w:bottom w:val="single" w:color="auto" w:sz="4" w:space="0"/>
            </w:tcBorders>
            <w:vAlign w:val="center"/>
          </w:tcPr>
          <w:p w14:paraId="696248A5">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lang w:eastAsia="zh-CN"/>
              </w:rPr>
              <w:t>。</w:t>
            </w:r>
          </w:p>
        </w:tc>
        <w:tc>
          <w:tcPr>
            <w:tcW w:w="1656" w:type="pct"/>
            <w:vAlign w:val="center"/>
          </w:tcPr>
          <w:p w14:paraId="75138E7F">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773D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tcBorders>
              <w:bottom w:val="single" w:color="auto" w:sz="4" w:space="0"/>
            </w:tcBorders>
            <w:vAlign w:val="center"/>
          </w:tcPr>
          <w:p w14:paraId="7FF1CBD9">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2" w:type="pct"/>
            <w:tcBorders>
              <w:bottom w:val="single" w:color="auto" w:sz="4" w:space="0"/>
            </w:tcBorders>
            <w:vAlign w:val="center"/>
          </w:tcPr>
          <w:p w14:paraId="0E70A6B6">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025" w:type="pct"/>
            <w:tcBorders>
              <w:bottom w:val="single" w:color="auto" w:sz="4" w:space="0"/>
            </w:tcBorders>
            <w:vAlign w:val="center"/>
          </w:tcPr>
          <w:p w14:paraId="090CE335">
            <w:pPr>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zh-CN" w:eastAsia="zh-CN"/>
              </w:rPr>
              <w:t>投标人不得存在投标人须知正文第1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.2</w:t>
            </w:r>
            <w:r>
              <w:rPr>
                <w:rFonts w:hint="eastAsia" w:ascii="宋体" w:hAnsi="宋体" w:eastAsia="宋体" w:cs="宋体"/>
                <w:color w:val="auto"/>
                <w:sz w:val="24"/>
                <w:szCs w:val="24"/>
                <w:highlight w:val="none"/>
                <w:lang w:val="en-US" w:eastAsia="zh-CN"/>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656" w:type="pct"/>
            <w:tcBorders>
              <w:bottom w:val="single" w:color="auto" w:sz="4" w:space="0"/>
            </w:tcBorders>
            <w:vAlign w:val="center"/>
          </w:tcPr>
          <w:p w14:paraId="5CD1505C">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无须投标人</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供，由采购人或采购代理机构查询。</w:t>
            </w:r>
          </w:p>
        </w:tc>
      </w:tr>
      <w:tr w14:paraId="6F1F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5" w:type="pct"/>
            <w:vAlign w:val="center"/>
          </w:tcPr>
          <w:p w14:paraId="1E140DA6">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4</w:t>
            </w:r>
          </w:p>
        </w:tc>
        <w:tc>
          <w:tcPr>
            <w:tcW w:w="942" w:type="pct"/>
            <w:vAlign w:val="center"/>
          </w:tcPr>
          <w:p w14:paraId="34D8973F">
            <w:pPr>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2025" w:type="pct"/>
            <w:vAlign w:val="center"/>
          </w:tcPr>
          <w:p w14:paraId="6E4DCC4D">
            <w:pPr>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1656" w:type="pct"/>
            <w:vAlign w:val="center"/>
          </w:tcPr>
          <w:p w14:paraId="5D494857">
            <w:pPr>
              <w:spacing w:after="50" w:line="360" w:lineRule="auto"/>
              <w:ind w:right="-10"/>
              <w:jc w:val="both"/>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（1）中国境内（不含港、澳、台地区）制造商参与投标时，应具有投标产品相应有效的医疗器械生产许可证（适用第二类和第三类医疗器械）。</w:t>
            </w:r>
          </w:p>
          <w:p w14:paraId="7EAB58B4">
            <w:pPr>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（2）投标人应具有投标产品相应有效的医疗器械经营许可证（适用第三类医疗器械）或医疗器械经营备案凭证（适用第二类医疗器械）。</w:t>
            </w:r>
          </w:p>
        </w:tc>
      </w:tr>
    </w:tbl>
    <w:p w14:paraId="5C0F0F0D">
      <w:pPr>
        <w:spacing w:line="360" w:lineRule="auto"/>
        <w:ind w:firstLine="435"/>
        <w:rPr>
          <w:rFonts w:asciiTheme="minorEastAsia" w:hAnsiTheme="minorEastAsia" w:eastAsiaTheme="minorEastAsia"/>
          <w:b/>
          <w:bCs/>
          <w:color w:val="auto"/>
          <w:sz w:val="24"/>
          <w:highlight w:val="none"/>
        </w:rPr>
      </w:pPr>
      <w:r>
        <w:rPr>
          <w:rFonts w:hint="eastAsia" w:ascii="宋体" w:hAnsi="宋体" w:eastAsia="宋体"/>
          <w:b/>
          <w:bCs/>
          <w:color w:val="auto"/>
          <w:sz w:val="24"/>
          <w:highlight w:val="none"/>
        </w:rPr>
        <w:t>资格审查指标通过标准：资格审查由评标委员会审查，投标人必须通过资格审查表中的全部评审指标。</w:t>
      </w:r>
    </w:p>
    <w:p w14:paraId="2D1D94D0">
      <w:pPr>
        <w:spacing w:line="360" w:lineRule="auto"/>
        <w:ind w:firstLine="437"/>
        <w:outlineLvl w:val="2"/>
        <w:rPr>
          <w:rFonts w:asciiTheme="minorEastAsia" w:hAnsiTheme="minorEastAsia" w:eastAsiaTheme="minorEastAsia"/>
          <w:color w:val="auto"/>
          <w:sz w:val="24"/>
          <w:highlight w:val="none"/>
        </w:rPr>
      </w:pPr>
      <w:bookmarkStart w:id="154" w:name="_Toc6616"/>
      <w:r>
        <w:rPr>
          <w:rFonts w:hint="eastAsia" w:asciiTheme="minorEastAsia" w:hAnsiTheme="minorEastAsia" w:eastAsiaTheme="minorEastAsia"/>
          <w:color w:val="auto"/>
          <w:sz w:val="24"/>
          <w:highlight w:val="none"/>
        </w:rPr>
        <w:t>2.2符合性审查</w:t>
      </w:r>
      <w:bookmarkEnd w:id="154"/>
    </w:p>
    <w:p w14:paraId="129ACA9C">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2117"/>
        <w:gridCol w:w="3128"/>
        <w:gridCol w:w="2516"/>
      </w:tblGrid>
      <w:tr w14:paraId="7A2DD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725C2C4F">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04A3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7" w:type="pct"/>
            <w:tcBorders>
              <w:bottom w:val="single" w:color="auto" w:sz="4" w:space="0"/>
            </w:tcBorders>
            <w:vAlign w:val="center"/>
          </w:tcPr>
          <w:p w14:paraId="37E0F440">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242" w:type="pct"/>
            <w:tcBorders>
              <w:bottom w:val="single" w:color="auto" w:sz="4" w:space="0"/>
            </w:tcBorders>
            <w:vAlign w:val="center"/>
          </w:tcPr>
          <w:p w14:paraId="7EEA7CDE">
            <w:pPr>
              <w:pStyle w:val="44"/>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1835" w:type="pct"/>
            <w:tcBorders>
              <w:bottom w:val="single" w:color="auto" w:sz="4" w:space="0"/>
            </w:tcBorders>
            <w:vAlign w:val="center"/>
          </w:tcPr>
          <w:p w14:paraId="66528796">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1475" w:type="pct"/>
            <w:tcBorders>
              <w:bottom w:val="single" w:color="auto" w:sz="4" w:space="0"/>
            </w:tcBorders>
            <w:vAlign w:val="center"/>
          </w:tcPr>
          <w:p w14:paraId="275F9489">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05CA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3D38D85B">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42" w:type="pct"/>
            <w:vAlign w:val="center"/>
          </w:tcPr>
          <w:p w14:paraId="1AD2D963">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35" w:type="pct"/>
            <w:vAlign w:val="center"/>
          </w:tcPr>
          <w:p w14:paraId="5FFB2C9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5" w:type="pct"/>
            <w:vAlign w:val="center"/>
          </w:tcPr>
          <w:p w14:paraId="2F9F347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B69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2CBA361A">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42" w:type="pct"/>
            <w:vAlign w:val="center"/>
          </w:tcPr>
          <w:p w14:paraId="4E436A9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5" w:type="pct"/>
            <w:vAlign w:val="center"/>
          </w:tcPr>
          <w:p w14:paraId="71B88ED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5" w:type="pct"/>
            <w:vAlign w:val="center"/>
          </w:tcPr>
          <w:p w14:paraId="4FA487B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42B1B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058DB2FC">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42" w:type="pct"/>
            <w:vAlign w:val="center"/>
          </w:tcPr>
          <w:p w14:paraId="7495C38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5" w:type="pct"/>
            <w:vAlign w:val="center"/>
          </w:tcPr>
          <w:p w14:paraId="12C2E3F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5" w:type="pct"/>
            <w:vAlign w:val="center"/>
          </w:tcPr>
          <w:p w14:paraId="2D906B2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3EF1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49BE6863">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42" w:type="pct"/>
            <w:vAlign w:val="center"/>
          </w:tcPr>
          <w:p w14:paraId="7DAECA49">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5" w:type="pct"/>
            <w:vAlign w:val="center"/>
          </w:tcPr>
          <w:p w14:paraId="12C4EB26">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75" w:type="pct"/>
            <w:vAlign w:val="center"/>
          </w:tcPr>
          <w:p w14:paraId="20712899">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5ECD4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0255A01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42" w:type="pct"/>
            <w:vAlign w:val="center"/>
          </w:tcPr>
          <w:p w14:paraId="4D1992A2">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1835" w:type="pct"/>
            <w:vAlign w:val="center"/>
          </w:tcPr>
          <w:p w14:paraId="6CD21DB3">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符合招标文件采购需求中对付款方式、供货及安装期限、供货及安装地点、免费质保期</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75" w:type="pct"/>
            <w:vAlign w:val="center"/>
          </w:tcPr>
          <w:p w14:paraId="002ED430">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F876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35C6D096">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242" w:type="pct"/>
            <w:vAlign w:val="center"/>
          </w:tcPr>
          <w:p w14:paraId="5A915EFD">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技术响应情况</w:t>
            </w:r>
          </w:p>
        </w:tc>
        <w:tc>
          <w:tcPr>
            <w:tcW w:w="1835" w:type="pct"/>
            <w:vAlign w:val="center"/>
          </w:tcPr>
          <w:p w14:paraId="67394AE6">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lang w:val="en-US" w:eastAsia="zh-CN"/>
              </w:rPr>
              <w:t>不存在招标文件采购需求 “货物需求相关标识符号说明”中投标无效的情形</w:t>
            </w:r>
          </w:p>
        </w:tc>
        <w:tc>
          <w:tcPr>
            <w:tcW w:w="1475" w:type="pct"/>
            <w:vAlign w:val="center"/>
          </w:tcPr>
          <w:p w14:paraId="4DF86823">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7272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1" w:hRule="atLeast"/>
          <w:jc w:val="center"/>
        </w:trPr>
        <w:tc>
          <w:tcPr>
            <w:tcW w:w="447" w:type="pct"/>
            <w:vAlign w:val="center"/>
          </w:tcPr>
          <w:p w14:paraId="154CD6A7">
            <w:pPr>
              <w:adjustRightInd w:val="0"/>
              <w:snapToGrid w:val="0"/>
              <w:spacing w:line="360" w:lineRule="auto"/>
              <w:ind w:right="-1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7</w:t>
            </w:r>
          </w:p>
        </w:tc>
        <w:tc>
          <w:tcPr>
            <w:tcW w:w="1242" w:type="pct"/>
            <w:vAlign w:val="center"/>
          </w:tcPr>
          <w:p w14:paraId="0BB098D8">
            <w:pPr>
              <w:spacing w:after="50" w:line="360" w:lineRule="auto"/>
              <w:ind w:right="-1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所投产品要求</w:t>
            </w:r>
          </w:p>
        </w:tc>
        <w:tc>
          <w:tcPr>
            <w:tcW w:w="1835" w:type="pct"/>
            <w:vAlign w:val="center"/>
          </w:tcPr>
          <w:p w14:paraId="2AA47693">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符合招标文件采购需求要求</w:t>
            </w:r>
          </w:p>
        </w:tc>
        <w:tc>
          <w:tcPr>
            <w:tcW w:w="1475" w:type="pct"/>
            <w:vAlign w:val="center"/>
          </w:tcPr>
          <w:p w14:paraId="65F3DDF3">
            <w:pPr>
              <w:adjustRightInd w:val="0"/>
              <w:snapToGrid w:val="0"/>
              <w:spacing w:line="360" w:lineRule="auto"/>
              <w:ind w:right="-10"/>
              <w:jc w:val="center"/>
              <w:rPr>
                <w:rFonts w:hint="eastAsia" w:asciiTheme="minorEastAsia" w:hAnsiTheme="minorEastAsia" w:eastAsiaTheme="minorEastAsia"/>
                <w:color w:val="auto"/>
                <w:sz w:val="24"/>
                <w:highlight w:val="none"/>
              </w:rPr>
            </w:pPr>
            <w:r>
              <w:rPr>
                <w:rFonts w:hint="eastAsia" w:ascii="宋体" w:hAnsi="宋体" w:eastAsia="宋体"/>
                <w:b/>
                <w:bCs/>
                <w:color w:val="auto"/>
                <w:sz w:val="24"/>
                <w:szCs w:val="18"/>
                <w:highlight w:val="none"/>
                <w:lang w:val="en-US" w:eastAsia="zh-CN"/>
              </w:rPr>
              <w:t>投标产品具有相应有效的医疗器械注册证（适用第二类和第三类医疗器械）或备案凭证（适用第一类医疗器械）</w:t>
            </w:r>
            <w:r>
              <w:rPr>
                <w:rFonts w:hint="eastAsia" w:ascii="宋体" w:hAnsi="宋体" w:eastAsia="宋体" w:cs="宋体"/>
                <w:b/>
                <w:bCs/>
                <w:color w:val="auto"/>
                <w:kern w:val="0"/>
                <w:sz w:val="24"/>
                <w:szCs w:val="24"/>
                <w:highlight w:val="none"/>
                <w:lang w:bidi="ar"/>
              </w:rPr>
              <w:t>。</w:t>
            </w:r>
          </w:p>
        </w:tc>
      </w:tr>
      <w:tr w14:paraId="2689D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vAlign w:val="center"/>
          </w:tcPr>
          <w:p w14:paraId="513C348D">
            <w:pPr>
              <w:adjustRightInd w:val="0"/>
              <w:snapToGrid w:val="0"/>
              <w:spacing w:line="360" w:lineRule="auto"/>
              <w:ind w:right="-10"/>
              <w:jc w:val="center"/>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w:t>
            </w:r>
          </w:p>
        </w:tc>
        <w:tc>
          <w:tcPr>
            <w:tcW w:w="1242" w:type="pct"/>
            <w:vAlign w:val="center"/>
          </w:tcPr>
          <w:p w14:paraId="0455BC17">
            <w:pPr>
              <w:spacing w:after="50" w:line="360" w:lineRule="auto"/>
              <w:ind w:right="-10"/>
              <w:jc w:val="center"/>
              <w:rPr>
                <w:rFonts w:hint="default" w:asciiTheme="minorEastAsia" w:hAnsiTheme="minorEastAsia" w:eastAsiaTheme="minorEastAsia"/>
                <w:color w:val="auto"/>
                <w:sz w:val="24"/>
                <w:szCs w:val="28"/>
                <w:highlight w:val="none"/>
                <w:lang w:val="en-US" w:eastAsia="zh-CN"/>
              </w:rPr>
            </w:pPr>
            <w:r>
              <w:rPr>
                <w:rFonts w:hint="eastAsia" w:asciiTheme="minorEastAsia" w:hAnsiTheme="minorEastAsia" w:eastAsiaTheme="minorEastAsia"/>
                <w:color w:val="auto"/>
                <w:sz w:val="24"/>
                <w:szCs w:val="28"/>
                <w:highlight w:val="none"/>
                <w:lang w:val="en-US" w:eastAsia="zh-CN"/>
              </w:rPr>
              <w:t>投标保证金</w:t>
            </w:r>
          </w:p>
        </w:tc>
        <w:tc>
          <w:tcPr>
            <w:tcW w:w="1835" w:type="pct"/>
            <w:vAlign w:val="center"/>
          </w:tcPr>
          <w:p w14:paraId="50FD4074">
            <w:pPr>
              <w:spacing w:after="50" w:line="360" w:lineRule="auto"/>
              <w:ind w:right="-10" w:rightChars="0"/>
              <w:jc w:val="center"/>
              <w:rPr>
                <w:rFonts w:hint="eastAsia"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w:t>
            </w:r>
            <w:r>
              <w:rPr>
                <w:rFonts w:hint="eastAsia" w:asciiTheme="minorEastAsia" w:hAnsiTheme="minorEastAsia" w:eastAsiaTheme="minorEastAsia"/>
                <w:color w:val="auto"/>
                <w:sz w:val="24"/>
                <w:szCs w:val="28"/>
                <w:highlight w:val="none"/>
                <w:lang w:eastAsia="zh-CN"/>
              </w:rPr>
              <w:t>“10.1</w:t>
            </w:r>
            <w:r>
              <w:rPr>
                <w:rFonts w:hint="eastAsia" w:asciiTheme="minorEastAsia" w:hAnsiTheme="minorEastAsia" w:eastAsiaTheme="minorEastAsia"/>
                <w:color w:val="auto"/>
                <w:sz w:val="24"/>
                <w:szCs w:val="28"/>
                <w:highlight w:val="none"/>
                <w:lang w:val="en-US" w:eastAsia="zh-CN"/>
              </w:rPr>
              <w:t xml:space="preserve">  </w:t>
            </w:r>
            <w:r>
              <w:rPr>
                <w:rFonts w:hint="eastAsia" w:asciiTheme="minorEastAsia" w:hAnsiTheme="minorEastAsia" w:eastAsiaTheme="minorEastAsia"/>
                <w:color w:val="auto"/>
                <w:sz w:val="24"/>
                <w:szCs w:val="28"/>
                <w:highlight w:val="none"/>
                <w:lang w:eastAsia="zh-CN"/>
              </w:rPr>
              <w:t>投标保证金”</w:t>
            </w:r>
            <w:r>
              <w:rPr>
                <w:rFonts w:hint="eastAsia" w:asciiTheme="minorEastAsia" w:hAnsiTheme="minorEastAsia" w:eastAsiaTheme="minorEastAsia"/>
                <w:color w:val="auto"/>
                <w:sz w:val="24"/>
                <w:szCs w:val="28"/>
                <w:highlight w:val="none"/>
              </w:rPr>
              <w:t>要求</w:t>
            </w:r>
          </w:p>
        </w:tc>
        <w:tc>
          <w:tcPr>
            <w:tcW w:w="1475" w:type="pct"/>
            <w:vAlign w:val="center"/>
          </w:tcPr>
          <w:p w14:paraId="45D2B4D3">
            <w:pPr>
              <w:adjustRightInd w:val="0"/>
              <w:snapToGrid w:val="0"/>
              <w:spacing w:line="360" w:lineRule="auto"/>
              <w:ind w:right="-10"/>
              <w:jc w:val="center"/>
              <w:rPr>
                <w:rFonts w:hint="eastAsia" w:ascii="宋体" w:hAnsi="宋体" w:eastAsia="宋体"/>
                <w:b/>
                <w:bCs/>
                <w:color w:val="auto"/>
                <w:sz w:val="24"/>
                <w:szCs w:val="18"/>
                <w:highlight w:val="none"/>
                <w:lang w:val="en-US" w:eastAsia="zh-CN"/>
              </w:rPr>
            </w:pPr>
          </w:p>
        </w:tc>
      </w:tr>
      <w:tr w14:paraId="1109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7" w:type="pct"/>
            <w:shd w:val="clear" w:color="auto" w:fill="auto"/>
            <w:vAlign w:val="center"/>
          </w:tcPr>
          <w:p w14:paraId="5DC0704F">
            <w:pPr>
              <w:adjustRightInd w:val="0"/>
              <w:snapToGrid w:val="0"/>
              <w:spacing w:line="360" w:lineRule="auto"/>
              <w:ind w:right="-10" w:rightChars="0"/>
              <w:jc w:val="center"/>
              <w:rPr>
                <w:rFonts w:hint="eastAsia" w:cs="@仿宋_GB2312"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sz w:val="24"/>
                <w:highlight w:val="none"/>
                <w:lang w:val="en-US" w:eastAsia="zh-CN"/>
              </w:rPr>
              <w:t>9</w:t>
            </w:r>
          </w:p>
        </w:tc>
        <w:tc>
          <w:tcPr>
            <w:tcW w:w="1242" w:type="pct"/>
            <w:shd w:val="clear" w:color="auto" w:fill="auto"/>
            <w:vAlign w:val="center"/>
          </w:tcPr>
          <w:p w14:paraId="13B4D9A7">
            <w:pPr>
              <w:spacing w:after="50" w:line="360" w:lineRule="auto"/>
              <w:ind w:right="-10" w:rightChars="0"/>
              <w:jc w:val="center"/>
              <w:rPr>
                <w:rFonts w:hint="eastAsia"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投标文件四码查询</w:t>
            </w:r>
          </w:p>
        </w:tc>
        <w:tc>
          <w:tcPr>
            <w:tcW w:w="1835" w:type="pct"/>
            <w:shd w:val="clear" w:color="auto" w:fill="auto"/>
            <w:vAlign w:val="center"/>
          </w:tcPr>
          <w:p w14:paraId="7F092F3E">
            <w:pPr>
              <w:spacing w:after="50" w:line="360" w:lineRule="auto"/>
              <w:ind w:right="-10" w:rightChars="0"/>
              <w:jc w:val="center"/>
              <w:rPr>
                <w:rFonts w:hint="eastAsia"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不同投标人投标文件制作机器码、文件创建标识码、文件上传IP地址、文件上传MAC地址不得相同。</w:t>
            </w:r>
          </w:p>
        </w:tc>
        <w:tc>
          <w:tcPr>
            <w:tcW w:w="1475" w:type="pct"/>
            <w:vAlign w:val="center"/>
          </w:tcPr>
          <w:p w14:paraId="0AFDA4DA">
            <w:pPr>
              <w:adjustRightInd w:val="0"/>
              <w:snapToGrid w:val="0"/>
              <w:spacing w:line="360" w:lineRule="auto"/>
              <w:ind w:right="-10"/>
              <w:jc w:val="center"/>
              <w:rPr>
                <w:rFonts w:asciiTheme="minorEastAsia" w:hAnsiTheme="minorEastAsia" w:eastAsiaTheme="minorEastAsia"/>
                <w:color w:val="auto"/>
                <w:sz w:val="24"/>
                <w:highlight w:val="none"/>
              </w:rPr>
            </w:pPr>
          </w:p>
        </w:tc>
      </w:tr>
      <w:tr w14:paraId="7CE2E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24610666">
            <w:pPr>
              <w:adjustRightInd w:val="0"/>
              <w:snapToGrid w:val="0"/>
              <w:spacing w:line="360" w:lineRule="auto"/>
              <w:ind w:right="-10" w:rightChars="0"/>
              <w:jc w:val="center"/>
              <w:rPr>
                <w:rFonts w:hint="default" w:cs="@仿宋_GB2312" w:asciiTheme="minorEastAsia" w:hAnsiTheme="minorEastAsia" w:eastAsiaTheme="minorEastAsia"/>
                <w:color w:val="auto"/>
                <w:kern w:val="2"/>
                <w:sz w:val="24"/>
                <w:highlight w:val="none"/>
                <w:lang w:val="en-US" w:eastAsia="zh-CN" w:bidi="ar-SA"/>
              </w:rPr>
            </w:pPr>
            <w:r>
              <w:rPr>
                <w:rFonts w:hint="eastAsia" w:asciiTheme="minorEastAsia" w:hAnsiTheme="minorEastAsia" w:eastAsiaTheme="minorEastAsia"/>
                <w:color w:val="auto"/>
                <w:sz w:val="24"/>
                <w:highlight w:val="none"/>
                <w:lang w:val="en-US" w:eastAsia="zh-CN"/>
              </w:rPr>
              <w:t>10</w:t>
            </w:r>
          </w:p>
        </w:tc>
        <w:tc>
          <w:tcPr>
            <w:tcW w:w="0" w:type="auto"/>
            <w:shd w:val="clear" w:color="auto" w:fill="auto"/>
            <w:vAlign w:val="center"/>
          </w:tcPr>
          <w:p w14:paraId="7115E0F3">
            <w:pPr>
              <w:spacing w:after="50" w:line="360" w:lineRule="auto"/>
              <w:ind w:right="-10" w:rightChars="0"/>
              <w:jc w:val="center"/>
              <w:rPr>
                <w:rFonts w:hint="eastAsia"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其他要求</w:t>
            </w:r>
          </w:p>
        </w:tc>
        <w:tc>
          <w:tcPr>
            <w:tcW w:w="0" w:type="auto"/>
            <w:shd w:val="clear" w:color="auto" w:fill="auto"/>
            <w:vAlign w:val="center"/>
          </w:tcPr>
          <w:p w14:paraId="51666389">
            <w:pPr>
              <w:spacing w:after="50" w:line="360" w:lineRule="auto"/>
              <w:ind w:right="-10" w:rightChars="0"/>
              <w:jc w:val="center"/>
              <w:rPr>
                <w:rFonts w:hint="eastAsia" w:cs="@仿宋_GB2312" w:asciiTheme="minorEastAsia" w:hAnsiTheme="minorEastAsia" w:eastAsiaTheme="minorEastAsia"/>
                <w:color w:val="auto"/>
                <w:kern w:val="2"/>
                <w:sz w:val="24"/>
                <w:szCs w:val="28"/>
                <w:highlight w:val="none"/>
                <w:lang w:val="en-US" w:eastAsia="zh-CN" w:bidi="ar-SA"/>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实质性要求</w:t>
            </w:r>
          </w:p>
        </w:tc>
        <w:tc>
          <w:tcPr>
            <w:tcW w:w="0" w:type="auto"/>
          </w:tcPr>
          <w:p w14:paraId="61F426AE">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37A78180">
      <w:pPr>
        <w:spacing w:line="360" w:lineRule="auto"/>
        <w:ind w:firstLine="435"/>
        <w:rPr>
          <w:rFonts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宋体" w:hAnsi="宋体" w:eastAsia="宋体"/>
          <w:b/>
          <w:bCs/>
          <w:color w:val="auto"/>
          <w:sz w:val="24"/>
          <w:highlight w:val="none"/>
        </w:rPr>
        <w:t>资格审查由评标委员会审查，</w:t>
      </w:r>
      <w:r>
        <w:rPr>
          <w:rFonts w:hint="eastAsia" w:asciiTheme="minorEastAsia" w:hAnsiTheme="minorEastAsia" w:eastAsiaTheme="minorEastAsia"/>
          <w:b/>
          <w:bCs/>
          <w:color w:val="auto"/>
          <w:sz w:val="24"/>
          <w:highlight w:val="none"/>
        </w:rPr>
        <w:t>投标人必须通过符合性审查表中的全部评审指标。</w:t>
      </w:r>
    </w:p>
    <w:p w14:paraId="37A2601D">
      <w:pPr>
        <w:spacing w:line="360" w:lineRule="auto"/>
        <w:ind w:firstLine="435"/>
        <w:outlineLvl w:val="2"/>
        <w:rPr>
          <w:rFonts w:hint="eastAsia" w:asciiTheme="minorEastAsia" w:hAnsiTheme="minorEastAsia" w:eastAsiaTheme="minorEastAsia"/>
          <w:color w:val="auto"/>
          <w:sz w:val="24"/>
          <w:highlight w:val="none"/>
        </w:rPr>
      </w:pPr>
      <w:bookmarkStart w:id="155" w:name="_Toc818"/>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bookmarkEnd w:id="155"/>
    </w:p>
    <w:tbl>
      <w:tblPr>
        <w:tblStyle w:val="24"/>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38B5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0490FDDC">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0B914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3D11B06C">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1685EC71">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48227F1E">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75A52B50">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398B6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03712B20">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6544B483">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4BD8CA1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bCs/>
                <w:i w:val="0"/>
                <w:iCs w:val="0"/>
                <w:color w:val="auto"/>
                <w:sz w:val="24"/>
                <w:szCs w:val="24"/>
                <w:highlight w:val="none"/>
                <w:u w:val="single"/>
                <w:lang w:val="en-US" w:eastAsia="zh-CN"/>
              </w:rPr>
              <w:t>50%</w:t>
            </w:r>
            <w:r>
              <w:rPr>
                <w:rFonts w:hint="eastAsia" w:ascii="宋体" w:hAnsi="宋体" w:eastAsia="宋体" w:cs="宋体"/>
                <w:b/>
                <w:bCs/>
                <w:i w:val="0"/>
                <w:iCs w:val="0"/>
                <w:color w:val="auto"/>
                <w:sz w:val="24"/>
                <w:szCs w:val="24"/>
                <w:highlight w:val="none"/>
                <w:u w:val="none"/>
                <w:lang w:val="en-US" w:eastAsia="zh-CN"/>
              </w:rPr>
              <w:t>；</w:t>
            </w:r>
          </w:p>
          <w:p w14:paraId="26DD9D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bCs/>
                <w:i w:val="0"/>
                <w:iCs w:val="0"/>
                <w:color w:val="auto"/>
                <w:sz w:val="24"/>
                <w:szCs w:val="24"/>
                <w:highlight w:val="none"/>
                <w:u w:val="single"/>
                <w:lang w:val="en-US" w:eastAsia="zh-CN"/>
              </w:rPr>
              <w:t>50%</w:t>
            </w:r>
            <w:r>
              <w:rPr>
                <w:rFonts w:hint="eastAsia" w:ascii="宋体" w:hAnsi="宋体" w:eastAsia="宋体" w:cs="宋体"/>
                <w:b/>
                <w:bCs/>
                <w:i w:val="0"/>
                <w:iCs w:val="0"/>
                <w:color w:val="auto"/>
                <w:sz w:val="24"/>
                <w:szCs w:val="24"/>
                <w:highlight w:val="none"/>
                <w:u w:val="none"/>
                <w:lang w:val="en-US" w:eastAsia="zh-CN"/>
              </w:rPr>
              <w:t>；</w:t>
            </w:r>
          </w:p>
          <w:p w14:paraId="22221B0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bCs/>
                <w:i w:val="0"/>
                <w:iCs w:val="0"/>
                <w:color w:val="auto"/>
                <w:sz w:val="24"/>
                <w:szCs w:val="24"/>
                <w:highlight w:val="none"/>
                <w:u w:val="single"/>
                <w:lang w:val="en-US" w:eastAsia="zh-CN"/>
              </w:rPr>
              <w:t>45%</w:t>
            </w:r>
            <w:r>
              <w:rPr>
                <w:rFonts w:hint="eastAsia" w:ascii="宋体" w:hAnsi="宋体" w:eastAsia="宋体" w:cs="宋体"/>
                <w:b/>
                <w:bCs/>
                <w:i w:val="0"/>
                <w:iCs w:val="0"/>
                <w:color w:val="auto"/>
                <w:sz w:val="24"/>
                <w:szCs w:val="24"/>
                <w:highlight w:val="none"/>
                <w:u w:val="none"/>
                <w:lang w:val="en-US" w:eastAsia="zh-CN"/>
              </w:rPr>
              <w:t>；</w:t>
            </w:r>
          </w:p>
          <w:p w14:paraId="6A90AA2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highlight w:val="none"/>
                <w:lang w:val="en-US" w:eastAsia="zh-CN" w:bidi="ar-SA"/>
              </w:rPr>
            </w:pPr>
            <w:r>
              <w:rPr>
                <w:rFonts w:hint="eastAsia" w:ascii="宋体" w:hAnsi="宋体" w:eastAsia="宋体" w:cs="宋体"/>
                <w:color w:val="auto"/>
                <w:kern w:val="2"/>
                <w:sz w:val="24"/>
                <w:highlight w:val="none"/>
                <w:lang w:val="en-US" w:eastAsia="zh-CN" w:bidi="ar-SA"/>
              </w:rPr>
              <w:t>（4）评标委员会基于专业判断，认为投标人报价过低，有可能影响产品质量或者不能诚信履约的其他情形。</w:t>
            </w:r>
          </w:p>
          <w:p w14:paraId="23C179B8">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0B014BAB">
            <w:pPr>
              <w:pStyle w:val="7"/>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483833C3">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4F028160">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1A071BDD">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1CABF238">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262C0784">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49D55E2D">
      <w:pPr>
        <w:spacing w:line="360" w:lineRule="auto"/>
        <w:ind w:firstLine="437"/>
        <w:outlineLvl w:val="2"/>
        <w:rPr>
          <w:rFonts w:asciiTheme="minorEastAsia" w:hAnsiTheme="minorEastAsia" w:eastAsiaTheme="minorEastAsia"/>
          <w:color w:val="auto"/>
          <w:sz w:val="24"/>
          <w:highlight w:val="none"/>
        </w:rPr>
      </w:pPr>
      <w:bookmarkStart w:id="156" w:name="_Toc7461"/>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bookmarkEnd w:id="156"/>
    </w:p>
    <w:p w14:paraId="285FBC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784909A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1720"/>
        <w:gridCol w:w="3745"/>
        <w:gridCol w:w="1581"/>
      </w:tblGrid>
      <w:tr w14:paraId="210E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66" w:type="pct"/>
            <w:tcBorders>
              <w:top w:val="single" w:color="auto" w:sz="4" w:space="0"/>
              <w:left w:val="single" w:color="auto" w:sz="4" w:space="0"/>
              <w:bottom w:val="single" w:color="auto" w:sz="4" w:space="0"/>
              <w:right w:val="single" w:color="auto" w:sz="4" w:space="0"/>
            </w:tcBorders>
            <w:vAlign w:val="center"/>
          </w:tcPr>
          <w:p w14:paraId="3A89393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类别</w:t>
            </w:r>
          </w:p>
        </w:tc>
        <w:tc>
          <w:tcPr>
            <w:tcW w:w="1009" w:type="pct"/>
            <w:tcBorders>
              <w:top w:val="single" w:color="auto" w:sz="4" w:space="0"/>
              <w:left w:val="single" w:color="auto" w:sz="4" w:space="0"/>
              <w:bottom w:val="single" w:color="auto" w:sz="4" w:space="0"/>
              <w:right w:val="single" w:color="auto" w:sz="4" w:space="0"/>
            </w:tcBorders>
            <w:vAlign w:val="center"/>
          </w:tcPr>
          <w:p w14:paraId="14068F5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评分内容</w:t>
            </w:r>
          </w:p>
        </w:tc>
        <w:tc>
          <w:tcPr>
            <w:tcW w:w="2197" w:type="pct"/>
            <w:tcBorders>
              <w:top w:val="single" w:color="auto" w:sz="4" w:space="0"/>
              <w:left w:val="single" w:color="auto" w:sz="4" w:space="0"/>
              <w:bottom w:val="single" w:color="auto" w:sz="4" w:space="0"/>
              <w:right w:val="single" w:color="auto" w:sz="4" w:space="0"/>
            </w:tcBorders>
            <w:vAlign w:val="center"/>
          </w:tcPr>
          <w:p w14:paraId="2F9E0AE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评分标准</w:t>
            </w:r>
          </w:p>
        </w:tc>
        <w:tc>
          <w:tcPr>
            <w:tcW w:w="926" w:type="pct"/>
            <w:tcBorders>
              <w:top w:val="single" w:color="auto" w:sz="4" w:space="0"/>
              <w:left w:val="single" w:color="auto" w:sz="4" w:space="0"/>
              <w:bottom w:val="single" w:color="auto" w:sz="4" w:space="0"/>
              <w:right w:val="single" w:color="auto" w:sz="4" w:space="0"/>
            </w:tcBorders>
            <w:vAlign w:val="center"/>
          </w:tcPr>
          <w:p w14:paraId="204AEBE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分值范围</w:t>
            </w:r>
          </w:p>
        </w:tc>
      </w:tr>
      <w:tr w14:paraId="56156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restart"/>
            <w:tcBorders>
              <w:top w:val="single" w:color="auto" w:sz="4" w:space="0"/>
              <w:left w:val="single" w:color="auto" w:sz="4" w:space="0"/>
              <w:right w:val="single" w:color="auto" w:sz="4" w:space="0"/>
            </w:tcBorders>
            <w:vAlign w:val="center"/>
          </w:tcPr>
          <w:p w14:paraId="5C7CD238">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技术资信分</w:t>
            </w:r>
          </w:p>
          <w:p w14:paraId="127C554B">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70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分）</w:t>
            </w:r>
          </w:p>
        </w:tc>
        <w:tc>
          <w:tcPr>
            <w:tcW w:w="1009" w:type="pct"/>
            <w:tcBorders>
              <w:top w:val="single" w:color="auto" w:sz="4" w:space="0"/>
              <w:left w:val="single" w:color="auto" w:sz="4" w:space="0"/>
              <w:bottom w:val="single" w:color="auto" w:sz="4" w:space="0"/>
              <w:right w:val="single" w:color="auto" w:sz="4" w:space="0"/>
            </w:tcBorders>
            <w:vAlign w:val="center"/>
          </w:tcPr>
          <w:p w14:paraId="0BE8B62D">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lang w:val="en-US" w:eastAsia="zh-CN"/>
              </w:rPr>
              <w:t>技术参数及要求</w:t>
            </w:r>
          </w:p>
        </w:tc>
        <w:tc>
          <w:tcPr>
            <w:tcW w:w="3745" w:type="dxa"/>
            <w:tcBorders>
              <w:top w:val="single" w:color="auto" w:sz="4" w:space="0"/>
              <w:left w:val="single" w:color="auto" w:sz="4" w:space="0"/>
              <w:bottom w:val="single" w:color="auto" w:sz="4" w:space="0"/>
              <w:right w:val="single" w:color="auto" w:sz="4" w:space="0"/>
            </w:tcBorders>
            <w:vAlign w:val="center"/>
          </w:tcPr>
          <w:p w14:paraId="0139DABC">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技术指标及参数的响应程度：</w:t>
            </w:r>
          </w:p>
          <w:p w14:paraId="05ECCE5C">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1、完全满足招标文件采购需求“</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二</w:t>
            </w:r>
            <w:r>
              <w:rPr>
                <w:rFonts w:hint="eastAsia" w:ascii="宋体" w:hAnsi="宋体" w:eastAsia="宋体" w:cs="宋体"/>
                <w:b w:val="0"/>
                <w:bCs w:val="0"/>
                <w:color w:val="auto"/>
                <w:sz w:val="24"/>
                <w:szCs w:val="24"/>
                <w:highlight w:val="none"/>
              </w:rPr>
              <w:t>. 技术要求”中要求的得</w:t>
            </w:r>
            <w:r>
              <w:rPr>
                <w:rFonts w:hint="eastAsia" w:ascii="宋体" w:hAnsi="宋体" w:eastAsia="宋体" w:cs="宋体"/>
                <w:b w:val="0"/>
                <w:bCs w:val="0"/>
                <w:color w:val="auto"/>
                <w:sz w:val="24"/>
                <w:szCs w:val="24"/>
                <w:highlight w:val="none"/>
                <w:u w:val="single"/>
              </w:rPr>
              <w:t>4</w:t>
            </w:r>
            <w:r>
              <w:rPr>
                <w:rFonts w:hint="eastAsia" w:ascii="宋体" w:hAnsi="宋体" w:eastAsia="宋体" w:cs="宋体"/>
                <w:b w:val="0"/>
                <w:bCs w:val="0"/>
                <w:color w:val="auto"/>
                <w:sz w:val="24"/>
                <w:szCs w:val="24"/>
                <w:highlight w:val="none"/>
                <w:u w:val="single"/>
                <w:lang w:val="en-US" w:eastAsia="zh-CN"/>
              </w:rPr>
              <w:t>9</w:t>
            </w:r>
            <w:r>
              <w:rPr>
                <w:rFonts w:hint="eastAsia" w:ascii="宋体" w:hAnsi="宋体" w:eastAsia="宋体" w:cs="宋体"/>
                <w:b w:val="0"/>
                <w:bCs w:val="0"/>
                <w:color w:val="auto"/>
                <w:sz w:val="24"/>
                <w:szCs w:val="24"/>
                <w:highlight w:val="none"/>
              </w:rPr>
              <w:t>分；</w:t>
            </w:r>
          </w:p>
          <w:p w14:paraId="44E3E645">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2、招标文件采购需求“</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二</w:t>
            </w:r>
            <w:r>
              <w:rPr>
                <w:rFonts w:hint="eastAsia" w:ascii="宋体" w:hAnsi="宋体" w:eastAsia="宋体" w:cs="宋体"/>
                <w:b w:val="0"/>
                <w:bCs w:val="0"/>
                <w:color w:val="auto"/>
                <w:sz w:val="24"/>
                <w:szCs w:val="24"/>
                <w:highlight w:val="none"/>
              </w:rPr>
              <w:t>. 技术要求”中：标注“</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”号的条款，每有一项负偏离扣</w:t>
            </w:r>
            <w:r>
              <w:rPr>
                <w:rFonts w:hint="eastAsia" w:ascii="宋体" w:hAnsi="宋体" w:eastAsia="宋体" w:cs="宋体"/>
                <w:b w:val="0"/>
                <w:bCs w:val="0"/>
                <w:color w:val="auto"/>
                <w:sz w:val="24"/>
                <w:szCs w:val="24"/>
                <w:highlight w:val="none"/>
                <w:u w:val="single"/>
                <w:lang w:val="en-US" w:eastAsia="zh-CN"/>
              </w:rPr>
              <w:t xml:space="preserve"> / </w:t>
            </w:r>
            <w:r>
              <w:rPr>
                <w:rFonts w:hint="eastAsia" w:ascii="宋体" w:hAnsi="宋体" w:eastAsia="宋体" w:cs="宋体"/>
                <w:b w:val="0"/>
                <w:bCs w:val="0"/>
                <w:color w:val="auto"/>
                <w:sz w:val="24"/>
                <w:szCs w:val="24"/>
                <w:highlight w:val="none"/>
              </w:rPr>
              <w:t>分；未标注“</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”号的条款，每有一项负偏离扣</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lang w:val="en-US" w:eastAsia="zh-CN"/>
              </w:rPr>
              <w:t>2</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rPr>
              <w:t>分；本项分数扣完为止，不计负分。</w:t>
            </w:r>
          </w:p>
          <w:p w14:paraId="1D88E251">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Cs/>
                <w:color w:val="auto"/>
                <w:sz w:val="24"/>
                <w:highlight w:val="none"/>
              </w:rPr>
            </w:pPr>
            <w:r>
              <w:rPr>
                <w:rFonts w:hint="eastAsia" w:ascii="宋体" w:hAnsi="宋体" w:eastAsia="宋体" w:cs="宋体"/>
                <w:b w:val="0"/>
                <w:bCs w:val="0"/>
                <w:color w:val="auto"/>
                <w:sz w:val="24"/>
                <w:szCs w:val="24"/>
                <w:highlight w:val="none"/>
              </w:rPr>
              <w:t>注：①投标人对“</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二</w:t>
            </w:r>
            <w:r>
              <w:rPr>
                <w:rFonts w:hint="eastAsia" w:ascii="宋体" w:hAnsi="宋体" w:eastAsia="宋体" w:cs="宋体"/>
                <w:b w:val="0"/>
                <w:bCs w:val="0"/>
                <w:color w:val="auto"/>
                <w:sz w:val="24"/>
                <w:szCs w:val="24"/>
                <w:highlight w:val="none"/>
              </w:rPr>
              <w:t>. 技术要求”应按投标文件格式要求一一对应详细填写，并备注技术支持资料页码，缺项的视为负偏离。②标注“</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”号的条款必须同时提供相关证明材料（指产品彩页、技术白皮书、产品说明书、检测/检验报告或“</w:t>
            </w:r>
            <w:r>
              <w:rPr>
                <w:rFonts w:hint="eastAsia" w:ascii="宋体" w:hAnsi="宋体" w:eastAsia="宋体" w:cs="宋体"/>
                <w:b w:val="0"/>
                <w:bCs w:val="0"/>
                <w:color w:val="000000" w:themeColor="text1"/>
                <w:sz w:val="24"/>
                <w:szCs w:val="24"/>
                <w:highlight w:val="none"/>
                <w:lang w:eastAsia="zh-CN"/>
                <w14:textFill>
                  <w14:solidFill>
                    <w14:schemeClr w14:val="tx1"/>
                  </w14:solidFill>
                </w14:textFill>
              </w:rPr>
              <w:t>二</w:t>
            </w:r>
            <w:r>
              <w:rPr>
                <w:rFonts w:hint="eastAsia" w:ascii="宋体" w:hAnsi="宋体" w:eastAsia="宋体" w:cs="宋体"/>
                <w:b w:val="0"/>
                <w:bCs w:val="0"/>
                <w:color w:val="auto"/>
                <w:sz w:val="24"/>
                <w:szCs w:val="24"/>
                <w:highlight w:val="none"/>
              </w:rPr>
              <w:t>.技术要求”中要求的其他证明材料等支持资料的任意一类），并对证明材料的相关评审内容尽量作出明确的标示（如下划线、背景颜色等），无证明材料的视为负偏离；③未标注“</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号的条款按照对应参数要求提供证明材料（未提供证明材料的不得分），若对应参数没有要求提供证明材料，投标人可以不提供证明材料，投标人须真实填写技术规格响应情况表，评标委员会按照技术规格响应情况表响应情况进行评审。</w:t>
            </w:r>
          </w:p>
        </w:tc>
        <w:tc>
          <w:tcPr>
            <w:tcW w:w="926" w:type="pct"/>
            <w:tcBorders>
              <w:top w:val="single" w:color="auto" w:sz="4" w:space="0"/>
              <w:left w:val="single" w:color="auto" w:sz="4" w:space="0"/>
              <w:bottom w:val="single" w:color="auto" w:sz="4" w:space="0"/>
              <w:right w:val="single" w:color="auto" w:sz="4" w:space="0"/>
            </w:tcBorders>
            <w:vAlign w:val="center"/>
          </w:tcPr>
          <w:p w14:paraId="34053CF9">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0-49分</w:t>
            </w:r>
          </w:p>
        </w:tc>
      </w:tr>
      <w:tr w14:paraId="6D91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14CD28FE">
            <w:pPr>
              <w:keepNext w:val="0"/>
              <w:keepLines w:val="0"/>
              <w:pageBreakBefore w:val="0"/>
              <w:kinsoku/>
              <w:wordWrap/>
              <w:overflowPunct/>
              <w:topLinePunct w:val="0"/>
              <w:autoSpaceDE/>
              <w:autoSpaceDN/>
              <w:bidi w:val="0"/>
              <w:adjustRightInd w:val="0"/>
              <w:snapToGrid w:val="0"/>
              <w:spacing w:line="240" w:lineRule="auto"/>
              <w:ind w:firstLine="435"/>
              <w:jc w:val="center"/>
              <w:textAlignment w:val="auto"/>
              <w:rPr>
                <w:rFonts w:hint="eastAsia" w:ascii="宋体" w:hAnsi="宋体" w:eastAsia="宋体" w:cs="宋体"/>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60BE88C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产品业绩</w:t>
            </w:r>
          </w:p>
        </w:tc>
        <w:tc>
          <w:tcPr>
            <w:tcW w:w="3745" w:type="dxa"/>
            <w:tcBorders>
              <w:top w:val="single" w:color="auto" w:sz="4" w:space="0"/>
              <w:left w:val="single" w:color="auto" w:sz="4" w:space="0"/>
              <w:bottom w:val="single" w:color="auto" w:sz="4" w:space="0"/>
              <w:right w:val="single" w:color="auto" w:sz="4" w:space="0"/>
            </w:tcBorders>
            <w:vAlign w:val="center"/>
          </w:tcPr>
          <w:p w14:paraId="61CADE69">
            <w:pPr>
              <w:keepNext w:val="0"/>
              <w:keepLines w:val="0"/>
              <w:pageBreakBefore w:val="0"/>
              <w:widowControl/>
              <w:kinsoku/>
              <w:wordWrap/>
              <w:overflowPunct/>
              <w:topLinePunct w:val="0"/>
              <w:autoSpaceDE/>
              <w:autoSpaceDN/>
              <w:bidi w:val="0"/>
              <w:adjustRightInd w:val="0"/>
              <w:snapToGrid w:val="0"/>
              <w:spacing w:line="240" w:lineRule="auto"/>
              <w:textAlignment w:val="auto"/>
              <w:rPr>
                <w:rStyle w:val="74"/>
                <w:rFonts w:hint="eastAsia" w:ascii="宋体" w:hAnsi="宋体" w:eastAsia="宋体" w:cs="宋体"/>
                <w:b w:val="0"/>
                <w:bCs w:val="0"/>
                <w:color w:val="auto"/>
                <w:sz w:val="24"/>
                <w:szCs w:val="24"/>
                <w:highlight w:val="none"/>
              </w:rPr>
            </w:pPr>
            <w:r>
              <w:rPr>
                <w:rStyle w:val="74"/>
                <w:rFonts w:hint="eastAsia" w:ascii="宋体" w:hAnsi="宋体" w:eastAsia="宋体" w:cs="宋体"/>
                <w:b w:val="0"/>
                <w:bCs w:val="0"/>
                <w:color w:val="auto"/>
                <w:sz w:val="24"/>
                <w:szCs w:val="24"/>
                <w:highlight w:val="none"/>
              </w:rPr>
              <w:t>202</w:t>
            </w:r>
            <w:r>
              <w:rPr>
                <w:rStyle w:val="74"/>
                <w:rFonts w:hint="eastAsia" w:ascii="宋体" w:hAnsi="宋体" w:eastAsia="宋体" w:cs="宋体"/>
                <w:b w:val="0"/>
                <w:bCs w:val="0"/>
                <w:color w:val="auto"/>
                <w:sz w:val="24"/>
                <w:szCs w:val="24"/>
                <w:highlight w:val="none"/>
                <w:lang w:val="en-US"/>
              </w:rPr>
              <w:t>3</w:t>
            </w:r>
            <w:r>
              <w:rPr>
                <w:rStyle w:val="74"/>
                <w:rFonts w:hint="eastAsia" w:ascii="宋体" w:hAnsi="宋体" w:eastAsia="宋体" w:cs="宋体"/>
                <w:b w:val="0"/>
                <w:bCs w:val="0"/>
                <w:color w:val="auto"/>
                <w:sz w:val="24"/>
                <w:szCs w:val="24"/>
                <w:highlight w:val="none"/>
              </w:rPr>
              <w:t>年1月1日起至投标截止日（以合同签订日期为准），每提供1个所投产品（须为向三级医院供货的业绩）的供货业绩得 1.5 分，满分 9 分。</w:t>
            </w:r>
          </w:p>
          <w:p w14:paraId="2F7ED76D">
            <w:pPr>
              <w:keepNext w:val="0"/>
              <w:keepLines w:val="0"/>
              <w:pageBreakBefore w:val="0"/>
              <w:widowControl/>
              <w:kinsoku/>
              <w:wordWrap/>
              <w:overflowPunct/>
              <w:topLinePunct w:val="0"/>
              <w:autoSpaceDE/>
              <w:autoSpaceDN/>
              <w:bidi w:val="0"/>
              <w:adjustRightInd w:val="0"/>
              <w:snapToGrid w:val="0"/>
              <w:spacing w:line="240" w:lineRule="auto"/>
              <w:textAlignment w:val="auto"/>
              <w:rPr>
                <w:rStyle w:val="74"/>
                <w:rFonts w:hint="eastAsia" w:ascii="宋体" w:hAnsi="宋体" w:eastAsia="宋体" w:cs="宋体"/>
                <w:b w:val="0"/>
                <w:bCs w:val="0"/>
                <w:color w:val="auto"/>
                <w:sz w:val="24"/>
                <w:szCs w:val="24"/>
                <w:highlight w:val="none"/>
              </w:rPr>
            </w:pPr>
            <w:r>
              <w:rPr>
                <w:rStyle w:val="74"/>
                <w:rFonts w:hint="eastAsia" w:ascii="宋体" w:hAnsi="宋体" w:eastAsia="宋体" w:cs="宋体"/>
                <w:b w:val="0"/>
                <w:bCs w:val="0"/>
                <w:color w:val="auto"/>
                <w:sz w:val="24"/>
                <w:szCs w:val="24"/>
                <w:highlight w:val="none"/>
              </w:rPr>
              <w:t>注：1.投标文件中提供业绩合同扫描件，如合同中无法体现签订时间、产品品牌、型号等关键评审因素的，须同时提供加盖业主（合同甲方）公章的证明材料扫描件，未提供或提供不全的不得分；</w:t>
            </w:r>
          </w:p>
          <w:p w14:paraId="64A208F9">
            <w:pPr>
              <w:keepNext w:val="0"/>
              <w:keepLines w:val="0"/>
              <w:pageBreakBefore w:val="0"/>
              <w:widowControl/>
              <w:kinsoku/>
              <w:wordWrap/>
              <w:overflowPunct/>
              <w:topLinePunct w:val="0"/>
              <w:autoSpaceDE/>
              <w:autoSpaceDN/>
              <w:bidi w:val="0"/>
              <w:adjustRightInd w:val="0"/>
              <w:snapToGrid w:val="0"/>
              <w:spacing w:line="240" w:lineRule="auto"/>
              <w:textAlignment w:val="auto"/>
              <w:rPr>
                <w:rStyle w:val="74"/>
                <w:rFonts w:hint="eastAsia" w:ascii="宋体" w:hAnsi="宋体" w:eastAsia="宋体" w:cs="宋体"/>
                <w:b w:val="0"/>
                <w:bCs w:val="0"/>
                <w:color w:val="auto"/>
                <w:sz w:val="24"/>
                <w:szCs w:val="24"/>
                <w:highlight w:val="none"/>
              </w:rPr>
            </w:pPr>
            <w:r>
              <w:rPr>
                <w:rStyle w:val="74"/>
                <w:rFonts w:hint="eastAsia" w:ascii="宋体" w:hAnsi="宋体" w:eastAsia="宋体" w:cs="宋体"/>
                <w:b w:val="0"/>
                <w:bCs w:val="0"/>
                <w:color w:val="auto"/>
                <w:sz w:val="24"/>
                <w:szCs w:val="24"/>
                <w:highlight w:val="none"/>
              </w:rPr>
              <w:t>2.此处业绩系指产品业绩，不限合同签订主体，但合同甲方须为三级医院。</w:t>
            </w:r>
          </w:p>
          <w:p w14:paraId="14CA2797">
            <w:pPr>
              <w:keepNext w:val="0"/>
              <w:keepLines w:val="0"/>
              <w:pageBreakBefore w:val="0"/>
              <w:widowControl/>
              <w:kinsoku/>
              <w:wordWrap/>
              <w:overflowPunct/>
              <w:topLinePunct w:val="0"/>
              <w:autoSpaceDE/>
              <w:autoSpaceDN/>
              <w:bidi w:val="0"/>
              <w:adjustRightInd w:val="0"/>
              <w:snapToGrid w:val="0"/>
              <w:spacing w:line="240" w:lineRule="auto"/>
              <w:textAlignment w:val="auto"/>
              <w:rPr>
                <w:rStyle w:val="74"/>
                <w:rFonts w:hint="eastAsia" w:ascii="宋体" w:hAnsi="宋体" w:eastAsia="宋体" w:cs="宋体"/>
                <w:b w:val="0"/>
                <w:bCs w:val="0"/>
                <w:color w:val="auto"/>
                <w:sz w:val="24"/>
                <w:szCs w:val="24"/>
                <w:highlight w:val="none"/>
              </w:rPr>
            </w:pPr>
            <w:r>
              <w:rPr>
                <w:rStyle w:val="74"/>
                <w:rFonts w:hint="eastAsia" w:ascii="宋体" w:hAnsi="宋体" w:eastAsia="宋体" w:cs="宋体"/>
                <w:b w:val="0"/>
                <w:bCs w:val="0"/>
                <w:color w:val="auto"/>
                <w:sz w:val="24"/>
                <w:szCs w:val="24"/>
                <w:highlight w:val="none"/>
              </w:rPr>
              <w:t>3.医院等级证明材料（医院等级截图或业主证明或医院主管部门证明）。</w:t>
            </w:r>
          </w:p>
          <w:p w14:paraId="52A3FD4C">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4"/>
                <w:highlight w:val="none"/>
              </w:rPr>
            </w:pPr>
            <w:r>
              <w:rPr>
                <w:rStyle w:val="74"/>
                <w:rFonts w:hint="eastAsia" w:ascii="宋体" w:hAnsi="宋体" w:eastAsia="宋体" w:cs="宋体"/>
                <w:b w:val="0"/>
                <w:bCs w:val="0"/>
                <w:color w:val="auto"/>
                <w:sz w:val="24"/>
                <w:szCs w:val="24"/>
                <w:highlight w:val="none"/>
              </w:rPr>
              <w:t>4.同一业主业绩不累计计分，不同业主业绩可以累计。</w:t>
            </w:r>
          </w:p>
        </w:tc>
        <w:tc>
          <w:tcPr>
            <w:tcW w:w="926" w:type="pct"/>
            <w:tcBorders>
              <w:top w:val="single" w:color="auto" w:sz="4" w:space="0"/>
              <w:left w:val="single" w:color="auto" w:sz="4" w:space="0"/>
              <w:bottom w:val="single" w:color="auto" w:sz="4" w:space="0"/>
              <w:right w:val="single" w:color="auto" w:sz="4" w:space="0"/>
            </w:tcBorders>
            <w:vAlign w:val="center"/>
          </w:tcPr>
          <w:p w14:paraId="717D62A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0-9分</w:t>
            </w:r>
          </w:p>
        </w:tc>
      </w:tr>
      <w:tr w14:paraId="74F6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4B1993BD">
            <w:pPr>
              <w:keepNext w:val="0"/>
              <w:keepLines w:val="0"/>
              <w:pageBreakBefore w:val="0"/>
              <w:kinsoku/>
              <w:wordWrap/>
              <w:overflowPunct/>
              <w:topLinePunct w:val="0"/>
              <w:autoSpaceDE/>
              <w:autoSpaceDN/>
              <w:bidi w:val="0"/>
              <w:adjustRightInd w:val="0"/>
              <w:snapToGrid w:val="0"/>
              <w:spacing w:line="240" w:lineRule="auto"/>
              <w:ind w:firstLine="435"/>
              <w:jc w:val="center"/>
              <w:textAlignment w:val="auto"/>
              <w:rPr>
                <w:rFonts w:hint="eastAsia" w:ascii="宋体" w:hAnsi="宋体" w:eastAsia="宋体" w:cs="宋体"/>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79AAAE30">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质量保证期</w:t>
            </w:r>
          </w:p>
        </w:tc>
        <w:tc>
          <w:tcPr>
            <w:tcW w:w="2197" w:type="pct"/>
            <w:tcBorders>
              <w:top w:val="single" w:color="auto" w:sz="4" w:space="0"/>
              <w:left w:val="single" w:color="auto" w:sz="4" w:space="0"/>
              <w:bottom w:val="single" w:color="auto" w:sz="4" w:space="0"/>
              <w:right w:val="single" w:color="auto" w:sz="4" w:space="0"/>
            </w:tcBorders>
            <w:vAlign w:val="center"/>
          </w:tcPr>
          <w:p w14:paraId="63010962">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投标人所投所有设备质量保证期在满足招标文件规定质量保证期的基础上，均延长1年加2分（不足1年不加分），最高得 6 分。（提供承诺函，格式自拟）</w:t>
            </w:r>
          </w:p>
        </w:tc>
        <w:tc>
          <w:tcPr>
            <w:tcW w:w="926" w:type="pct"/>
            <w:tcBorders>
              <w:top w:val="single" w:color="auto" w:sz="4" w:space="0"/>
              <w:left w:val="single" w:color="auto" w:sz="4" w:space="0"/>
              <w:bottom w:val="single" w:color="auto" w:sz="4" w:space="0"/>
              <w:right w:val="single" w:color="auto" w:sz="4" w:space="0"/>
            </w:tcBorders>
            <w:vAlign w:val="center"/>
          </w:tcPr>
          <w:p w14:paraId="234B943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0-6分</w:t>
            </w:r>
          </w:p>
        </w:tc>
      </w:tr>
      <w:tr w14:paraId="2641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418050C9">
            <w:pPr>
              <w:keepNext w:val="0"/>
              <w:keepLines w:val="0"/>
              <w:pageBreakBefore w:val="0"/>
              <w:kinsoku/>
              <w:wordWrap/>
              <w:overflowPunct/>
              <w:topLinePunct w:val="0"/>
              <w:autoSpaceDE/>
              <w:autoSpaceDN/>
              <w:bidi w:val="0"/>
              <w:adjustRightInd w:val="0"/>
              <w:snapToGrid w:val="0"/>
              <w:spacing w:line="240" w:lineRule="auto"/>
              <w:ind w:firstLine="435"/>
              <w:jc w:val="center"/>
              <w:textAlignment w:val="auto"/>
              <w:rPr>
                <w:rFonts w:hint="eastAsia" w:ascii="宋体" w:hAnsi="宋体" w:eastAsia="宋体" w:cs="宋体"/>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504FC557">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项目实施方案</w:t>
            </w:r>
          </w:p>
        </w:tc>
        <w:tc>
          <w:tcPr>
            <w:tcW w:w="2197" w:type="pct"/>
            <w:tcBorders>
              <w:top w:val="single" w:color="auto" w:sz="4" w:space="0"/>
              <w:left w:val="single" w:color="auto" w:sz="4" w:space="0"/>
              <w:bottom w:val="single" w:color="auto" w:sz="4" w:space="0"/>
              <w:right w:val="single" w:color="auto" w:sz="4" w:space="0"/>
            </w:tcBorders>
            <w:vAlign w:val="center"/>
          </w:tcPr>
          <w:p w14:paraId="00F29E24">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根据各</w:t>
            </w:r>
            <w:r>
              <w:rPr>
                <w:rFonts w:hint="eastAsia" w:ascii="宋体" w:hAnsi="宋体" w:eastAsia="宋体" w:cs="宋体"/>
                <w:b w:val="0"/>
                <w:bCs w:val="0"/>
                <w:color w:val="auto"/>
                <w:sz w:val="24"/>
                <w:szCs w:val="24"/>
                <w:highlight w:val="none"/>
                <w:lang w:val="en-US" w:eastAsia="zh-CN"/>
              </w:rPr>
              <w:t>投标人</w:t>
            </w:r>
            <w:r>
              <w:rPr>
                <w:rFonts w:hint="eastAsia" w:ascii="宋体" w:hAnsi="宋体" w:eastAsia="宋体" w:cs="宋体"/>
                <w:b w:val="0"/>
                <w:bCs w:val="0"/>
                <w:color w:val="auto"/>
                <w:sz w:val="24"/>
                <w:szCs w:val="24"/>
                <w:highlight w:val="none"/>
              </w:rPr>
              <w:t>提供的</w:t>
            </w:r>
            <w:r>
              <w:rPr>
                <w:rFonts w:hint="eastAsia" w:ascii="宋体" w:hAnsi="宋体" w:eastAsia="宋体" w:cs="宋体"/>
                <w:b w:val="0"/>
                <w:bCs w:val="0"/>
                <w:color w:val="auto"/>
                <w:sz w:val="24"/>
                <w:szCs w:val="24"/>
                <w:highlight w:val="none"/>
                <w:lang w:val="en-US" w:eastAsia="zh-CN"/>
              </w:rPr>
              <w:t>项目实施方案</w:t>
            </w:r>
            <w:r>
              <w:rPr>
                <w:rFonts w:hint="eastAsia" w:ascii="宋体" w:hAnsi="宋体" w:eastAsia="宋体" w:cs="宋体"/>
                <w:b w:val="0"/>
                <w:bCs w:val="0"/>
                <w:color w:val="auto"/>
                <w:kern w:val="0"/>
                <w:sz w:val="24"/>
                <w:szCs w:val="24"/>
                <w:highlight w:val="none"/>
              </w:rPr>
              <w:t>实施计划、进度计划、安装调试的技术人员安排、安装调试方案、验收方案</w:t>
            </w:r>
            <w:r>
              <w:rPr>
                <w:rFonts w:hint="eastAsia" w:ascii="宋体" w:hAnsi="宋体" w:eastAsia="宋体" w:cs="宋体"/>
                <w:b w:val="0"/>
                <w:bCs w:val="0"/>
                <w:color w:val="auto"/>
                <w:sz w:val="24"/>
                <w:szCs w:val="24"/>
                <w:highlight w:val="none"/>
              </w:rPr>
              <w:t>情况进行打分</w:t>
            </w:r>
            <w:r>
              <w:rPr>
                <w:rFonts w:hint="eastAsia" w:ascii="宋体" w:hAnsi="宋体" w:eastAsia="宋体" w:cs="宋体"/>
                <w:b w:val="0"/>
                <w:bCs w:val="0"/>
                <w:color w:val="auto"/>
                <w:sz w:val="24"/>
                <w:szCs w:val="24"/>
                <w:highlight w:val="none"/>
                <w:lang w:val="en-US" w:eastAsia="zh-CN"/>
              </w:rPr>
              <w:t>：</w:t>
            </w:r>
          </w:p>
          <w:p w14:paraId="2E470772">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1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①</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方案内容完整、详实、科学合理，可行性、针对性强且有齐全的保障措施的得</w:t>
            </w:r>
            <w:r>
              <w:rPr>
                <w:rFonts w:hint="eastAsia" w:ascii="宋体" w:hAnsi="宋体" w:eastAsia="宋体" w:cs="宋体"/>
                <w:b w:val="0"/>
                <w:bCs w:val="0"/>
                <w:color w:val="auto"/>
                <w:sz w:val="24"/>
                <w:szCs w:val="24"/>
                <w:highlight w:val="none"/>
                <w:u w:val="single"/>
                <w:lang w:val="en-US" w:eastAsia="zh-CN"/>
              </w:rPr>
              <w:t>3</w:t>
            </w:r>
            <w:r>
              <w:rPr>
                <w:rFonts w:hint="eastAsia" w:ascii="宋体" w:hAnsi="宋体" w:eastAsia="宋体" w:cs="宋体"/>
                <w:b w:val="0"/>
                <w:bCs w:val="0"/>
                <w:color w:val="auto"/>
                <w:sz w:val="24"/>
                <w:szCs w:val="24"/>
                <w:highlight w:val="none"/>
              </w:rPr>
              <w:t>分；</w:t>
            </w:r>
          </w:p>
          <w:p w14:paraId="4F49BB43">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2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②</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方案内容基本完整、合理、具有可行性、针对性，但保障措施有待进一步完善的得</w:t>
            </w:r>
            <w:r>
              <w:rPr>
                <w:rFonts w:hint="eastAsia" w:ascii="宋体" w:hAnsi="宋体" w:eastAsia="宋体" w:cs="宋体"/>
                <w:b w:val="0"/>
                <w:bCs w:val="0"/>
                <w:color w:val="auto"/>
                <w:sz w:val="24"/>
                <w:szCs w:val="24"/>
                <w:highlight w:val="none"/>
                <w:u w:val="single"/>
                <w:lang w:val="en-US" w:eastAsia="zh-CN"/>
              </w:rPr>
              <w:t>2</w:t>
            </w:r>
            <w:r>
              <w:rPr>
                <w:rFonts w:hint="eastAsia" w:ascii="宋体" w:hAnsi="宋体" w:eastAsia="宋体" w:cs="宋体"/>
                <w:b w:val="0"/>
                <w:bCs w:val="0"/>
                <w:color w:val="auto"/>
                <w:sz w:val="24"/>
                <w:szCs w:val="24"/>
                <w:highlight w:val="none"/>
              </w:rPr>
              <w:t>分；</w:t>
            </w:r>
          </w:p>
          <w:p w14:paraId="148D83AA">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3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③</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方案内容在完整性、合理性、可行性、针对性及各项保障措施均有待改善的得</w:t>
            </w:r>
            <w:r>
              <w:rPr>
                <w:rFonts w:hint="eastAsia" w:ascii="宋体" w:hAnsi="宋体" w:eastAsia="宋体" w:cs="宋体"/>
                <w:b w:val="0"/>
                <w:bCs w:val="0"/>
                <w:color w:val="auto"/>
                <w:sz w:val="24"/>
                <w:szCs w:val="24"/>
                <w:highlight w:val="none"/>
                <w:u w:val="single"/>
                <w:lang w:val="en-US" w:eastAsia="zh-CN"/>
              </w:rPr>
              <w:t>1</w:t>
            </w:r>
            <w:r>
              <w:rPr>
                <w:rFonts w:hint="eastAsia" w:ascii="宋体" w:hAnsi="宋体" w:eastAsia="宋体" w:cs="宋体"/>
                <w:b w:val="0"/>
                <w:bCs w:val="0"/>
                <w:color w:val="auto"/>
                <w:sz w:val="24"/>
                <w:szCs w:val="24"/>
                <w:highlight w:val="none"/>
              </w:rPr>
              <w:t>分；</w:t>
            </w:r>
          </w:p>
          <w:p w14:paraId="4B554DBC">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auto"/>
                <w:sz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4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④</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方案不可行或未提供方案的得</w:t>
            </w:r>
            <w:r>
              <w:rPr>
                <w:rFonts w:hint="eastAsia" w:ascii="宋体" w:hAnsi="宋体" w:eastAsia="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p>
        </w:tc>
        <w:tc>
          <w:tcPr>
            <w:tcW w:w="926" w:type="pct"/>
            <w:tcBorders>
              <w:top w:val="single" w:color="auto" w:sz="4" w:space="0"/>
              <w:left w:val="single" w:color="auto" w:sz="4" w:space="0"/>
              <w:bottom w:val="single" w:color="auto" w:sz="4" w:space="0"/>
              <w:right w:val="single" w:color="auto" w:sz="4" w:space="0"/>
            </w:tcBorders>
            <w:vAlign w:val="center"/>
          </w:tcPr>
          <w:p w14:paraId="7ADB3E7E">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0-3分</w:t>
            </w:r>
          </w:p>
        </w:tc>
      </w:tr>
      <w:tr w14:paraId="11AC3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tcBorders>
              <w:left w:val="single" w:color="auto" w:sz="4" w:space="0"/>
              <w:right w:val="single" w:color="auto" w:sz="4" w:space="0"/>
            </w:tcBorders>
            <w:vAlign w:val="center"/>
          </w:tcPr>
          <w:p w14:paraId="33EA56FA">
            <w:pPr>
              <w:keepNext w:val="0"/>
              <w:keepLines w:val="0"/>
              <w:pageBreakBefore w:val="0"/>
              <w:kinsoku/>
              <w:wordWrap/>
              <w:overflowPunct/>
              <w:topLinePunct w:val="0"/>
              <w:autoSpaceDE/>
              <w:autoSpaceDN/>
              <w:bidi w:val="0"/>
              <w:adjustRightInd w:val="0"/>
              <w:snapToGrid w:val="0"/>
              <w:spacing w:line="240" w:lineRule="auto"/>
              <w:ind w:firstLine="435"/>
              <w:jc w:val="center"/>
              <w:textAlignment w:val="auto"/>
              <w:rPr>
                <w:rFonts w:hint="eastAsia" w:ascii="宋体" w:hAnsi="宋体" w:eastAsia="宋体" w:cs="宋体"/>
                <w:b/>
                <w:bCs/>
                <w:color w:val="auto"/>
                <w:sz w:val="24"/>
                <w:highlight w:val="none"/>
              </w:rPr>
            </w:pPr>
          </w:p>
        </w:tc>
        <w:tc>
          <w:tcPr>
            <w:tcW w:w="1009" w:type="pct"/>
            <w:tcBorders>
              <w:top w:val="single" w:color="auto" w:sz="4" w:space="0"/>
              <w:left w:val="single" w:color="auto" w:sz="4" w:space="0"/>
              <w:bottom w:val="single" w:color="auto" w:sz="4" w:space="0"/>
              <w:right w:val="single" w:color="auto" w:sz="4" w:space="0"/>
            </w:tcBorders>
            <w:vAlign w:val="center"/>
          </w:tcPr>
          <w:p w14:paraId="01C08726">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售后服务方案</w:t>
            </w:r>
          </w:p>
        </w:tc>
        <w:tc>
          <w:tcPr>
            <w:tcW w:w="2197" w:type="pct"/>
            <w:tcBorders>
              <w:top w:val="single" w:color="auto" w:sz="4" w:space="0"/>
              <w:left w:val="single" w:color="auto" w:sz="4" w:space="0"/>
              <w:bottom w:val="single" w:color="auto" w:sz="4" w:space="0"/>
              <w:right w:val="single" w:color="auto" w:sz="4" w:space="0"/>
            </w:tcBorders>
            <w:vAlign w:val="center"/>
          </w:tcPr>
          <w:p w14:paraId="2E6C2CAE">
            <w:pPr>
              <w:keepNext w:val="0"/>
              <w:keepLines w:val="0"/>
              <w:pageBreakBefore w:val="0"/>
              <w:numPr>
                <w:ilvl w:val="0"/>
                <w:numId w:val="0"/>
              </w:numPr>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val="0"/>
                <w:color w:val="auto"/>
                <w:kern w:val="0"/>
                <w:sz w:val="24"/>
                <w:szCs w:val="24"/>
                <w:highlight w:val="none"/>
                <w:lang w:eastAsia="zh-CN"/>
              </w:rPr>
            </w:pPr>
            <w:r>
              <w:rPr>
                <w:rFonts w:hint="eastAsia" w:ascii="宋体" w:hAnsi="宋体" w:eastAsia="宋体" w:cs="宋体"/>
                <w:b w:val="0"/>
                <w:bCs w:val="0"/>
                <w:color w:val="auto"/>
                <w:sz w:val="24"/>
                <w:szCs w:val="24"/>
                <w:highlight w:val="none"/>
              </w:rPr>
              <w:t>根据各</w:t>
            </w:r>
            <w:r>
              <w:rPr>
                <w:rFonts w:hint="eastAsia" w:ascii="宋体" w:hAnsi="宋体" w:eastAsia="宋体" w:cs="宋体"/>
                <w:b w:val="0"/>
                <w:bCs w:val="0"/>
                <w:color w:val="auto"/>
                <w:sz w:val="24"/>
                <w:szCs w:val="24"/>
                <w:highlight w:val="none"/>
                <w:lang w:val="en-US" w:eastAsia="zh-CN"/>
              </w:rPr>
              <w:t>投标人</w:t>
            </w:r>
            <w:r>
              <w:rPr>
                <w:rFonts w:hint="eastAsia" w:ascii="宋体" w:hAnsi="宋体" w:eastAsia="宋体" w:cs="宋体"/>
                <w:b w:val="0"/>
                <w:bCs w:val="0"/>
                <w:color w:val="auto"/>
                <w:sz w:val="24"/>
                <w:szCs w:val="24"/>
                <w:highlight w:val="none"/>
              </w:rPr>
              <w:t>提供的</w:t>
            </w:r>
            <w:r>
              <w:rPr>
                <w:rFonts w:hint="eastAsia" w:ascii="宋体" w:hAnsi="宋体" w:eastAsia="宋体" w:cs="宋体"/>
                <w:b w:val="0"/>
                <w:bCs w:val="0"/>
                <w:color w:val="auto"/>
                <w:kern w:val="0"/>
                <w:sz w:val="24"/>
                <w:szCs w:val="24"/>
                <w:highlight w:val="none"/>
              </w:rPr>
              <w:t>售后服务方案售后服务人员配置、售后服务响应时间、保障修复时间、培训方案、巡检次数及巡检时间段、应急预案、技术保障措施、回访、备品备件免费供应以及其他承诺等方面</w:t>
            </w:r>
            <w:r>
              <w:rPr>
                <w:rFonts w:hint="eastAsia" w:ascii="宋体" w:hAnsi="宋体" w:eastAsia="宋体" w:cs="宋体"/>
                <w:b w:val="0"/>
                <w:bCs w:val="0"/>
                <w:color w:val="auto"/>
                <w:kern w:val="0"/>
                <w:sz w:val="24"/>
                <w:szCs w:val="24"/>
                <w:highlight w:val="none"/>
                <w:lang w:eastAsia="zh-CN"/>
              </w:rPr>
              <w:t>方案</w:t>
            </w:r>
            <w:r>
              <w:rPr>
                <w:rFonts w:hint="eastAsia" w:ascii="宋体" w:hAnsi="宋体" w:eastAsia="宋体" w:cs="宋体"/>
                <w:b w:val="0"/>
                <w:bCs w:val="0"/>
                <w:color w:val="auto"/>
                <w:kern w:val="0"/>
                <w:sz w:val="24"/>
                <w:szCs w:val="24"/>
                <w:highlight w:val="none"/>
              </w:rPr>
              <w:t>进行综合比较</w:t>
            </w:r>
            <w:r>
              <w:rPr>
                <w:rFonts w:hint="eastAsia" w:ascii="宋体" w:hAnsi="宋体" w:eastAsia="宋体" w:cs="宋体"/>
                <w:b w:val="0"/>
                <w:bCs w:val="0"/>
                <w:color w:val="auto"/>
                <w:kern w:val="0"/>
                <w:sz w:val="24"/>
                <w:szCs w:val="24"/>
                <w:highlight w:val="none"/>
                <w:lang w:eastAsia="zh-CN"/>
              </w:rPr>
              <w:t>打分：</w:t>
            </w:r>
          </w:p>
          <w:p w14:paraId="7DB3FA8E">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1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①</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方案内容完整、详实、科学合理，可行性、针对性强且有齐全的保障措施的得</w:t>
            </w:r>
            <w:r>
              <w:rPr>
                <w:rFonts w:hint="eastAsia" w:ascii="宋体" w:hAnsi="宋体" w:eastAsia="宋体" w:cs="宋体"/>
                <w:b w:val="0"/>
                <w:bCs w:val="0"/>
                <w:color w:val="auto"/>
                <w:sz w:val="24"/>
                <w:szCs w:val="24"/>
                <w:highlight w:val="none"/>
                <w:u w:val="single"/>
                <w:lang w:val="en-US" w:eastAsia="zh-CN"/>
              </w:rPr>
              <w:t>3</w:t>
            </w:r>
            <w:r>
              <w:rPr>
                <w:rFonts w:hint="eastAsia" w:ascii="宋体" w:hAnsi="宋体" w:eastAsia="宋体" w:cs="宋体"/>
                <w:b w:val="0"/>
                <w:bCs w:val="0"/>
                <w:color w:val="auto"/>
                <w:sz w:val="24"/>
                <w:szCs w:val="24"/>
                <w:highlight w:val="none"/>
              </w:rPr>
              <w:t>分；</w:t>
            </w:r>
          </w:p>
          <w:p w14:paraId="57C29A34">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2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②</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方案内容基本完整、合理、具有可行性、针对性，但保障措施有待进一步完善的得</w:t>
            </w:r>
            <w:r>
              <w:rPr>
                <w:rFonts w:hint="eastAsia" w:ascii="宋体" w:hAnsi="宋体" w:eastAsia="宋体" w:cs="宋体"/>
                <w:b w:val="0"/>
                <w:bCs w:val="0"/>
                <w:color w:val="auto"/>
                <w:sz w:val="24"/>
                <w:szCs w:val="24"/>
                <w:highlight w:val="none"/>
                <w:u w:val="single"/>
                <w:lang w:val="en-US" w:eastAsia="zh-CN"/>
              </w:rPr>
              <w:t>2</w:t>
            </w:r>
            <w:r>
              <w:rPr>
                <w:rFonts w:hint="eastAsia" w:ascii="宋体" w:hAnsi="宋体" w:eastAsia="宋体" w:cs="宋体"/>
                <w:b w:val="0"/>
                <w:bCs w:val="0"/>
                <w:color w:val="auto"/>
                <w:sz w:val="24"/>
                <w:szCs w:val="24"/>
                <w:highlight w:val="none"/>
              </w:rPr>
              <w:t>分；</w:t>
            </w:r>
          </w:p>
          <w:p w14:paraId="1ECA17D1">
            <w:pPr>
              <w:keepNext w:val="0"/>
              <w:keepLines w:val="0"/>
              <w:pageBreakBefore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3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③</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方案内容在完整性、合理性、可行性、针对性及各项保障措施均有待改善的得</w:t>
            </w:r>
            <w:r>
              <w:rPr>
                <w:rFonts w:hint="eastAsia" w:ascii="宋体" w:hAnsi="宋体" w:eastAsia="宋体" w:cs="宋体"/>
                <w:b w:val="0"/>
                <w:bCs w:val="0"/>
                <w:color w:val="auto"/>
                <w:sz w:val="24"/>
                <w:szCs w:val="24"/>
                <w:highlight w:val="none"/>
                <w:u w:val="single"/>
                <w:lang w:val="en-US" w:eastAsia="zh-CN"/>
              </w:rPr>
              <w:t>1</w:t>
            </w:r>
            <w:r>
              <w:rPr>
                <w:rFonts w:hint="eastAsia" w:ascii="宋体" w:hAnsi="宋体" w:eastAsia="宋体" w:cs="宋体"/>
                <w:b w:val="0"/>
                <w:bCs w:val="0"/>
                <w:color w:val="auto"/>
                <w:sz w:val="24"/>
                <w:szCs w:val="24"/>
                <w:highlight w:val="none"/>
              </w:rPr>
              <w:t>分；</w:t>
            </w:r>
          </w:p>
          <w:p w14:paraId="4AC04026">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 4 \* GB3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④</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t>方案不可行或未提供方案的得</w:t>
            </w:r>
            <w:r>
              <w:rPr>
                <w:rFonts w:hint="eastAsia" w:ascii="宋体" w:hAnsi="宋体" w:eastAsia="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p>
        </w:tc>
        <w:tc>
          <w:tcPr>
            <w:tcW w:w="926" w:type="pct"/>
            <w:tcBorders>
              <w:top w:val="single" w:color="auto" w:sz="4" w:space="0"/>
              <w:left w:val="single" w:color="auto" w:sz="4" w:space="0"/>
              <w:bottom w:val="single" w:color="auto" w:sz="4" w:space="0"/>
              <w:right w:val="single" w:color="auto" w:sz="4" w:space="0"/>
            </w:tcBorders>
            <w:vAlign w:val="center"/>
          </w:tcPr>
          <w:p w14:paraId="6D1752F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0-3分</w:t>
            </w:r>
          </w:p>
        </w:tc>
      </w:tr>
      <w:tr w14:paraId="5FA1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tcBorders>
              <w:left w:val="single" w:color="auto" w:sz="4" w:space="0"/>
              <w:right w:val="single" w:color="auto" w:sz="4" w:space="0"/>
            </w:tcBorders>
            <w:vAlign w:val="center"/>
          </w:tcPr>
          <w:p w14:paraId="4DFF79FC">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价格分</w:t>
            </w:r>
          </w:p>
          <w:p w14:paraId="462C62B4">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分）</w:t>
            </w:r>
          </w:p>
        </w:tc>
        <w:tc>
          <w:tcPr>
            <w:tcW w:w="4133" w:type="pct"/>
            <w:gridSpan w:val="3"/>
            <w:tcBorders>
              <w:top w:val="single" w:color="auto" w:sz="4" w:space="0"/>
              <w:left w:val="single" w:color="auto" w:sz="4" w:space="0"/>
              <w:bottom w:val="single" w:color="auto" w:sz="4" w:space="0"/>
              <w:right w:val="single" w:color="auto" w:sz="4" w:space="0"/>
            </w:tcBorders>
            <w:vAlign w:val="center"/>
          </w:tcPr>
          <w:p w14:paraId="12E83CD3">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价格分统一采用低价优先法，即满足招标文件要求且投标价格最低的投标报价为评标基准价，其价格分为满分</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分。其他投标人的价格分统一按照下列公式计算：</w:t>
            </w:r>
          </w:p>
          <w:p w14:paraId="6399CD59">
            <w:pPr>
              <w:keepNext w:val="0"/>
              <w:keepLines w:val="0"/>
              <w:pageBreakBefore w:val="0"/>
              <w:kinsoku/>
              <w:wordWrap/>
              <w:overflowPunct/>
              <w:topLinePunct w:val="0"/>
              <w:autoSpaceDE/>
              <w:autoSpaceDN/>
              <w:bidi w:val="0"/>
              <w:adjustRightInd w:val="0"/>
              <w:snapToGrid w:val="0"/>
              <w:spacing w:line="240" w:lineRule="auto"/>
              <w:textAlignment w:val="auto"/>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投标报价得分＝（评标基准价/投标报价）×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％×100</w:t>
            </w:r>
          </w:p>
        </w:tc>
      </w:tr>
    </w:tbl>
    <w:p w14:paraId="128AA9E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分值汇总</w:t>
      </w:r>
    </w:p>
    <w:p w14:paraId="22AEEC2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评标委员会各成员应当独立对每个</w:t>
      </w:r>
      <w:r>
        <w:rPr>
          <w:rFonts w:hint="eastAsia" w:asciiTheme="minorEastAsia" w:hAnsiTheme="minorEastAsia" w:eastAsiaTheme="minorEastAsia"/>
          <w:color w:val="auto"/>
          <w:sz w:val="24"/>
          <w:highlight w:val="none"/>
        </w:rPr>
        <w:t>有效</w:t>
      </w:r>
      <w:r>
        <w:rPr>
          <w:rFonts w:asciiTheme="minorEastAsia" w:hAnsiTheme="minorEastAsia" w:eastAsiaTheme="minorEastAsia"/>
          <w:color w:val="auto"/>
          <w:sz w:val="24"/>
          <w:highlight w:val="none"/>
        </w:rPr>
        <w:t>投标人的投标文件进行评</w:t>
      </w:r>
      <w:r>
        <w:rPr>
          <w:rFonts w:hint="eastAsia" w:asciiTheme="minorEastAsia" w:hAnsiTheme="minorEastAsia" w:eastAsiaTheme="minorEastAsia"/>
          <w:color w:val="auto"/>
          <w:sz w:val="24"/>
          <w:highlight w:val="none"/>
        </w:rPr>
        <w:t>分</w:t>
      </w:r>
      <w:r>
        <w:rPr>
          <w:rFonts w:asciiTheme="minorEastAsia" w:hAnsiTheme="minorEastAsia" w:eastAsiaTheme="minorEastAsia"/>
          <w:color w:val="auto"/>
          <w:sz w:val="24"/>
          <w:highlight w:val="none"/>
        </w:rPr>
        <w:t>，并汇总每个投</w:t>
      </w:r>
      <w:r>
        <w:rPr>
          <w:rFonts w:hint="eastAsia" w:asciiTheme="minorEastAsia" w:hAnsiTheme="minorEastAsia" w:eastAsiaTheme="minorEastAsia"/>
          <w:color w:val="auto"/>
          <w:sz w:val="24"/>
          <w:highlight w:val="none"/>
        </w:rPr>
        <w:t>标人的得分。取各位评委评分之平均值，四舍五入保留至小数点后两位数，</w:t>
      </w:r>
      <w:r>
        <w:rPr>
          <w:rFonts w:asciiTheme="minorEastAsia" w:hAnsiTheme="minorEastAsia" w:eastAsiaTheme="minorEastAsia"/>
          <w:color w:val="auto"/>
          <w:sz w:val="24"/>
          <w:highlight w:val="none"/>
        </w:rPr>
        <w:t>得到该投标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w:t>
      </w:r>
      <w:r>
        <w:rPr>
          <w:rFonts w:hint="eastAsia" w:asciiTheme="minorEastAsia" w:hAnsiTheme="minorEastAsia" w:eastAsiaTheme="minorEastAsia"/>
          <w:color w:val="auto"/>
          <w:sz w:val="24"/>
          <w:highlight w:val="none"/>
        </w:rPr>
        <w:t>。</w:t>
      </w:r>
    </w:p>
    <w:p w14:paraId="174B9B6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将投标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的技术资信分加上根据上述标准计算出的价格分，即为该投标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的综合总得分。</w:t>
      </w:r>
    </w:p>
    <w:p w14:paraId="641BF9D6">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4DD94BDF">
      <w:pPr>
        <w:spacing w:line="360" w:lineRule="auto"/>
        <w:jc w:val="center"/>
        <w:outlineLvl w:val="0"/>
        <w:rPr>
          <w:rFonts w:hint="eastAsia" w:asciiTheme="minorEastAsia" w:hAnsiTheme="minorEastAsia" w:eastAsiaTheme="minorEastAsia"/>
          <w:b/>
          <w:color w:val="auto"/>
          <w:sz w:val="28"/>
          <w:highlight w:val="none"/>
          <w:lang w:eastAsia="zh-CN"/>
        </w:rPr>
      </w:pPr>
      <w:bookmarkStart w:id="157" w:name="_Toc28317"/>
      <w:bookmarkStart w:id="158" w:name="_Toc27930"/>
      <w:bookmarkStart w:id="159" w:name="_Toc16004"/>
      <w:bookmarkStart w:id="160" w:name="_Toc20472"/>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采购合同</w:t>
      </w:r>
      <w:bookmarkEnd w:id="157"/>
      <w:bookmarkEnd w:id="158"/>
      <w:bookmarkEnd w:id="159"/>
      <w:bookmarkEnd w:id="160"/>
    </w:p>
    <w:p w14:paraId="481E7F4D">
      <w:pPr>
        <w:pStyle w:val="8"/>
        <w:pageBreakBefore w:val="0"/>
        <w:kinsoku/>
        <w:wordWrap/>
        <w:overflowPunct/>
        <w:topLinePunct w:val="0"/>
        <w:bidi w:val="0"/>
        <w:spacing w:after="0" w:line="360" w:lineRule="auto"/>
        <w:jc w:val="both"/>
        <w:textAlignment w:val="auto"/>
        <w:rPr>
          <w:rFonts w:hint="eastAsia" w:ascii="宋体" w:hAnsi="宋体" w:eastAsia="宋体" w:cs="宋体"/>
          <w:b/>
          <w:bCs/>
          <w:color w:val="auto"/>
          <w:spacing w:val="-20"/>
          <w:kern w:val="44"/>
          <w:sz w:val="24"/>
          <w:szCs w:val="24"/>
          <w:highlight w:val="none"/>
        </w:rPr>
      </w:pPr>
    </w:p>
    <w:p w14:paraId="6C024A07">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1948CBD0">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2C82C013">
      <w:pPr>
        <w:pStyle w:val="8"/>
        <w:pageBreakBefore w:val="0"/>
        <w:kinsoku/>
        <w:wordWrap/>
        <w:overflowPunct/>
        <w:topLinePunct w:val="0"/>
        <w:bidi w:val="0"/>
        <w:spacing w:after="0" w:line="360" w:lineRule="auto"/>
        <w:jc w:val="center"/>
        <w:textAlignment w:val="auto"/>
        <w:rPr>
          <w:rFonts w:hint="eastAsia" w:ascii="宋体" w:hAnsi="宋体" w:eastAsia="宋体" w:cs="宋体"/>
          <w:b/>
          <w:bCs/>
          <w:color w:val="auto"/>
          <w:spacing w:val="-20"/>
          <w:kern w:val="44"/>
          <w:sz w:val="24"/>
          <w:szCs w:val="24"/>
          <w:highlight w:val="none"/>
        </w:rPr>
      </w:pPr>
    </w:p>
    <w:p w14:paraId="6E3DD6F2">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69AE4AF1">
      <w:pPr>
        <w:pStyle w:val="8"/>
        <w:rPr>
          <w:rFonts w:hint="eastAsia" w:ascii="宋体" w:hAnsi="宋体" w:eastAsia="宋体" w:cs="宋体"/>
          <w:b/>
          <w:bCs/>
          <w:color w:val="auto"/>
          <w:spacing w:val="-20"/>
          <w:kern w:val="44"/>
          <w:sz w:val="24"/>
          <w:szCs w:val="24"/>
          <w:highlight w:val="none"/>
        </w:rPr>
      </w:pPr>
    </w:p>
    <w:p w14:paraId="1DCC0BE9">
      <w:pPr>
        <w:pStyle w:val="8"/>
        <w:rPr>
          <w:rFonts w:hint="eastAsia" w:ascii="宋体" w:hAnsi="宋体" w:eastAsia="宋体" w:cs="宋体"/>
          <w:b/>
          <w:bCs/>
          <w:color w:val="auto"/>
          <w:spacing w:val="-20"/>
          <w:kern w:val="44"/>
          <w:sz w:val="24"/>
          <w:szCs w:val="24"/>
          <w:highlight w:val="none"/>
        </w:rPr>
      </w:pPr>
    </w:p>
    <w:p w14:paraId="49ADC794">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22B2A3D7">
      <w:pPr>
        <w:pStyle w:val="8"/>
        <w:pageBreakBefore w:val="0"/>
        <w:kinsoku/>
        <w:wordWrap/>
        <w:overflowPunct/>
        <w:topLinePunct w:val="0"/>
        <w:bidi w:val="0"/>
        <w:spacing w:line="360" w:lineRule="auto"/>
        <w:textAlignment w:val="auto"/>
        <w:rPr>
          <w:rFonts w:hint="eastAsia"/>
          <w:color w:val="auto"/>
          <w:highlight w:val="none"/>
        </w:rPr>
      </w:pPr>
    </w:p>
    <w:p w14:paraId="5FF8F2E5">
      <w:pPr>
        <w:pageBreakBefore w:val="0"/>
        <w:kinsoku/>
        <w:wordWrap/>
        <w:overflowPunct/>
        <w:topLinePunct w:val="0"/>
        <w:bidi w:val="0"/>
        <w:spacing w:line="360" w:lineRule="auto"/>
        <w:textAlignment w:val="auto"/>
        <w:rPr>
          <w:rFonts w:hint="eastAsia" w:ascii="宋体" w:hAnsi="宋体" w:eastAsia="宋体" w:cs="宋体"/>
          <w:b/>
          <w:bCs/>
          <w:color w:val="auto"/>
          <w:spacing w:val="-20"/>
          <w:kern w:val="44"/>
          <w:sz w:val="24"/>
          <w:szCs w:val="24"/>
          <w:highlight w:val="none"/>
        </w:rPr>
      </w:pPr>
    </w:p>
    <w:p w14:paraId="71762C8E">
      <w:pPr>
        <w:pageBreakBefore w:val="0"/>
        <w:kinsoku/>
        <w:wordWrap/>
        <w:overflowPunct/>
        <w:topLinePunct w:val="0"/>
        <w:bidi w:val="0"/>
        <w:spacing w:line="360" w:lineRule="auto"/>
        <w:ind w:left="420" w:leftChars="200"/>
        <w:textAlignment w:val="auto"/>
        <w:rPr>
          <w:rFonts w:hint="eastAsia" w:cs="Times New Roman" w:asciiTheme="minorEastAsia" w:hAnsiTheme="minorEastAsia" w:eastAsiaTheme="minorEastAsia"/>
          <w:i/>
          <w:iCs/>
          <w:color w:val="auto"/>
          <w:sz w:val="24"/>
          <w:szCs w:val="24"/>
          <w:highlight w:val="none"/>
        </w:rPr>
      </w:pPr>
      <w:r>
        <w:rPr>
          <w:rFonts w:hint="eastAsia" w:ascii="宋体" w:hAnsi="宋体" w:eastAsia="宋体" w:cs="宋体"/>
          <w:color w:val="auto"/>
          <w:kern w:val="0"/>
          <w:sz w:val="24"/>
          <w:szCs w:val="24"/>
          <w:highlight w:val="none"/>
        </w:rPr>
        <w:t>项目名称：</w:t>
      </w:r>
      <w:r>
        <w:rPr>
          <w:rFonts w:hint="eastAsia" w:ascii="宋体" w:hAnsi="宋体" w:eastAsia="宋体" w:cs="宋体"/>
          <w:color w:val="auto"/>
          <w:sz w:val="24"/>
          <w:szCs w:val="24"/>
          <w:highlight w:val="none"/>
          <w:u w:val="single"/>
        </w:rPr>
        <w:t xml:space="preserve">                             </w:t>
      </w:r>
    </w:p>
    <w:p w14:paraId="3D384426">
      <w:pPr>
        <w:pageBreakBefore w:val="0"/>
        <w:kinsoku/>
        <w:wordWrap/>
        <w:overflowPunct/>
        <w:topLinePunct w:val="0"/>
        <w:bidi w:val="0"/>
        <w:spacing w:line="360" w:lineRule="auto"/>
        <w:ind w:left="420" w:leftChars="200"/>
        <w:textAlignment w:val="auto"/>
        <w:rPr>
          <w:rFonts w:hint="eastAsia"/>
          <w:color w:val="auto"/>
          <w:highlight w:val="non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EA9484A">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合同编号：</w:t>
      </w:r>
      <w:r>
        <w:rPr>
          <w:rFonts w:hint="eastAsia" w:ascii="宋体" w:hAnsi="宋体" w:eastAsia="宋体" w:cs="宋体"/>
          <w:color w:val="auto"/>
          <w:sz w:val="24"/>
          <w:szCs w:val="24"/>
          <w:highlight w:val="none"/>
          <w:u w:val="single"/>
        </w:rPr>
        <w:t xml:space="preserve">                             </w:t>
      </w:r>
    </w:p>
    <w:p w14:paraId="15E1C78E">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rPr>
      </w:pPr>
      <w:r>
        <w:rPr>
          <w:rFonts w:hint="eastAsia" w:cs="Times New Roman" w:asciiTheme="minorEastAsia" w:hAnsiTheme="minorEastAsia" w:eastAsiaTheme="minorEastAsia"/>
          <w:color w:val="auto"/>
          <w:sz w:val="24"/>
          <w:szCs w:val="24"/>
          <w:highlight w:val="none"/>
        </w:rPr>
        <w:t>甲方（采购人）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41A86F36">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u w:val="single"/>
        </w:rPr>
      </w:pPr>
      <w:r>
        <w:rPr>
          <w:rFonts w:hint="eastAsia" w:cs="Times New Roman" w:asciiTheme="minorEastAsia" w:hAnsiTheme="minorEastAsia" w:eastAsiaTheme="minorEastAsia"/>
          <w:color w:val="auto"/>
          <w:sz w:val="24"/>
          <w:szCs w:val="24"/>
          <w:highlight w:val="none"/>
        </w:rPr>
        <w:t>乙方（中标人）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p>
    <w:p w14:paraId="6A35D745">
      <w:pPr>
        <w:pageBreakBefore w:val="0"/>
        <w:kinsoku/>
        <w:wordWrap/>
        <w:overflowPunct/>
        <w:topLinePunct w:val="0"/>
        <w:bidi w:val="0"/>
        <w:spacing w:line="360" w:lineRule="auto"/>
        <w:ind w:left="420" w:left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签订时间：</w:t>
      </w:r>
      <w:r>
        <w:rPr>
          <w:rFonts w:hint="eastAsia" w:ascii="宋体" w:hAnsi="宋体" w:eastAsia="宋体" w:cs="宋体"/>
          <w:color w:val="auto"/>
          <w:sz w:val="24"/>
          <w:szCs w:val="24"/>
          <w:highlight w:val="none"/>
          <w:u w:val="single"/>
        </w:rPr>
        <w:t xml:space="preserve">                             </w:t>
      </w:r>
    </w:p>
    <w:p w14:paraId="2658675D">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p w14:paraId="0BC445A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55B68EEC">
      <w:pPr>
        <w:pageBreakBefore w:val="0"/>
        <w:kinsoku/>
        <w:wordWrap/>
        <w:overflowPunct/>
        <w:topLinePunct w:val="0"/>
        <w:bidi w:val="0"/>
        <w:spacing w:line="360" w:lineRule="auto"/>
        <w:jc w:val="center"/>
        <w:textAlignment w:val="auto"/>
        <w:outlineLvl w:val="1"/>
        <w:rPr>
          <w:rFonts w:hint="eastAsia" w:cs="@仿宋_GB2312" w:asciiTheme="minorEastAsia" w:hAnsiTheme="minorEastAsia" w:eastAsiaTheme="minorEastAsia"/>
          <w:b/>
          <w:color w:val="auto"/>
          <w:sz w:val="24"/>
          <w:szCs w:val="20"/>
          <w:highlight w:val="none"/>
        </w:rPr>
      </w:pPr>
      <w:bookmarkStart w:id="161" w:name="_Toc28008"/>
      <w:bookmarkStart w:id="162" w:name="_Toc18752"/>
      <w:bookmarkStart w:id="163" w:name="_Toc32537"/>
      <w:r>
        <w:rPr>
          <w:rFonts w:hint="eastAsia" w:cs="@仿宋_GB2312" w:asciiTheme="minorEastAsia" w:hAnsiTheme="minorEastAsia" w:eastAsiaTheme="minorEastAsia"/>
          <w:b/>
          <w:color w:val="auto"/>
          <w:sz w:val="24"/>
          <w:szCs w:val="20"/>
          <w:highlight w:val="none"/>
        </w:rPr>
        <w:t>第一节 采购合同协议书</w:t>
      </w:r>
      <w:bookmarkEnd w:id="161"/>
      <w:bookmarkEnd w:id="162"/>
    </w:p>
    <w:p w14:paraId="110AB0DD">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p>
    <w:p w14:paraId="2C535A06">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eastAsia="zh-CN"/>
        </w:rPr>
        <w:t>、受采购人委托签订合同的单位</w:t>
      </w:r>
      <w:r>
        <w:rPr>
          <w:rFonts w:hint="eastAsia" w:ascii="宋体" w:hAnsi="宋体" w:eastAsia="宋体" w:cs="宋体"/>
          <w:color w:val="auto"/>
          <w:sz w:val="24"/>
          <w:szCs w:val="24"/>
          <w:highlight w:val="none"/>
        </w:rPr>
        <w:t>或采购文件约定的合同甲方）</w:t>
      </w:r>
    </w:p>
    <w:p w14:paraId="6653F6AD">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（供应商）</w:t>
      </w:r>
    </w:p>
    <w:p w14:paraId="7A2CBA31">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乙方2（全称）：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（联合体成员供应商或其他合同主体）（如有）</w:t>
      </w:r>
    </w:p>
    <w:p w14:paraId="672DE881">
      <w:pPr>
        <w:pageBreakBefore w:val="0"/>
        <w:kinsoku/>
        <w:wordWrap/>
        <w:overflowPunct/>
        <w:topLinePunct w:val="0"/>
        <w:bidi w:val="0"/>
        <w:adjustRightInd w:val="0"/>
        <w:snapToGrid w:val="0"/>
        <w:spacing w:before="0"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lang w:val="en-US" w:eastAsia="zh-CN"/>
        </w:rPr>
        <w:t>3（全称）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（联合体成员供应商或其他合同主体）（如有）</w:t>
      </w:r>
    </w:p>
    <w:p w14:paraId="01C495EE">
      <w:pPr>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p>
    <w:p w14:paraId="3FF9063A">
      <w:pPr>
        <w:pStyle w:val="9"/>
        <w:pageBreakBefore w:val="0"/>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依据《中华人民共和国民法典》等有关的法律法规，以及</w:t>
      </w:r>
      <w:r>
        <w:rPr>
          <w:rFonts w:hint="eastAsia" w:ascii="宋体" w:hAnsi="宋体" w:eastAsia="宋体" w:cs="宋体"/>
          <w:i w:val="0"/>
          <w:iCs w:val="0"/>
          <w:color w:val="auto"/>
          <w:sz w:val="24"/>
          <w:szCs w:val="24"/>
          <w:highlight w:val="none"/>
          <w:u w:val="none"/>
          <w:lang w:eastAsia="zh-CN"/>
        </w:rPr>
        <w:t>本采购项目</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招标</w:t>
      </w:r>
      <w:r>
        <w:rPr>
          <w:rFonts w:hint="eastAsia" w:ascii="宋体" w:hAnsi="宋体" w:eastAsia="宋体" w:cs="宋体"/>
          <w:color w:val="auto"/>
          <w:sz w:val="24"/>
          <w:szCs w:val="24"/>
          <w:highlight w:val="none"/>
          <w:lang w:val="en-US" w:eastAsia="zh-CN"/>
        </w:rPr>
        <w:t>/谈判</w:t>
      </w:r>
      <w:r>
        <w:rPr>
          <w:rFonts w:hint="eastAsia" w:ascii="宋体" w:hAnsi="宋体" w:eastAsia="宋体" w:cs="宋体"/>
          <w:color w:val="auto"/>
          <w:sz w:val="24"/>
          <w:szCs w:val="24"/>
          <w:highlight w:val="none"/>
          <w:lang w:eastAsia="zh-CN"/>
        </w:rPr>
        <w:t>文件等</w:t>
      </w:r>
      <w:r>
        <w:rPr>
          <w:rFonts w:hint="eastAsia" w:ascii="宋体" w:hAnsi="宋体" w:eastAsia="宋体" w:cs="宋体"/>
          <w:color w:val="auto"/>
          <w:sz w:val="24"/>
          <w:szCs w:val="24"/>
          <w:highlight w:val="none"/>
        </w:rPr>
        <w:t>采购文件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乙方的《投标（响应）文件》及《中标（成交）通知书》，甲乙双方同意签订本合同。具体情况及要求如下：     </w:t>
      </w:r>
    </w:p>
    <w:p w14:paraId="695F4F95">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项目信息</w:t>
      </w:r>
    </w:p>
    <w:p w14:paraId="7B4135C7">
      <w:pPr>
        <w:pStyle w:val="9"/>
        <w:pageBreakBefore w:val="0"/>
        <w:numPr>
          <w:ilvl w:val="0"/>
          <w:numId w:val="2"/>
        </w:numPr>
        <w:kinsoku/>
        <w:wordWrap/>
        <w:overflowPunct/>
        <w:topLinePunct w:val="0"/>
        <w:bidi w:val="0"/>
        <w:adjustRightInd w:val="0"/>
        <w:snapToGrid w:val="0"/>
        <w:spacing w:before="0" w:beforeLines="0" w:after="0" w:line="360" w:lineRule="auto"/>
        <w:ind w:left="0" w:leftChars="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采购项目名称：</w:t>
      </w:r>
      <w:r>
        <w:rPr>
          <w:rFonts w:hint="eastAsia" w:ascii="宋体" w:hAnsi="宋体" w:eastAsia="宋体" w:cs="宋体"/>
          <w:color w:val="auto"/>
          <w:sz w:val="24"/>
          <w:szCs w:val="24"/>
          <w:highlight w:val="none"/>
          <w:u w:val="single"/>
        </w:rPr>
        <w:t xml:space="preserve">                                          </w:t>
      </w:r>
    </w:p>
    <w:p w14:paraId="1F88D8AE">
      <w:pPr>
        <w:pStyle w:val="9"/>
        <w:pageBreakBefore w:val="0"/>
        <w:numPr>
          <w:ilvl w:val="-1"/>
          <w:numId w:val="0"/>
        </w:numPr>
        <w:tabs>
          <w:tab w:val="left" w:pos="999"/>
        </w:tabs>
        <w:kinsoku/>
        <w:wordWrap/>
        <w:overflowPunct/>
        <w:topLinePunct w:val="0"/>
        <w:bidi w:val="0"/>
        <w:adjustRightInd w:val="0"/>
        <w:snapToGrid w:val="0"/>
        <w:spacing w:before="0" w:beforeLines="0" w:after="0" w:line="360" w:lineRule="auto"/>
        <w:ind w:left="0" w:leftChars="0" w:firstLine="0" w:firstLineChars="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u w:val="none"/>
          <w:lang w:val="en-US" w:eastAsia="zh-CN"/>
        </w:rPr>
        <w:t xml:space="preserve">         采购项目编号：</w:t>
      </w:r>
      <w:r>
        <w:rPr>
          <w:rFonts w:hint="eastAsia" w:ascii="宋体" w:hAnsi="宋体" w:eastAsia="宋体" w:cs="宋体"/>
          <w:color w:val="auto"/>
          <w:sz w:val="24"/>
          <w:szCs w:val="24"/>
          <w:highlight w:val="none"/>
          <w:u w:val="single"/>
        </w:rPr>
        <w:t xml:space="preserve">                                          </w:t>
      </w:r>
    </w:p>
    <w:p w14:paraId="0A93BAE3">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（2）项目内容：</w:t>
      </w:r>
    </w:p>
    <w:p w14:paraId="13A9EFBF">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采购标的及数量</w:t>
      </w:r>
      <w:r>
        <w:rPr>
          <w:rFonts w:hint="eastAsia" w:ascii="宋体" w:hAnsi="宋体" w:eastAsia="宋体" w:cs="宋体"/>
          <w:color w:val="auto"/>
          <w:sz w:val="24"/>
          <w:szCs w:val="24"/>
          <w:highlight w:val="none"/>
          <w:lang w:val="en-US" w:eastAsia="zh-CN"/>
        </w:rPr>
        <w:t>（台/套</w:t>
      </w:r>
      <w:r>
        <w:rPr>
          <w:rFonts w:hint="eastAsia" w:ascii="宋体" w:hAnsi="宋体" w:eastAsia="宋体" w:cs="宋体"/>
          <w:color w:val="auto"/>
          <w:sz w:val="24"/>
          <w:szCs w:val="24"/>
          <w:highlight w:val="none"/>
          <w:lang w:val="en" w:eastAsia="zh-CN"/>
        </w:rPr>
        <w:t>/个/架/组等</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77AEA900">
      <w:pPr>
        <w:pageBreakBefore w:val="0"/>
        <w:numPr>
          <w:ilvl w:val="-1"/>
          <w:numId w:val="0"/>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val="en" w:eastAsia="zh-CN"/>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 w:eastAsia="zh-CN"/>
        </w:rPr>
        <w:t xml:space="preserve">     </w:t>
      </w:r>
      <w:r>
        <w:rPr>
          <w:rFonts w:hint="eastAsia" w:ascii="宋体" w:hAnsi="宋体" w:eastAsia="宋体" w:cs="宋体"/>
          <w:color w:val="auto"/>
          <w:sz w:val="24"/>
          <w:szCs w:val="24"/>
          <w:highlight w:val="none"/>
          <w:lang w:val="en-US" w:eastAsia="zh-CN"/>
        </w:rPr>
        <w:t>规格型号：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 w:eastAsia="zh-CN"/>
        </w:rPr>
        <w:t xml:space="preserve">   </w:t>
      </w:r>
    </w:p>
    <w:p w14:paraId="15BC2A72">
      <w:pPr>
        <w:pageBreakBefore w:val="0"/>
        <w:kinsoku/>
        <w:wordWrap/>
        <w:overflowPunct/>
        <w:topLinePunct w:val="0"/>
        <w:bidi w:val="0"/>
        <w:adjustRightInd w:val="0"/>
        <w:snapToGrid w:val="0"/>
        <w:spacing w:before="0" w:beforeLines="0" w:line="360" w:lineRule="auto"/>
        <w:ind w:firstLine="1080" w:firstLineChars="45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u w:val="none"/>
          <w:lang w:val="en-US" w:eastAsia="zh-CN"/>
        </w:rPr>
        <w:t>采购标的的技术要求、商务要求具体见附件。</w:t>
      </w:r>
    </w:p>
    <w:p w14:paraId="6900A93A">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合同金额</w:t>
      </w:r>
    </w:p>
    <w:p w14:paraId="683BD43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（1）合同金额小写：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71715BD6">
      <w:pPr>
        <w:pageBreakBefore w:val="0"/>
        <w:kinsoku/>
        <w:wordWrap/>
        <w:overflowPunct/>
        <w:topLinePunct w:val="0"/>
        <w:bidi w:val="0"/>
        <w:adjustRightInd w:val="0"/>
        <w:snapToGrid w:val="0"/>
        <w:spacing w:before="0" w:beforeLines="0" w:line="360" w:lineRule="auto"/>
        <w:ind w:left="0"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031DAD9D">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分包金额</w:t>
      </w:r>
      <w:r>
        <w:rPr>
          <w:rFonts w:hint="eastAsia" w:ascii="宋体" w:hAnsi="宋体" w:eastAsia="宋体" w:cs="宋体"/>
          <w:color w:val="auto"/>
          <w:sz w:val="24"/>
          <w:szCs w:val="24"/>
          <w:highlight w:val="none"/>
          <w:lang w:eastAsia="zh-CN"/>
        </w:rPr>
        <w:t>（如有）</w:t>
      </w:r>
      <w:r>
        <w:rPr>
          <w:rFonts w:hint="eastAsia" w:ascii="宋体" w:hAnsi="宋体" w:eastAsia="宋体" w:cs="宋体"/>
          <w:color w:val="auto"/>
          <w:sz w:val="24"/>
          <w:szCs w:val="24"/>
          <w:highlight w:val="none"/>
        </w:rPr>
        <w:t>小写：</w:t>
      </w:r>
      <w:r>
        <w:rPr>
          <w:rFonts w:hint="eastAsia" w:ascii="宋体" w:hAnsi="宋体" w:eastAsia="宋体" w:cs="宋体"/>
          <w:color w:val="auto"/>
          <w:sz w:val="24"/>
          <w:szCs w:val="24"/>
          <w:highlight w:val="none"/>
          <w:u w:val="single"/>
        </w:rPr>
        <w:t xml:space="preserve">                   </w:t>
      </w:r>
    </w:p>
    <w:p w14:paraId="322F1BD3">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17B35933">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（注：固定单价合同应填写单价和最高限价）</w:t>
      </w:r>
    </w:p>
    <w:p w14:paraId="1476167D">
      <w:pPr>
        <w:pageBreakBefore w:val="0"/>
        <w:numPr>
          <w:ilvl w:val="-1"/>
          <w:numId w:val="0"/>
        </w:numPr>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合同定价方式</w:t>
      </w:r>
      <w:r>
        <w:rPr>
          <w:rFonts w:hint="eastAsia" w:ascii="宋体" w:hAnsi="宋体" w:eastAsia="宋体" w:cs="宋体"/>
          <w:color w:val="auto"/>
          <w:sz w:val="24"/>
          <w:szCs w:val="24"/>
          <w:highlight w:val="none"/>
          <w:lang w:eastAsia="zh-CN"/>
        </w:rPr>
        <w:t>（采用组合定价方式的，可以勾选多项）</w:t>
      </w:r>
      <w:r>
        <w:rPr>
          <w:rFonts w:hint="eastAsia" w:ascii="宋体" w:hAnsi="宋体" w:eastAsia="宋体" w:cs="宋体"/>
          <w:color w:val="auto"/>
          <w:sz w:val="24"/>
          <w:szCs w:val="24"/>
          <w:highlight w:val="none"/>
        </w:rPr>
        <w:t>：</w:t>
      </w:r>
    </w:p>
    <w:p w14:paraId="5FED19F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FE"/>
      </w:r>
      <w:r>
        <w:rPr>
          <w:rFonts w:hint="eastAsia" w:ascii="宋体" w:hAnsi="宋体" w:eastAsia="宋体" w:cs="宋体"/>
          <w:iCs/>
          <w:color w:val="auto"/>
          <w:sz w:val="24"/>
          <w:szCs w:val="24"/>
          <w:highlight w:val="none"/>
        </w:rPr>
        <w:t xml:space="preserve">固定总价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固定单价</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固定费率</w:t>
      </w:r>
      <w:r>
        <w:rPr>
          <w:rFonts w:hint="eastAsia" w:ascii="宋体" w:hAnsi="宋体" w:eastAsia="宋体" w:cs="宋体"/>
          <w:iCs/>
          <w:color w:val="auto"/>
          <w:sz w:val="24"/>
          <w:szCs w:val="24"/>
          <w:highlight w:val="none"/>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成本补偿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绩效激励</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lang w:eastAsia="zh-CN"/>
        </w:rPr>
        <w:t>其他</w:t>
      </w:r>
      <w:r>
        <w:rPr>
          <w:rFonts w:hint="eastAsia" w:ascii="宋体" w:hAnsi="宋体" w:eastAsia="宋体" w:cs="宋体"/>
          <w:color w:val="auto"/>
          <w:sz w:val="24"/>
          <w:szCs w:val="24"/>
          <w:highlight w:val="none"/>
          <w:u w:val="single"/>
        </w:rPr>
        <w:t xml:space="preserve">       </w:t>
      </w:r>
    </w:p>
    <w:p w14:paraId="3D02DEA7">
      <w:pPr>
        <w:pStyle w:val="72"/>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）付款方式（按项目实际勾选填写）：</w:t>
      </w:r>
    </w:p>
    <w:p w14:paraId="43E56E14">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FE"/>
      </w:r>
      <w:r>
        <w:rPr>
          <w:rFonts w:hint="eastAsia" w:ascii="宋体" w:hAnsi="宋体" w:eastAsia="宋体" w:cs="宋体"/>
          <w:color w:val="auto"/>
          <w:sz w:val="24"/>
          <w:szCs w:val="24"/>
          <w:highlight w:val="none"/>
        </w:rPr>
        <w:t>全额付款：</w:t>
      </w:r>
      <w:r>
        <w:rPr>
          <w:rFonts w:hint="eastAsia" w:ascii="宋体" w:hAnsi="宋体" w:eastAsia="宋体" w:cs="宋体"/>
          <w:color w:val="auto"/>
          <w:sz w:val="24"/>
          <w:szCs w:val="24"/>
          <w:highlight w:val="none"/>
          <w:u w:val="single"/>
        </w:rPr>
        <w:t xml:space="preserve">  经验收合格后6个月后依照医院付款流程支付。            </w:t>
      </w:r>
    </w:p>
    <w:p w14:paraId="2CD465A4">
      <w:pPr>
        <w:pageBreakBefore w:val="0"/>
        <w:kinsoku/>
        <w:wordWrap/>
        <w:overflowPunct/>
        <w:topLinePunct w:val="0"/>
        <w:bidi w:val="0"/>
        <w:snapToGrid w:val="0"/>
        <w:spacing w:beforeLines="0"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分期付款：</w:t>
      </w:r>
      <w:r>
        <w:rPr>
          <w:rFonts w:hint="eastAsia" w:ascii="宋体" w:hAnsi="宋体" w:eastAsia="宋体" w:cs="宋体"/>
          <w:color w:val="auto"/>
          <w:sz w:val="24"/>
          <w:szCs w:val="24"/>
          <w:highlight w:val="none"/>
          <w:u w:val="single"/>
        </w:rPr>
        <w:t xml:space="preserve">  （应明确分期支付合同款项的各期比例和支付条件</w:t>
      </w:r>
      <w:r>
        <w:rPr>
          <w:rFonts w:hint="eastAsia" w:ascii="宋体" w:hAnsi="宋体" w:eastAsia="宋体" w:cs="宋体"/>
          <w:color w:val="auto"/>
          <w:sz w:val="24"/>
          <w:szCs w:val="24"/>
          <w:highlight w:val="none"/>
          <w:u w:val="single"/>
          <w:lang w:eastAsia="zh-CN"/>
        </w:rPr>
        <w:t>，各期支付条件应与分期履约验收情况挂钩</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lang w:eastAsia="zh-CN"/>
        </w:rPr>
        <w:t>其中涉及预付款的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（应明确预付款的支付比例和支付条件） </w:t>
      </w:r>
    </w:p>
    <w:p w14:paraId="61DC0353">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成本补偿：</w:t>
      </w:r>
      <w:r>
        <w:rPr>
          <w:rFonts w:hint="eastAsia" w:ascii="宋体" w:hAnsi="宋体" w:eastAsia="宋体" w:cs="宋体"/>
          <w:color w:val="auto"/>
          <w:sz w:val="24"/>
          <w:szCs w:val="24"/>
          <w:highlight w:val="none"/>
          <w:u w:val="single"/>
        </w:rPr>
        <w:t xml:space="preserve">      （应明确按照成本补偿方式的支付方式和支付条件）   </w:t>
      </w:r>
    </w:p>
    <w:p w14:paraId="7A07431A">
      <w:pPr>
        <w:pageBreakBefore w:val="0"/>
        <w:kinsoku/>
        <w:wordWrap/>
        <w:overflowPunct/>
        <w:topLinePunct w:val="0"/>
        <w:bidi w:val="0"/>
        <w:adjustRightInd w:val="0"/>
        <w:snapToGrid w:val="0"/>
        <w:spacing w:before="0" w:beforeLines="0"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rPr>
        <w:t>绩效激励：</w:t>
      </w:r>
      <w:r>
        <w:rPr>
          <w:rFonts w:hint="eastAsia" w:ascii="宋体" w:hAnsi="宋体" w:eastAsia="宋体" w:cs="宋体"/>
          <w:color w:val="auto"/>
          <w:sz w:val="24"/>
          <w:szCs w:val="24"/>
          <w:highlight w:val="none"/>
          <w:u w:val="single"/>
        </w:rPr>
        <w:t xml:space="preserve">      （应明确按照绩效激励方式的支付方式和支付条件）   </w:t>
      </w:r>
    </w:p>
    <w:p w14:paraId="51529FFB">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bCs w:val="0"/>
          <w:color w:val="auto"/>
          <w:sz w:val="24"/>
          <w:szCs w:val="24"/>
          <w:highlight w:val="none"/>
          <w:u w:val="single"/>
        </w:rPr>
      </w:pPr>
      <w:r>
        <w:rPr>
          <w:rFonts w:hint="eastAsia" w:ascii="宋体" w:hAnsi="宋体" w:eastAsia="宋体" w:cs="宋体"/>
          <w:b/>
          <w:bCs w:val="0"/>
          <w:color w:val="auto"/>
          <w:sz w:val="24"/>
          <w:szCs w:val="24"/>
          <w:highlight w:val="none"/>
        </w:rPr>
        <w:t>合同履行</w:t>
      </w:r>
    </w:p>
    <w:p w14:paraId="12CE4E48">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（1）起始日期：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日，完成日期：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3E4F2D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履约</w:t>
      </w:r>
      <w:r>
        <w:rPr>
          <w:rFonts w:hint="eastAsia" w:ascii="宋体" w:hAnsi="宋体" w:eastAsia="宋体" w:cs="宋体"/>
          <w:color w:val="auto"/>
          <w:sz w:val="24"/>
          <w:szCs w:val="24"/>
          <w:highlight w:val="none"/>
        </w:rPr>
        <w:t>地点</w:t>
      </w:r>
      <w:r>
        <w:rPr>
          <w:rFonts w:hint="eastAsia" w:ascii="宋体" w:hAnsi="宋体" w:eastAsia="宋体" w:cs="宋体"/>
          <w:b w:val="0"/>
          <w:bCs/>
          <w:color w:val="auto"/>
          <w:sz w:val="24"/>
          <w:szCs w:val="24"/>
          <w:highlight w:val="none"/>
        </w:rPr>
        <w:t>：</w:t>
      </w:r>
      <w:r>
        <w:rPr>
          <w:rFonts w:hint="eastAsia" w:ascii="宋体" w:hAnsi="宋体" w:eastAsia="宋体" w:cs="宋体"/>
          <w:color w:val="auto"/>
          <w:sz w:val="24"/>
          <w:szCs w:val="24"/>
          <w:highlight w:val="none"/>
          <w:u w:val="single"/>
        </w:rPr>
        <w:t xml:space="preserve">                             </w:t>
      </w:r>
    </w:p>
    <w:p w14:paraId="14C2355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rPr>
        <w:t>（3）履约担保：</w:t>
      </w:r>
      <w:r>
        <w:rPr>
          <w:rFonts w:hint="eastAsia" w:ascii="宋体" w:hAnsi="宋体" w:eastAsia="宋体" w:cs="宋体"/>
          <w:color w:val="auto"/>
          <w:sz w:val="24"/>
          <w:szCs w:val="24"/>
          <w:highlight w:val="none"/>
          <w:lang w:val="en-US" w:eastAsia="zh-CN"/>
        </w:rPr>
        <w:t>是否收取履约保证金：</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eastAsia="zh-CN"/>
        </w:rPr>
        <w:t>是</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color w:val="auto"/>
          <w:sz w:val="24"/>
          <w:szCs w:val="24"/>
          <w:highlight w:val="none"/>
          <w:lang w:eastAsia="zh-CN"/>
        </w:rPr>
        <w:t>否</w:t>
      </w:r>
    </w:p>
    <w:p w14:paraId="3C60D95C">
      <w:pPr>
        <w:pStyle w:val="71"/>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 xml:space="preserve">  收取履约保证金形式：</w:t>
      </w:r>
      <w:r>
        <w:rPr>
          <w:rFonts w:hint="eastAsia" w:ascii="宋体" w:hAnsi="宋体" w:eastAsia="宋体" w:cs="宋体"/>
          <w:bCs/>
          <w:color w:val="auto"/>
          <w:sz w:val="24"/>
          <w:szCs w:val="24"/>
          <w:highlight w:val="none"/>
          <w:u w:val="single"/>
        </w:rPr>
        <w:t xml:space="preserve">                            </w:t>
      </w:r>
    </w:p>
    <w:p w14:paraId="07456CAB">
      <w:pPr>
        <w:pStyle w:val="71"/>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收取履约保证金金额：</w:t>
      </w:r>
      <w:r>
        <w:rPr>
          <w:rFonts w:hint="eastAsia" w:ascii="宋体" w:hAnsi="宋体" w:eastAsia="宋体" w:cs="宋体"/>
          <w:bCs/>
          <w:color w:val="auto"/>
          <w:sz w:val="24"/>
          <w:szCs w:val="24"/>
          <w:highlight w:val="none"/>
          <w:u w:val="single"/>
        </w:rPr>
        <w:t xml:space="preserve">                            </w:t>
      </w:r>
    </w:p>
    <w:p w14:paraId="20CC5406">
      <w:pPr>
        <w:pageBreakBefore w:val="0"/>
        <w:kinsoku/>
        <w:wordWrap/>
        <w:overflowPunct/>
        <w:topLinePunct w:val="0"/>
        <w:bidi w:val="0"/>
        <w:snapToGrid w:val="0"/>
        <w:spacing w:beforeLines="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Cs/>
          <w:color w:val="auto"/>
          <w:sz w:val="24"/>
          <w:szCs w:val="24"/>
          <w:highlight w:val="none"/>
          <w:u w:val="none"/>
          <w:lang w:val="en-US" w:eastAsia="zh-CN"/>
        </w:rPr>
        <w:t xml:space="preserve">    履约担保期限</w:t>
      </w:r>
      <w:r>
        <w:rPr>
          <w:rFonts w:hint="eastAsia" w:ascii="宋体" w:hAnsi="宋体" w:eastAsia="宋体" w:cs="宋体"/>
          <w:bCs/>
          <w:color w:val="auto"/>
          <w:sz w:val="24"/>
          <w:szCs w:val="24"/>
          <w:highlight w:val="none"/>
          <w:u w:val="non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40F836C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（4）分期履行要求：</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057BECE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（5）</w:t>
      </w:r>
      <w:r>
        <w:rPr>
          <w:rFonts w:hint="eastAsia" w:ascii="宋体" w:hAnsi="宋体" w:eastAsia="宋体" w:cs="宋体"/>
          <w:bCs/>
          <w:color w:val="auto"/>
          <w:sz w:val="24"/>
          <w:szCs w:val="24"/>
          <w:highlight w:val="none"/>
          <w:lang w:eastAsia="zh-CN"/>
        </w:rPr>
        <w:t>风险处置措施和替代方案</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u w:val="single"/>
        </w:rPr>
        <w:t xml:space="preserve">                                                               </w:t>
      </w:r>
    </w:p>
    <w:p w14:paraId="7FF60DA8">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合同验收</w:t>
      </w:r>
    </w:p>
    <w:p w14:paraId="17CDA854">
      <w:pPr>
        <w:pageBreakBefore w:val="0"/>
        <w:numPr>
          <w:ilvl w:val="0"/>
          <w:numId w:val="3"/>
        </w:numPr>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验收组织方式：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自行组织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委托第三方组织</w:t>
      </w:r>
    </w:p>
    <w:p w14:paraId="1B5C94FF">
      <w:pPr>
        <w:pageBreakBefore w:val="0"/>
        <w:numPr>
          <w:ilvl w:val="0"/>
          <w:numId w:val="0"/>
        </w:numPr>
        <w:kinsoku/>
        <w:wordWrap/>
        <w:overflowPunct/>
        <w:topLinePunct w:val="0"/>
        <w:bidi w:val="0"/>
        <w:adjustRightInd w:val="0"/>
        <w:snapToGrid w:val="0"/>
        <w:spacing w:before="0" w:beforeLines="0" w:line="360" w:lineRule="auto"/>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验收主体：</w:t>
      </w:r>
      <w:r>
        <w:rPr>
          <w:rFonts w:hint="eastAsia" w:ascii="宋体" w:hAnsi="宋体" w:eastAsia="宋体" w:cs="宋体"/>
          <w:bCs/>
          <w:color w:val="auto"/>
          <w:sz w:val="24"/>
          <w:szCs w:val="24"/>
          <w:highlight w:val="none"/>
          <w:u w:val="single"/>
        </w:rPr>
        <w:t xml:space="preserve">                  </w:t>
      </w:r>
    </w:p>
    <w:p w14:paraId="64CC7EF4">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bCs/>
          <w:color w:val="auto"/>
          <w:sz w:val="24"/>
          <w:szCs w:val="24"/>
          <w:highlight w:val="none"/>
        </w:rPr>
        <w:t>是否邀请本项目的其他供应商</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A360BA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是否邀请专家</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3C76528C">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是否邀请服务对象</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4DE854F7">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是否邀请第三方检测机构</w:t>
      </w:r>
      <w:r>
        <w:rPr>
          <w:rFonts w:hint="eastAsia" w:ascii="宋体" w:hAnsi="宋体" w:eastAsia="宋体" w:cs="宋体"/>
          <w:bCs/>
          <w:color w:val="auto"/>
          <w:sz w:val="24"/>
          <w:szCs w:val="24"/>
          <w:highlight w:val="none"/>
          <w:lang w:eastAsia="zh-CN"/>
        </w:rPr>
        <w:t>参加验收</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57CA98A5">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是否进行抽查检测：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lang w:eastAsia="zh-CN"/>
        </w:rPr>
        <w:t>，抽查比例：</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106ABAA3">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u w:val="single"/>
          <w:lang w:eastAsia="zh-CN"/>
        </w:rPr>
      </w:pPr>
      <w:r>
        <w:rPr>
          <w:rFonts w:hint="eastAsia" w:ascii="宋体" w:hAnsi="宋体" w:eastAsia="宋体" w:cs="宋体"/>
          <w:bCs/>
          <w:color w:val="auto"/>
          <w:sz w:val="24"/>
          <w:szCs w:val="24"/>
          <w:highlight w:val="none"/>
          <w:lang w:val="en-US" w:eastAsia="zh-CN"/>
        </w:rPr>
        <w:t>是否存在破坏性检测：</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是</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u w:val="single"/>
          <w:lang w:eastAsia="zh-CN"/>
        </w:rPr>
        <w:t>（应明确对被破坏的检测产品的处理方式）</w:t>
      </w:r>
    </w:p>
    <w:p w14:paraId="1339F8BE">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2B56DD1D">
      <w:pPr>
        <w:pageBreakBefore w:val="0"/>
        <w:kinsoku/>
        <w:wordWrap/>
        <w:overflowPunct/>
        <w:topLinePunct w:val="0"/>
        <w:bidi w:val="0"/>
        <w:adjustRightInd w:val="0"/>
        <w:snapToGrid w:val="0"/>
        <w:spacing w:before="0" w:beforeLines="0" w:line="360" w:lineRule="auto"/>
        <w:ind w:firstLine="960" w:firstLineChars="4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验收组织的其他事项：</w:t>
      </w:r>
      <w:r>
        <w:rPr>
          <w:rFonts w:hint="eastAsia" w:ascii="宋体" w:hAnsi="宋体" w:eastAsia="宋体" w:cs="宋体"/>
          <w:bCs/>
          <w:color w:val="auto"/>
          <w:sz w:val="24"/>
          <w:szCs w:val="24"/>
          <w:highlight w:val="none"/>
          <w:u w:val="single"/>
        </w:rPr>
        <w:t xml:space="preserve">                </w:t>
      </w:r>
    </w:p>
    <w:p w14:paraId="65CBE5C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（2）履约验收时间：</w:t>
      </w:r>
      <w:r>
        <w:rPr>
          <w:rFonts w:hint="eastAsia" w:ascii="宋体" w:hAnsi="宋体" w:eastAsia="宋体" w:cs="宋体"/>
          <w:bCs/>
          <w:color w:val="auto"/>
          <w:sz w:val="24"/>
          <w:szCs w:val="24"/>
          <w:highlight w:val="none"/>
          <w:u w:val="single"/>
        </w:rPr>
        <w:t>（计划于何时验收/供应商提出验收申请之日起   日内组织验收）</w:t>
      </w:r>
      <w:r>
        <w:rPr>
          <w:rFonts w:hint="eastAsia" w:ascii="宋体" w:hAnsi="宋体" w:eastAsia="宋体" w:cs="宋体"/>
          <w:bCs/>
          <w:color w:val="auto"/>
          <w:sz w:val="24"/>
          <w:szCs w:val="24"/>
          <w:highlight w:val="none"/>
          <w:u w:val="single"/>
          <w:lang w:val="en-US" w:eastAsia="zh-CN"/>
        </w:rPr>
        <w:t xml:space="preserve"> </w:t>
      </w:r>
    </w:p>
    <w:p w14:paraId="19FDF4B4">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（3）履约验收方式：</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一次性验收         </w:t>
      </w:r>
    </w:p>
    <w:p w14:paraId="6B0FD550">
      <w:pPr>
        <w:pageBreakBefore w:val="0"/>
        <w:kinsoku/>
        <w:wordWrap/>
        <w:overflowPunct/>
        <w:topLinePunct w:val="0"/>
        <w:bidi w:val="0"/>
        <w:adjustRightInd w:val="0"/>
        <w:snapToGrid w:val="0"/>
        <w:spacing w:before="0" w:beforeLines="0" w:line="360" w:lineRule="auto"/>
        <w:ind w:firstLine="0" w:firstLineChars="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 xml:space="preserve">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分期/分项验收</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eastAsia="zh-CN"/>
        </w:rPr>
        <w:t>（应明确分期</w:t>
      </w:r>
      <w:r>
        <w:rPr>
          <w:rFonts w:hint="eastAsia" w:ascii="宋体" w:hAnsi="宋体" w:eastAsia="宋体" w:cs="宋体"/>
          <w:bCs/>
          <w:color w:val="auto"/>
          <w:sz w:val="24"/>
          <w:szCs w:val="24"/>
          <w:highlight w:val="none"/>
          <w:u w:val="single"/>
          <w:lang w:val="en" w:eastAsia="zh-CN"/>
        </w:rPr>
        <w:t>/分项验收的工作安排</w:t>
      </w:r>
      <w:r>
        <w:rPr>
          <w:rFonts w:hint="eastAsia" w:ascii="宋体" w:hAnsi="宋体" w:eastAsia="宋体" w:cs="宋体"/>
          <w:bCs/>
          <w:color w:val="auto"/>
          <w:sz w:val="24"/>
          <w:szCs w:val="24"/>
          <w:highlight w:val="none"/>
          <w:u w:val="single"/>
          <w:lang w:eastAsia="zh-CN"/>
        </w:rPr>
        <w:t>）</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p>
    <w:p w14:paraId="05DE39D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（4）履约验收程序：</w:t>
      </w:r>
      <w:r>
        <w:rPr>
          <w:rFonts w:hint="eastAsia" w:ascii="宋体" w:hAnsi="宋体" w:eastAsia="宋体" w:cs="宋体"/>
          <w:bCs/>
          <w:color w:val="auto"/>
          <w:sz w:val="24"/>
          <w:szCs w:val="24"/>
          <w:highlight w:val="none"/>
          <w:u w:val="single"/>
        </w:rPr>
        <w:t xml:space="preserve">                                         </w:t>
      </w:r>
    </w:p>
    <w:p w14:paraId="024BA043">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（5）履约验收的内容：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p>
    <w:p w14:paraId="0F2DE3A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（6）履约验收标准：</w:t>
      </w:r>
      <w:r>
        <w:rPr>
          <w:rFonts w:hint="eastAsia" w:ascii="宋体" w:hAnsi="宋体" w:eastAsia="宋体" w:cs="宋体"/>
          <w:bCs/>
          <w:color w:val="auto"/>
          <w:sz w:val="24"/>
          <w:szCs w:val="24"/>
          <w:highlight w:val="none"/>
          <w:u w:val="single"/>
        </w:rPr>
        <w:t xml:space="preserve">                                         </w:t>
      </w:r>
    </w:p>
    <w:p w14:paraId="28866898">
      <w:pPr>
        <w:pStyle w:val="71"/>
        <w:pageBreakBefore w:val="0"/>
        <w:kinsoku/>
        <w:wordWrap/>
        <w:overflowPunct/>
        <w:topLinePunct w:val="0"/>
        <w:bidi w:val="0"/>
        <w:spacing w:beforeLines="0"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bCs/>
          <w:color w:val="auto"/>
          <w:sz w:val="24"/>
          <w:szCs w:val="24"/>
          <w:highlight w:val="none"/>
          <w:u w:val="none"/>
          <w:lang w:eastAsia="zh-CN"/>
        </w:rPr>
        <w:t>（</w:t>
      </w:r>
      <w:r>
        <w:rPr>
          <w:rFonts w:hint="eastAsia" w:ascii="宋体" w:hAnsi="宋体" w:eastAsia="宋体" w:cs="宋体"/>
          <w:bCs/>
          <w:color w:val="auto"/>
          <w:sz w:val="24"/>
          <w:szCs w:val="24"/>
          <w:highlight w:val="none"/>
          <w:u w:val="none"/>
          <w:lang w:val="en-US" w:eastAsia="zh-CN"/>
        </w:rPr>
        <w:t>7</w:t>
      </w:r>
      <w:r>
        <w:rPr>
          <w:rFonts w:hint="eastAsia" w:ascii="宋体" w:hAnsi="宋体" w:eastAsia="宋体" w:cs="宋体"/>
          <w:bCs/>
          <w:color w:val="auto"/>
          <w:sz w:val="24"/>
          <w:szCs w:val="24"/>
          <w:highlight w:val="none"/>
          <w:u w:val="none"/>
          <w:lang w:eastAsia="zh-CN"/>
        </w:rPr>
        <w:t>）是否以采购活动中供应商提供的样品作为参考：</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 xml:space="preserve">是  </w:t>
      </w:r>
      <w:r>
        <w:rPr>
          <w:rFonts w:hint="eastAsia" w:ascii="宋体" w:hAnsi="宋体" w:eastAsia="宋体" w:cs="宋体"/>
          <w:color w:val="auto"/>
          <w:sz w:val="24"/>
          <w:szCs w:val="24"/>
          <w:highlight w:val="none"/>
        </w:rPr>
        <w:sym w:font="Wingdings" w:char="00A8"/>
      </w:r>
      <w:r>
        <w:rPr>
          <w:rFonts w:hint="eastAsia" w:ascii="宋体" w:hAnsi="宋体" w:eastAsia="宋体" w:cs="宋体"/>
          <w:bCs/>
          <w:color w:val="auto"/>
          <w:sz w:val="24"/>
          <w:szCs w:val="24"/>
          <w:highlight w:val="none"/>
        </w:rPr>
        <w:t>否</w:t>
      </w:r>
    </w:p>
    <w:p w14:paraId="37DB1AC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（8）履约验收其他事项：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i w:val="0"/>
          <w:iCs w:val="0"/>
          <w:color w:val="auto"/>
          <w:sz w:val="24"/>
          <w:szCs w:val="24"/>
          <w:highlight w:val="none"/>
          <w:u w:val="single"/>
        </w:rPr>
        <w:t>（产权过户登记等）</w:t>
      </w:r>
      <w:r>
        <w:rPr>
          <w:rFonts w:hint="eastAsia" w:ascii="宋体" w:hAnsi="宋体" w:eastAsia="宋体" w:cs="宋体"/>
          <w:bCs/>
          <w:color w:val="auto"/>
          <w:sz w:val="24"/>
          <w:szCs w:val="24"/>
          <w:highlight w:val="none"/>
          <w:u w:val="single"/>
        </w:rPr>
        <w:t xml:space="preserve">          </w:t>
      </w:r>
    </w:p>
    <w:p w14:paraId="6912D018">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组成合同的文件</w:t>
      </w:r>
    </w:p>
    <w:p w14:paraId="7987061A">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本协议书与下列文件一起构成合同文件，如下述文件之间有任何抵触、矛盾或歧义，应按以下顺序解释：</w:t>
      </w:r>
    </w:p>
    <w:p w14:paraId="5191D42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（1）合同协议书及其变更、补充</w:t>
      </w:r>
      <w:r>
        <w:rPr>
          <w:rFonts w:hint="eastAsia" w:ascii="宋体" w:hAnsi="宋体" w:eastAsia="宋体" w:cs="宋体"/>
          <w:color w:val="auto"/>
          <w:sz w:val="24"/>
          <w:szCs w:val="24"/>
          <w:highlight w:val="none"/>
          <w:lang w:eastAsia="zh-CN"/>
        </w:rPr>
        <w:t>协议</w:t>
      </w:r>
    </w:p>
    <w:p w14:paraId="7CE73F43">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）合同专用条款</w:t>
      </w:r>
    </w:p>
    <w:p w14:paraId="0C48083B">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）合同通用条款</w:t>
      </w:r>
    </w:p>
    <w:p w14:paraId="2219F0F7">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17308669">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）投标（响应）文件</w:t>
      </w:r>
    </w:p>
    <w:p w14:paraId="7B2F23CC">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（6）采购文件</w:t>
      </w:r>
    </w:p>
    <w:p w14:paraId="5C438BED">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（7）有关技术文件，图纸</w:t>
      </w:r>
    </w:p>
    <w:p w14:paraId="21F4F3EA">
      <w:pPr>
        <w:pStyle w:val="71"/>
        <w:pageBreakBefore w:val="0"/>
        <w:kinsoku/>
        <w:wordWrap/>
        <w:overflowPunct/>
        <w:topLinePunct w:val="0"/>
        <w:bidi w:val="0"/>
        <w:spacing w:beforeLines="0" w:line="360" w:lineRule="auto"/>
        <w:textAlignment w:val="auto"/>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bCs w:val="0"/>
          <w:color w:val="auto"/>
          <w:kern w:val="2"/>
          <w:sz w:val="24"/>
          <w:szCs w:val="24"/>
          <w:highlight w:val="none"/>
          <w:lang w:eastAsia="zh-CN"/>
        </w:rPr>
        <w:t>国家法律、行政法规和规章制度规定或合同约定的作为合同组成部分的其他文件</w:t>
      </w:r>
    </w:p>
    <w:p w14:paraId="3D898F9D">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合同生效</w:t>
      </w:r>
    </w:p>
    <w:p w14:paraId="6719DA23">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本合同自</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生效。</w:t>
      </w:r>
    </w:p>
    <w:p w14:paraId="6D1136A9">
      <w:pPr>
        <w:pageBreakBefore w:val="0"/>
        <w:numPr>
          <w:ilvl w:val="0"/>
          <w:numId w:val="1"/>
        </w:numPr>
        <w:kinsoku/>
        <w:wordWrap/>
        <w:overflowPunct/>
        <w:topLinePunct w:val="0"/>
        <w:bidi w:val="0"/>
        <w:adjustRightInd w:val="0"/>
        <w:snapToGrid w:val="0"/>
        <w:spacing w:before="0" w:beforeLines="0" w:line="360"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合同份数</w:t>
      </w:r>
    </w:p>
    <w:p w14:paraId="14B39EC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乙方</w:t>
      </w:r>
      <w:r>
        <w:rPr>
          <w:rFonts w:hint="eastAsia" w:ascii="宋体" w:hAnsi="宋体" w:eastAsia="宋体" w:cs="宋体"/>
          <w:color w:val="auto"/>
          <w:sz w:val="24"/>
          <w:szCs w:val="24"/>
          <w:highlight w:val="none"/>
        </w:rPr>
        <w:t>执</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份，均具有同等法律效力。</w:t>
      </w:r>
    </w:p>
    <w:p w14:paraId="526E1656">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合同订立时间：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6B89C170">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合同订立地点：</w:t>
      </w:r>
      <w:r>
        <w:rPr>
          <w:rFonts w:hint="eastAsia" w:ascii="宋体" w:hAnsi="宋体" w:eastAsia="宋体" w:cs="宋体"/>
          <w:color w:val="auto"/>
          <w:sz w:val="24"/>
          <w:szCs w:val="24"/>
          <w:highlight w:val="none"/>
          <w:u w:val="single"/>
        </w:rPr>
        <w:t xml:space="preserve">                           </w:t>
      </w:r>
    </w:p>
    <w:p w14:paraId="610F6A45">
      <w:pPr>
        <w:pageBreakBefore w:val="0"/>
        <w:kinsoku/>
        <w:wordWrap/>
        <w:overflowPunct/>
        <w:topLinePunct w:val="0"/>
        <w:bidi w:val="0"/>
        <w:adjustRightInd w:val="0"/>
        <w:snapToGrid w:val="0"/>
        <w:spacing w:before="0" w:beforeLines="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附件：具体标</w:t>
      </w:r>
      <w:r>
        <w:rPr>
          <w:rFonts w:hint="eastAsia" w:ascii="宋体" w:hAnsi="宋体" w:eastAsia="宋体" w:cs="宋体"/>
          <w:color w:val="auto"/>
          <w:sz w:val="24"/>
          <w:szCs w:val="24"/>
          <w:highlight w:val="none"/>
          <w:lang w:eastAsia="zh-CN"/>
        </w:rPr>
        <w:t>的及其</w:t>
      </w:r>
      <w:r>
        <w:rPr>
          <w:rFonts w:hint="eastAsia" w:ascii="宋体" w:hAnsi="宋体" w:eastAsia="宋体" w:cs="宋体"/>
          <w:color w:val="auto"/>
          <w:sz w:val="24"/>
          <w:szCs w:val="24"/>
          <w:highlight w:val="none"/>
          <w:u w:val="none"/>
          <w:lang w:val="en-US" w:eastAsia="zh-CN"/>
        </w:rPr>
        <w:t>技术要求和商务要求</w:t>
      </w:r>
      <w:r>
        <w:rPr>
          <w:rFonts w:hint="eastAsia" w:ascii="宋体" w:hAnsi="宋体" w:eastAsia="宋体" w:cs="宋体"/>
          <w:color w:val="auto"/>
          <w:sz w:val="24"/>
          <w:szCs w:val="24"/>
          <w:highlight w:val="none"/>
        </w:rPr>
        <w:t>、联合协议、分包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协议等。</w:t>
      </w:r>
    </w:p>
    <w:p w14:paraId="1BA1F8CB">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5DD629B3">
      <w:pPr>
        <w:pStyle w:val="72"/>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bl>
      <w:tblPr>
        <w:tblStyle w:val="24"/>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1"/>
        <w:gridCol w:w="2412"/>
        <w:gridCol w:w="1979"/>
        <w:gridCol w:w="2116"/>
      </w:tblGrid>
      <w:tr w14:paraId="29032D2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674E8F1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甲方（采购人</w:t>
            </w:r>
            <w:r>
              <w:rPr>
                <w:rFonts w:hint="eastAsia" w:ascii="宋体" w:hAnsi="宋体" w:eastAsia="宋体" w:cs="宋体"/>
                <w:color w:val="auto"/>
                <w:sz w:val="24"/>
                <w:szCs w:val="24"/>
                <w:highlight w:val="none"/>
                <w:lang w:eastAsia="zh-CN"/>
              </w:rPr>
              <w:t>、受采购人委托签订合同的单位</w:t>
            </w:r>
            <w:r>
              <w:rPr>
                <w:rFonts w:hint="eastAsia" w:ascii="宋体" w:hAnsi="宋体" w:eastAsia="宋体" w:cs="宋体"/>
                <w:color w:val="auto"/>
                <w:sz w:val="24"/>
                <w:szCs w:val="24"/>
                <w:highlight w:val="none"/>
              </w:rPr>
              <w:t>或采购文件约定的合同甲方）</w:t>
            </w:r>
          </w:p>
        </w:tc>
        <w:tc>
          <w:tcPr>
            <w:tcW w:w="2437" w:type="pct"/>
            <w:gridSpan w:val="2"/>
            <w:tcBorders>
              <w:left w:val="single" w:color="auto" w:sz="2" w:space="0"/>
              <w:bottom w:val="single" w:color="auto" w:sz="2" w:space="0"/>
            </w:tcBorders>
            <w:vAlign w:val="center"/>
          </w:tcPr>
          <w:p w14:paraId="776577F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乙方（供应商）</w:t>
            </w:r>
          </w:p>
        </w:tc>
      </w:tr>
      <w:tr w14:paraId="2F36540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70112A4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w:t>
            </w:r>
            <w:r>
              <w:rPr>
                <w:rFonts w:hint="eastAsia" w:ascii="宋体" w:hAnsi="宋体" w:eastAsia="宋体" w:cs="宋体"/>
                <w:color w:val="auto"/>
                <w:sz w:val="24"/>
                <w:szCs w:val="24"/>
                <w:highlight w:val="none"/>
                <w:lang w:eastAsia="zh-CN"/>
              </w:rPr>
              <w:t>或合同章</w:t>
            </w:r>
            <w:r>
              <w:rPr>
                <w:rFonts w:hint="eastAsia" w:ascii="宋体" w:hAnsi="宋体" w:eastAsia="宋体" w:cs="宋体"/>
                <w:color w:val="auto"/>
                <w:sz w:val="24"/>
                <w:szCs w:val="24"/>
                <w:highlight w:val="none"/>
              </w:rPr>
              <w:t>）</w:t>
            </w:r>
          </w:p>
        </w:tc>
        <w:tc>
          <w:tcPr>
            <w:tcW w:w="1436" w:type="pct"/>
            <w:tcBorders>
              <w:top w:val="single" w:color="auto" w:sz="2" w:space="0"/>
              <w:left w:val="single" w:color="auto" w:sz="2" w:space="0"/>
              <w:bottom w:val="single" w:color="auto" w:sz="2" w:space="0"/>
              <w:right w:val="single" w:color="auto" w:sz="2" w:space="0"/>
            </w:tcBorders>
            <w:vAlign w:val="center"/>
          </w:tcPr>
          <w:p w14:paraId="3CAB63C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90D305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单位名称（公章</w:t>
            </w:r>
            <w:r>
              <w:rPr>
                <w:rFonts w:hint="eastAsia" w:ascii="宋体" w:hAnsi="宋体" w:eastAsia="宋体" w:cs="宋体"/>
                <w:color w:val="auto"/>
                <w:sz w:val="24"/>
                <w:szCs w:val="24"/>
                <w:highlight w:val="none"/>
                <w:lang w:eastAsia="zh-CN"/>
              </w:rPr>
              <w:t>或合同章</w:t>
            </w:r>
            <w:r>
              <w:rPr>
                <w:rFonts w:hint="eastAsia" w:ascii="宋体" w:hAnsi="宋体" w:eastAsia="宋体" w:cs="宋体"/>
                <w:color w:val="auto"/>
                <w:sz w:val="24"/>
                <w:szCs w:val="24"/>
                <w:highlight w:val="none"/>
              </w:rPr>
              <w:t>）</w:t>
            </w:r>
          </w:p>
        </w:tc>
        <w:tc>
          <w:tcPr>
            <w:tcW w:w="1259" w:type="pct"/>
            <w:tcBorders>
              <w:top w:val="single" w:color="auto" w:sz="2" w:space="0"/>
              <w:left w:val="single" w:color="auto" w:sz="2" w:space="0"/>
              <w:bottom w:val="single" w:color="auto" w:sz="2" w:space="0"/>
            </w:tcBorders>
            <w:vAlign w:val="center"/>
          </w:tcPr>
          <w:p w14:paraId="63D47D8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3A02050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2455315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5FBB4DD6">
            <w:pPr>
              <w:pageBreakBefore w:val="0"/>
              <w:kinsoku/>
              <w:wordWrap/>
              <w:overflowPunct/>
              <w:topLinePunct w:val="0"/>
              <w:bidi w:val="0"/>
              <w:adjustRightInd w:val="0"/>
              <w:snapToGrid w:val="0"/>
              <w:spacing w:line="360" w:lineRule="auto"/>
              <w:ind w:firstLine="115" w:firstLineChars="48"/>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38A8E2A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right w:val="single" w:color="auto" w:sz="2" w:space="0"/>
            </w:tcBorders>
            <w:vAlign w:val="center"/>
          </w:tcPr>
          <w:p w14:paraId="0151E4B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p w14:paraId="3659DA8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或其委托代理人（签章）</w:t>
            </w:r>
          </w:p>
        </w:tc>
        <w:tc>
          <w:tcPr>
            <w:tcW w:w="1259" w:type="pct"/>
            <w:tcBorders>
              <w:top w:val="single" w:color="auto" w:sz="2" w:space="0"/>
              <w:left w:val="single" w:color="auto" w:sz="2" w:space="0"/>
              <w:bottom w:val="single" w:color="auto" w:sz="2" w:space="0"/>
            </w:tcBorders>
            <w:vAlign w:val="center"/>
          </w:tcPr>
          <w:p w14:paraId="331987A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r>
      <w:tr w14:paraId="4EBF153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2E8A85E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vMerge w:val="continue"/>
            <w:tcBorders>
              <w:left w:val="single" w:color="auto" w:sz="2" w:space="0"/>
              <w:bottom w:val="single" w:color="auto" w:sz="2" w:space="0"/>
              <w:right w:val="single" w:color="auto" w:sz="2" w:space="0"/>
            </w:tcBorders>
            <w:vAlign w:val="center"/>
          </w:tcPr>
          <w:p w14:paraId="529C16D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49FC9E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拥有者性别</w:t>
            </w:r>
          </w:p>
        </w:tc>
        <w:tc>
          <w:tcPr>
            <w:tcW w:w="1259" w:type="pct"/>
            <w:tcBorders>
              <w:top w:val="single" w:color="auto" w:sz="2" w:space="0"/>
              <w:left w:val="single" w:color="auto" w:sz="2" w:space="0"/>
              <w:bottom w:val="single" w:color="auto" w:sz="2" w:space="0"/>
            </w:tcBorders>
            <w:vAlign w:val="center"/>
          </w:tcPr>
          <w:p w14:paraId="56AC77A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D8F132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B2E9DF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住</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00F773D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F39C49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住</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所</w:t>
            </w:r>
          </w:p>
        </w:tc>
        <w:tc>
          <w:tcPr>
            <w:tcW w:w="1259" w:type="pct"/>
            <w:tcBorders>
              <w:top w:val="single" w:color="auto" w:sz="2" w:space="0"/>
              <w:left w:val="single" w:color="auto" w:sz="2" w:space="0"/>
              <w:bottom w:val="single" w:color="auto" w:sz="2" w:space="0"/>
            </w:tcBorders>
            <w:vAlign w:val="center"/>
          </w:tcPr>
          <w:p w14:paraId="61D11E2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46BBDA9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A1BB19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0D71396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93114B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 系 人</w:t>
            </w:r>
          </w:p>
        </w:tc>
        <w:tc>
          <w:tcPr>
            <w:tcW w:w="1259" w:type="pct"/>
            <w:tcBorders>
              <w:top w:val="single" w:color="auto" w:sz="2" w:space="0"/>
              <w:left w:val="single" w:color="auto" w:sz="2" w:space="0"/>
              <w:bottom w:val="single" w:color="auto" w:sz="2" w:space="0"/>
            </w:tcBorders>
            <w:vAlign w:val="center"/>
          </w:tcPr>
          <w:p w14:paraId="0E6BA16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40B7199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FA6304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35C1BD8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5C7B324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259" w:type="pct"/>
            <w:tcBorders>
              <w:top w:val="single" w:color="auto" w:sz="2" w:space="0"/>
              <w:left w:val="single" w:color="auto" w:sz="2" w:space="0"/>
              <w:bottom w:val="single" w:color="auto" w:sz="2" w:space="0"/>
            </w:tcBorders>
            <w:vAlign w:val="center"/>
          </w:tcPr>
          <w:p w14:paraId="57BE31F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5670BD5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1473EC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5B83448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04CCDD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通信地址</w:t>
            </w:r>
          </w:p>
        </w:tc>
        <w:tc>
          <w:tcPr>
            <w:tcW w:w="1259" w:type="pct"/>
            <w:tcBorders>
              <w:top w:val="single" w:color="auto" w:sz="2" w:space="0"/>
              <w:left w:val="single" w:color="auto" w:sz="2" w:space="0"/>
              <w:bottom w:val="single" w:color="auto" w:sz="2" w:space="0"/>
            </w:tcBorders>
            <w:vAlign w:val="center"/>
          </w:tcPr>
          <w:p w14:paraId="3F78C94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7F49A93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2568435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54743EB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CBCFBA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p>
        </w:tc>
        <w:tc>
          <w:tcPr>
            <w:tcW w:w="1259" w:type="pct"/>
            <w:tcBorders>
              <w:top w:val="single" w:color="auto" w:sz="2" w:space="0"/>
              <w:left w:val="single" w:color="auto" w:sz="2" w:space="0"/>
              <w:bottom w:val="single" w:color="auto" w:sz="2" w:space="0"/>
            </w:tcBorders>
            <w:vAlign w:val="center"/>
          </w:tcPr>
          <w:p w14:paraId="14205E4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38E09B8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99F227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4044D96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ABB70C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259" w:type="pct"/>
            <w:tcBorders>
              <w:top w:val="single" w:color="auto" w:sz="2" w:space="0"/>
              <w:left w:val="single" w:color="auto" w:sz="2" w:space="0"/>
              <w:bottom w:val="single" w:color="auto" w:sz="2" w:space="0"/>
            </w:tcBorders>
            <w:vAlign w:val="center"/>
          </w:tcPr>
          <w:p w14:paraId="4364CFD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56CD471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281464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1DC90F5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834F86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统一社会信用代码</w:t>
            </w:r>
          </w:p>
        </w:tc>
        <w:tc>
          <w:tcPr>
            <w:tcW w:w="1259" w:type="pct"/>
            <w:tcBorders>
              <w:top w:val="single" w:color="auto" w:sz="2" w:space="0"/>
              <w:left w:val="single" w:color="auto" w:sz="2" w:space="0"/>
              <w:bottom w:val="single" w:color="auto" w:sz="2" w:space="0"/>
            </w:tcBorders>
            <w:vAlign w:val="center"/>
          </w:tcPr>
          <w:p w14:paraId="3B8420D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563D5CF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75F98E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2EDDE4E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2C931F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开户名称</w:t>
            </w:r>
          </w:p>
        </w:tc>
        <w:tc>
          <w:tcPr>
            <w:tcW w:w="1259" w:type="pct"/>
            <w:tcBorders>
              <w:top w:val="single" w:color="auto" w:sz="2" w:space="0"/>
              <w:left w:val="single" w:color="auto" w:sz="2" w:space="0"/>
              <w:bottom w:val="single" w:color="auto" w:sz="2" w:space="0"/>
            </w:tcBorders>
            <w:vAlign w:val="center"/>
          </w:tcPr>
          <w:p w14:paraId="48D39B4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2715751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DDDE37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7C0F1CF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49B7487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p>
        </w:tc>
        <w:tc>
          <w:tcPr>
            <w:tcW w:w="1259" w:type="pct"/>
            <w:tcBorders>
              <w:top w:val="single" w:color="auto" w:sz="2" w:space="0"/>
              <w:left w:val="single" w:color="auto" w:sz="2" w:space="0"/>
              <w:bottom w:val="single" w:color="auto" w:sz="2" w:space="0"/>
            </w:tcBorders>
            <w:vAlign w:val="center"/>
          </w:tcPr>
          <w:p w14:paraId="263D2AE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07DDC93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8C9387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67670DA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DBBB04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银行账号</w:t>
            </w:r>
          </w:p>
        </w:tc>
        <w:tc>
          <w:tcPr>
            <w:tcW w:w="1259" w:type="pct"/>
            <w:tcBorders>
              <w:top w:val="single" w:color="auto" w:sz="2" w:space="0"/>
              <w:left w:val="single" w:color="auto" w:sz="2" w:space="0"/>
              <w:bottom w:val="single" w:color="auto" w:sz="2" w:space="0"/>
            </w:tcBorders>
            <w:vAlign w:val="center"/>
          </w:tcPr>
          <w:p w14:paraId="16D2828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pacing w:val="20"/>
                <w:sz w:val="24"/>
                <w:szCs w:val="24"/>
                <w:highlight w:val="none"/>
              </w:rPr>
            </w:pPr>
          </w:p>
        </w:tc>
      </w:tr>
      <w:tr w14:paraId="7C695FA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2E157150">
            <w:pPr>
              <w:pStyle w:val="9"/>
              <w:pageBreakBefore w:val="0"/>
              <w:kinsoku/>
              <w:wordWrap/>
              <w:overflowPunct/>
              <w:topLinePunct w:val="0"/>
              <w:bidi w:val="0"/>
              <w:adjustRightInd w:val="0"/>
              <w:snapToGrid w:val="0"/>
              <w:spacing w:before="156" w:beforeLines="50" w:after="0" w:line="360" w:lineRule="auto"/>
              <w:ind w:left="0" w:leftChars="0"/>
              <w:jc w:val="left"/>
              <w:textAlignment w:val="auto"/>
              <w:rPr>
                <w:rFonts w:hint="eastAsia" w:ascii="宋体" w:hAnsi="宋体" w:eastAsia="宋体" w:cs="宋体"/>
                <w:color w:val="auto"/>
                <w:spacing w:val="20"/>
                <w:sz w:val="24"/>
                <w:szCs w:val="24"/>
                <w:highlight w:val="none"/>
              </w:rPr>
            </w:pPr>
            <w:r>
              <w:rPr>
                <w:rFonts w:hint="eastAsia" w:ascii="宋体" w:hAnsi="宋体" w:eastAsia="宋体" w:cs="宋体"/>
                <w:color w:val="auto"/>
                <w:sz w:val="24"/>
                <w:szCs w:val="24"/>
                <w:highlight w:val="none"/>
              </w:rPr>
              <w:t>注：涉及联合体或其他合同主体的信息应按上表格式加列。</w:t>
            </w:r>
          </w:p>
        </w:tc>
      </w:tr>
    </w:tbl>
    <w:p w14:paraId="63F86023">
      <w:pPr>
        <w:pStyle w:val="3"/>
        <w:pageBreakBefore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br w:type="page"/>
      </w:r>
      <w:bookmarkStart w:id="164" w:name="_Toc2960"/>
      <w:bookmarkStart w:id="165" w:name="_Toc24108"/>
      <w:r>
        <w:rPr>
          <w:rFonts w:hint="eastAsia" w:cs="@仿宋_GB2312" w:asciiTheme="minorEastAsia" w:hAnsiTheme="minorEastAsia" w:eastAsiaTheme="minorEastAsia"/>
          <w:b/>
          <w:bCs w:val="0"/>
          <w:color w:val="auto"/>
          <w:kern w:val="2"/>
          <w:sz w:val="24"/>
          <w:szCs w:val="20"/>
          <w:highlight w:val="none"/>
          <w:lang w:val="en-US" w:eastAsia="zh-CN" w:bidi="ar-SA"/>
        </w:rPr>
        <w:t>第二节 通用条款</w:t>
      </w:r>
      <w:bookmarkEnd w:id="164"/>
      <w:bookmarkEnd w:id="165"/>
    </w:p>
    <w:p w14:paraId="0BAF82B8">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bCs/>
          <w:color w:val="auto"/>
          <w:sz w:val="24"/>
          <w:szCs w:val="24"/>
          <w:highlight w:val="none"/>
        </w:rPr>
        <w:t>定义</w:t>
      </w:r>
    </w:p>
    <w:p w14:paraId="3ED0FA3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1.1合同当事人</w:t>
      </w:r>
    </w:p>
    <w:p w14:paraId="1E6F976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w:t>
      </w:r>
      <w:r>
        <w:rPr>
          <w:rFonts w:hint="eastAsia" w:ascii="宋体" w:hAnsi="宋体" w:eastAsia="宋体" w:cs="宋体"/>
          <w:color w:val="auto"/>
          <w:sz w:val="24"/>
          <w:szCs w:val="24"/>
          <w:highlight w:val="none"/>
          <w:lang w:val="en-US" w:eastAsia="zh-CN"/>
        </w:rPr>
        <w:t>自有</w:t>
      </w:r>
      <w:r>
        <w:rPr>
          <w:rFonts w:hint="eastAsia" w:ascii="宋体" w:hAnsi="宋体" w:eastAsia="宋体" w:cs="宋体"/>
          <w:color w:val="auto"/>
          <w:sz w:val="24"/>
          <w:szCs w:val="24"/>
          <w:highlight w:val="none"/>
        </w:rPr>
        <w:t>资金，通过</w:t>
      </w:r>
      <w:r>
        <w:rPr>
          <w:rFonts w:hint="eastAsia" w:ascii="宋体" w:hAnsi="宋体" w:eastAsia="宋体" w:cs="宋体"/>
          <w:color w:val="auto"/>
          <w:sz w:val="24"/>
          <w:szCs w:val="24"/>
          <w:highlight w:val="none"/>
          <w:lang w:val="en-US" w:eastAsia="zh-CN"/>
        </w:rPr>
        <w:t>公开招标</w:t>
      </w:r>
      <w:r>
        <w:rPr>
          <w:rFonts w:hint="eastAsia" w:ascii="宋体" w:hAnsi="宋体" w:eastAsia="宋体" w:cs="宋体"/>
          <w:color w:val="auto"/>
          <w:sz w:val="24"/>
          <w:szCs w:val="24"/>
          <w:highlight w:val="none"/>
        </w:rPr>
        <w:t>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0D2C193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w:t>
      </w:r>
      <w:r>
        <w:rPr>
          <w:rFonts w:hint="eastAsia" w:ascii="宋体" w:hAnsi="宋体" w:eastAsia="宋体" w:cs="宋体"/>
          <w:color w:val="auto"/>
          <w:sz w:val="24"/>
          <w:szCs w:val="24"/>
          <w:highlight w:val="none"/>
          <w:lang w:val="en-US" w:eastAsia="zh-CN"/>
        </w:rPr>
        <w:t>本项目招标采购</w:t>
      </w:r>
      <w:r>
        <w:rPr>
          <w:rFonts w:hint="eastAsia" w:ascii="宋体" w:hAnsi="宋体" w:eastAsia="宋体" w:cs="宋体"/>
          <w:color w:val="auto"/>
          <w:sz w:val="24"/>
          <w:szCs w:val="24"/>
          <w:highlight w:val="none"/>
        </w:rPr>
        <w:t>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72B60FF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auto"/>
          <w:sz w:val="24"/>
          <w:szCs w:val="24"/>
          <w:highlight w:val="none"/>
        </w:rPr>
        <w:t>依法参与合同缔结或履行，享有权利、承担义务的合同当事人</w:t>
      </w:r>
      <w:r>
        <w:rPr>
          <w:rFonts w:hint="eastAsia" w:ascii="宋体" w:hAnsi="宋体" w:eastAsia="宋体" w:cs="宋体"/>
          <w:color w:val="auto"/>
          <w:sz w:val="24"/>
          <w:szCs w:val="24"/>
          <w:highlight w:val="none"/>
        </w:rPr>
        <w:t>。</w:t>
      </w:r>
    </w:p>
    <w:p w14:paraId="567BF34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77C53521">
      <w:pPr>
        <w:pageBreakBefore w:val="0"/>
        <w:kinsoku/>
        <w:wordWrap/>
        <w:overflowPunct/>
        <w:topLinePunct w:val="0"/>
        <w:bidi w:val="0"/>
        <w:adjustRightInd w:val="0"/>
        <w:snapToGrid w:val="0"/>
        <w:spacing w:before="0" w:beforeLines="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auto"/>
          <w:sz w:val="24"/>
          <w:szCs w:val="24"/>
          <w:highlight w:val="none"/>
        </w:rPr>
        <w:t>合同当事人意思表示达成一致的任何协议，包括签署的</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合同专用条款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合同通用条款</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投标（响应）文件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采购文件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有关技术文件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图纸</w:t>
      </w:r>
      <w:r>
        <w:rPr>
          <w:rFonts w:hint="eastAsia" w:ascii="宋体" w:hAnsi="宋体" w:eastAsia="宋体" w:cs="宋体"/>
          <w:color w:val="auto"/>
          <w:sz w:val="24"/>
          <w:szCs w:val="24"/>
          <w:highlight w:val="none"/>
          <w:lang w:eastAsia="zh-CN"/>
        </w:rPr>
        <w:t>，以及</w:t>
      </w:r>
      <w:r>
        <w:rPr>
          <w:rFonts w:hint="eastAsia" w:ascii="宋体" w:hAnsi="宋体" w:eastAsia="宋体" w:cs="宋体"/>
          <w:bCs w:val="0"/>
          <w:color w:val="auto"/>
          <w:kern w:val="2"/>
          <w:sz w:val="24"/>
          <w:szCs w:val="24"/>
          <w:highlight w:val="none"/>
          <w:lang w:eastAsia="zh-CN"/>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28F41A3E">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2BBF6204">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）“货物”系指乙方根据本合同规定须向甲方提供的各种形态和种类的物品，包括原材料、设备、产品（包括软件）及相关的其备品备件、工具、手册及</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技术资料和材料</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p>
    <w:p w14:paraId="4DA855D1">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auto"/>
          <w:sz w:val="24"/>
          <w:szCs w:val="24"/>
          <w:highlight w:val="none"/>
        </w:rPr>
        <w:t>服务”系指根据合同规定，乙方应提供的</w:t>
      </w:r>
      <w:r>
        <w:rPr>
          <w:rFonts w:hint="eastAsia" w:ascii="宋体" w:hAnsi="宋体" w:eastAsia="宋体" w:cs="宋体"/>
          <w:color w:val="auto"/>
          <w:sz w:val="24"/>
          <w:szCs w:val="24"/>
          <w:highlight w:val="none"/>
          <w:lang w:val="en-US" w:eastAsia="zh-CN"/>
        </w:rPr>
        <w:t>与货物有关的</w:t>
      </w:r>
      <w:r>
        <w:rPr>
          <w:rFonts w:hint="eastAsia" w:ascii="宋体" w:hAnsi="宋体" w:eastAsia="宋体" w:cs="宋体"/>
          <w:color w:val="auto"/>
          <w:sz w:val="24"/>
          <w:szCs w:val="24"/>
          <w:highlight w:val="none"/>
        </w:rPr>
        <w:t>技术、管理和</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服务，包括但不限于：管理和质量保证、运输、保险、检验、现场准备、安装、集成、调试、培训、维修、</w:t>
      </w:r>
      <w:r>
        <w:rPr>
          <w:rFonts w:hint="eastAsia" w:ascii="宋体" w:hAnsi="宋体" w:eastAsia="宋体" w:cs="宋体"/>
          <w:color w:val="auto"/>
          <w:sz w:val="24"/>
          <w:szCs w:val="24"/>
          <w:highlight w:val="none"/>
          <w:lang w:eastAsia="zh-CN"/>
        </w:rPr>
        <w:t>废弃处置、</w:t>
      </w:r>
      <w:r>
        <w:rPr>
          <w:rFonts w:hint="eastAsia" w:ascii="宋体" w:hAnsi="宋体" w:eastAsia="宋体" w:cs="宋体"/>
          <w:color w:val="auto"/>
          <w:sz w:val="24"/>
          <w:szCs w:val="24"/>
          <w:highlight w:val="none"/>
        </w:rPr>
        <w:t>技术支持等以及合同中规定乙方应承担的</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义务。</w:t>
      </w:r>
    </w:p>
    <w:p w14:paraId="6EE2950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）“分包”系指中标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供应商按采购文件、投标（响应）文件的规定，根据分包意向协议，将中标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成交</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项目中的部分履约内容，分给具有相应资质条件的供应商履行合同的行为。</w:t>
      </w:r>
    </w:p>
    <w:p w14:paraId="5E2243CA">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）“联合体”系指</w:t>
      </w:r>
      <w:r>
        <w:rPr>
          <w:rFonts w:hint="eastAsia" w:ascii="宋体" w:hAnsi="宋体" w:eastAsia="宋体" w:cs="宋体"/>
          <w:color w:val="auto"/>
          <w:sz w:val="24"/>
          <w:szCs w:val="24"/>
          <w:highlight w:val="none"/>
          <w:lang w:eastAsia="zh-CN"/>
        </w:rPr>
        <w:t>由</w:t>
      </w:r>
      <w:r>
        <w:rPr>
          <w:rFonts w:hint="eastAsia" w:ascii="宋体" w:hAnsi="宋体" w:eastAsia="宋体" w:cs="宋体"/>
          <w:color w:val="auto"/>
          <w:sz w:val="24"/>
          <w:szCs w:val="24"/>
          <w:highlight w:val="none"/>
        </w:rPr>
        <w:t>两个以上的自然人、法人或者</w:t>
      </w:r>
      <w:r>
        <w:rPr>
          <w:rFonts w:hint="eastAsia" w:ascii="宋体" w:hAnsi="宋体" w:eastAsia="宋体" w:cs="宋体"/>
          <w:color w:val="auto"/>
          <w:sz w:val="24"/>
          <w:szCs w:val="24"/>
          <w:highlight w:val="none"/>
          <w:lang w:val="en-US" w:eastAsia="zh-CN"/>
        </w:rPr>
        <w:t>非法人</w:t>
      </w:r>
      <w:r>
        <w:rPr>
          <w:rFonts w:hint="eastAsia" w:ascii="宋体" w:hAnsi="宋体" w:eastAsia="宋体" w:cs="宋体"/>
          <w:color w:val="auto"/>
          <w:sz w:val="24"/>
          <w:szCs w:val="24"/>
          <w:highlight w:val="none"/>
        </w:rPr>
        <w:t>组织组成，</w:t>
      </w:r>
      <w:r>
        <w:rPr>
          <w:rFonts w:hint="eastAsia" w:ascii="宋体" w:hAnsi="宋体" w:eastAsia="宋体" w:cs="宋体"/>
          <w:color w:val="auto"/>
          <w:sz w:val="24"/>
          <w:szCs w:val="24"/>
          <w:highlight w:val="none"/>
          <w:lang w:eastAsia="zh-CN"/>
        </w:rPr>
        <w:t>以一个供应商的身份共同参加</w:t>
      </w:r>
      <w:r>
        <w:rPr>
          <w:rFonts w:hint="eastAsia" w:ascii="宋体" w:hAnsi="宋体" w:eastAsia="宋体" w:cs="宋体"/>
          <w:color w:val="auto"/>
          <w:sz w:val="24"/>
          <w:szCs w:val="24"/>
          <w:highlight w:val="none"/>
          <w:lang w:val="en-US" w:eastAsia="zh-CN"/>
        </w:rPr>
        <w:t>本次招标采购活动</w:t>
      </w:r>
      <w:r>
        <w:rPr>
          <w:rFonts w:hint="eastAsia" w:ascii="宋体" w:hAnsi="宋体" w:eastAsia="宋体" w:cs="宋体"/>
          <w:color w:val="auto"/>
          <w:sz w:val="24"/>
          <w:szCs w:val="24"/>
          <w:highlight w:val="none"/>
          <w:lang w:eastAsia="zh-CN"/>
        </w:rPr>
        <w:t>的主体。</w:t>
      </w:r>
      <w:r>
        <w:rPr>
          <w:rFonts w:hint="eastAsia" w:ascii="宋体" w:hAnsi="宋体" w:eastAsia="宋体" w:cs="宋体"/>
          <w:color w:val="auto"/>
          <w:sz w:val="24"/>
          <w:szCs w:val="24"/>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承担连带责任。联合体具体要求见【</w:t>
      </w:r>
      <w:r>
        <w:rPr>
          <w:rFonts w:hint="eastAsia" w:ascii="宋体" w:hAnsi="宋体" w:eastAsia="宋体" w:cs="宋体"/>
          <w:b/>
          <w:bCs/>
          <w:color w:val="auto"/>
          <w:sz w:val="24"/>
          <w:szCs w:val="24"/>
          <w:highlight w:val="none"/>
        </w:rPr>
        <w:t>合同专用条款</w:t>
      </w:r>
      <w:r>
        <w:rPr>
          <w:rFonts w:hint="eastAsia" w:ascii="宋体" w:hAnsi="宋体" w:eastAsia="宋体" w:cs="宋体"/>
          <w:color w:val="auto"/>
          <w:sz w:val="24"/>
          <w:szCs w:val="24"/>
          <w:highlight w:val="none"/>
        </w:rPr>
        <w:t>】。</w:t>
      </w:r>
    </w:p>
    <w:p w14:paraId="7687DFC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）其他术语解释，见【</w:t>
      </w:r>
      <w:r>
        <w:rPr>
          <w:rFonts w:hint="eastAsia" w:ascii="宋体" w:hAnsi="宋体" w:eastAsia="宋体" w:cs="宋体"/>
          <w:b/>
          <w:bCs/>
          <w:color w:val="auto"/>
          <w:sz w:val="24"/>
          <w:szCs w:val="24"/>
          <w:highlight w:val="none"/>
        </w:rPr>
        <w:t>合同专用条款</w:t>
      </w:r>
      <w:r>
        <w:rPr>
          <w:rFonts w:hint="eastAsia" w:ascii="宋体" w:hAnsi="宋体" w:eastAsia="宋体" w:cs="宋体"/>
          <w:color w:val="auto"/>
          <w:sz w:val="24"/>
          <w:szCs w:val="24"/>
          <w:highlight w:val="none"/>
        </w:rPr>
        <w:t>】。</w:t>
      </w:r>
    </w:p>
    <w:p w14:paraId="0870D395">
      <w:pPr>
        <w:pageBreakBefore w:val="0"/>
        <w:numPr>
          <w:ilvl w:val="0"/>
          <w:numId w:val="4"/>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合同标的及金额</w:t>
      </w:r>
    </w:p>
    <w:p w14:paraId="388031A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auto"/>
          <w:sz w:val="24"/>
          <w:szCs w:val="24"/>
          <w:highlight w:val="none"/>
        </w:rPr>
      </w:pP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.1 合同标的及金额应与中标（成交）结果一致。乙方为履行本合同而发生的所有费用均应包含在合同</w:t>
      </w:r>
      <w:r>
        <w:rPr>
          <w:rFonts w:hint="eastAsia" w:ascii="宋体" w:hAnsi="宋体" w:eastAsia="宋体" w:cs="宋体"/>
          <w:color w:val="auto"/>
          <w:sz w:val="24"/>
          <w:szCs w:val="24"/>
          <w:highlight w:val="none"/>
          <w:lang w:eastAsia="zh-CN"/>
        </w:rPr>
        <w:t>价款</w:t>
      </w:r>
      <w:r>
        <w:rPr>
          <w:rFonts w:hint="eastAsia" w:ascii="宋体" w:hAnsi="宋体" w:eastAsia="宋体" w:cs="宋体"/>
          <w:color w:val="auto"/>
          <w:sz w:val="24"/>
          <w:szCs w:val="24"/>
          <w:highlight w:val="none"/>
        </w:rPr>
        <w:t>中，甲方不再另行支付</w:t>
      </w:r>
      <w:r>
        <w:rPr>
          <w:rFonts w:hint="eastAsia" w:ascii="宋体" w:hAnsi="宋体" w:eastAsia="宋体" w:cs="宋体"/>
          <w:color w:val="auto"/>
          <w:sz w:val="24"/>
          <w:szCs w:val="24"/>
          <w:highlight w:val="none"/>
          <w:lang w:val="en"/>
        </w:rPr>
        <w:t>其他</w:t>
      </w:r>
      <w:r>
        <w:rPr>
          <w:rFonts w:hint="eastAsia" w:ascii="宋体" w:hAnsi="宋体" w:eastAsia="宋体" w:cs="宋体"/>
          <w:color w:val="auto"/>
          <w:sz w:val="24"/>
          <w:szCs w:val="24"/>
          <w:highlight w:val="none"/>
        </w:rPr>
        <w:t>任何费用。</w:t>
      </w:r>
    </w:p>
    <w:p w14:paraId="66BE23EA">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3</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履行合同的时间、地点和方式</w:t>
      </w:r>
    </w:p>
    <w:p w14:paraId="19896CC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.1 乙方应当在约定的时间、地点</w:t>
      </w:r>
      <w:r>
        <w:rPr>
          <w:rFonts w:hint="eastAsia" w:ascii="宋体" w:hAnsi="宋体" w:eastAsia="宋体" w:cs="宋体"/>
          <w:color w:val="auto"/>
          <w:sz w:val="24"/>
          <w:szCs w:val="24"/>
          <w:highlight w:val="none"/>
          <w:lang w:eastAsia="zh-CN"/>
        </w:rPr>
        <w:t>，按照约定</w:t>
      </w:r>
      <w:r>
        <w:rPr>
          <w:rFonts w:hint="eastAsia" w:ascii="宋体" w:hAnsi="宋体" w:eastAsia="宋体" w:cs="宋体"/>
          <w:color w:val="auto"/>
          <w:sz w:val="24"/>
          <w:szCs w:val="24"/>
          <w:highlight w:val="none"/>
        </w:rPr>
        <w:t>方式履行合同。</w:t>
      </w:r>
    </w:p>
    <w:p w14:paraId="0F238D5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甲方的权利和义务</w:t>
      </w:r>
    </w:p>
    <w:p w14:paraId="2F7B1F6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签署合同后，甲方</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lang w:val="en-US" w:eastAsia="zh-CN"/>
        </w:rPr>
        <w:t>项目负责人（或项目联系人）</w:t>
      </w:r>
      <w:r>
        <w:rPr>
          <w:rFonts w:hint="eastAsia" w:ascii="宋体" w:hAnsi="宋体" w:eastAsia="宋体" w:cs="宋体"/>
          <w:color w:val="auto"/>
          <w:sz w:val="24"/>
          <w:szCs w:val="24"/>
          <w:highlight w:val="none"/>
        </w:rPr>
        <w:t>，负责与本合同有关的事务。甲方有权对乙方的履约行为进行检查，并及时确认乙方提交的事项。甲方应当配合乙方完成相关项目实施工作。</w:t>
      </w:r>
    </w:p>
    <w:p w14:paraId="3502EE4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.2 甲方有权要求乙方按时提交各阶段有关安排计划，并有权定期核对乙方提供货物数量、规格、质量等内容。甲方有权督促乙方工作并要求乙方更换不符合要求的货物。</w:t>
      </w:r>
    </w:p>
    <w:p w14:paraId="6C361A0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.3 甲方有权要求乙方对缺陷部分予以修复，并按合同约定享有货物保修及其他合同约定的权利。</w:t>
      </w:r>
    </w:p>
    <w:p w14:paraId="1E77C81B">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4.4 甲方应当按照合同约定及时对交付的货物进行验收，</w:t>
      </w:r>
      <w:r>
        <w:rPr>
          <w:rFonts w:hint="eastAsia" w:ascii="宋体" w:hAnsi="宋体" w:eastAsia="宋体" w:cs="宋体"/>
          <w:b w:val="0"/>
          <w:bCs w:val="0"/>
          <w:color w:val="auto"/>
          <w:sz w:val="24"/>
          <w:szCs w:val="24"/>
          <w:highlight w:val="none"/>
          <w:lang w:eastAsia="zh-CN"/>
        </w:rPr>
        <w:t>未</w:t>
      </w:r>
      <w:r>
        <w:rPr>
          <w:rFonts w:hint="eastAsia" w:ascii="宋体" w:hAnsi="宋体" w:eastAsia="宋体" w:cs="宋体"/>
          <w:color w:val="auto"/>
          <w:sz w:val="24"/>
          <w:szCs w:val="24"/>
          <w:highlight w:val="none"/>
          <w:lang w:val="en-US" w:eastAsia="zh-CN"/>
        </w:rPr>
        <w:t>在</w:t>
      </w:r>
      <w:r>
        <w:rPr>
          <w:rFonts w:hint="eastAsia" w:ascii="宋体" w:hAnsi="宋体" w:eastAsia="宋体" w:cs="宋体"/>
          <w:b/>
          <w:bCs/>
          <w:color w:val="auto"/>
          <w:sz w:val="24"/>
          <w:szCs w:val="24"/>
          <w:highlight w:val="none"/>
        </w:rPr>
        <w:t>【合同专用条款】</w:t>
      </w:r>
      <w:r>
        <w:rPr>
          <w:rFonts w:hint="eastAsia" w:ascii="宋体" w:hAnsi="宋体" w:eastAsia="宋体" w:cs="宋体"/>
          <w:b w:val="0"/>
          <w:bCs w:val="0"/>
          <w:color w:val="auto"/>
          <w:sz w:val="24"/>
          <w:szCs w:val="24"/>
          <w:highlight w:val="none"/>
          <w:lang w:eastAsia="zh-CN"/>
        </w:rPr>
        <w:t>约定的期限内对乙方履约提出任何异议或者向乙方作出任何说明的，</w:t>
      </w:r>
      <w:r>
        <w:rPr>
          <w:rFonts w:hint="eastAsia" w:ascii="宋体" w:hAnsi="宋体" w:eastAsia="宋体" w:cs="宋体"/>
          <w:color w:val="auto"/>
          <w:sz w:val="24"/>
          <w:szCs w:val="24"/>
          <w:highlight w:val="none"/>
          <w:lang w:val="en-US" w:eastAsia="zh-CN"/>
        </w:rPr>
        <w:t>视为验收通过。</w:t>
      </w:r>
    </w:p>
    <w:p w14:paraId="058140A1">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甲方应当根据合同约定</w:t>
      </w:r>
      <w:r>
        <w:rPr>
          <w:rFonts w:hint="eastAsia" w:ascii="宋体" w:hAnsi="宋体" w:eastAsia="宋体" w:cs="宋体"/>
          <w:color w:val="auto"/>
          <w:sz w:val="24"/>
          <w:szCs w:val="24"/>
          <w:highlight w:val="none"/>
          <w:lang w:eastAsia="zh-CN"/>
        </w:rPr>
        <w:t>及</w:t>
      </w:r>
      <w:r>
        <w:rPr>
          <w:rFonts w:hint="eastAsia" w:ascii="宋体" w:hAnsi="宋体" w:eastAsia="宋体" w:cs="宋体"/>
          <w:color w:val="auto"/>
          <w:sz w:val="24"/>
          <w:szCs w:val="24"/>
          <w:highlight w:val="none"/>
        </w:rPr>
        <w:t>时向乙方支付</w:t>
      </w:r>
      <w:r>
        <w:rPr>
          <w:rFonts w:hint="eastAsia" w:ascii="宋体" w:hAnsi="宋体" w:eastAsia="宋体" w:cs="宋体"/>
          <w:color w:val="auto"/>
          <w:sz w:val="24"/>
          <w:szCs w:val="24"/>
          <w:highlight w:val="none"/>
          <w:lang w:eastAsia="zh-CN"/>
        </w:rPr>
        <w:t>合同价款，不得以内部人员变更、履行内部付款流程等为由，拒绝或迟延支付。</w:t>
      </w:r>
    </w:p>
    <w:p w14:paraId="471A80E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 xml:space="preserve"> 国家法律法规规定</w:t>
      </w:r>
      <w:r>
        <w:rPr>
          <w:rFonts w:hint="eastAsia" w:ascii="宋体" w:hAnsi="宋体" w:eastAsia="宋体" w:cs="宋体"/>
          <w:color w:val="auto"/>
          <w:sz w:val="24"/>
          <w:szCs w:val="24"/>
          <w:highlight w:val="none"/>
          <w:lang w:eastAsia="zh-CN"/>
        </w:rPr>
        <w:t>及</w:t>
      </w:r>
      <w:r>
        <w:rPr>
          <w:rFonts w:hint="eastAsia" w:ascii="宋体" w:hAnsi="宋体" w:eastAsia="宋体" w:cs="宋体"/>
          <w:b/>
          <w:bCs/>
          <w:color w:val="auto"/>
          <w:sz w:val="24"/>
          <w:szCs w:val="24"/>
          <w:highlight w:val="none"/>
        </w:rPr>
        <w:t>【合同专用条款】</w:t>
      </w:r>
      <w:r>
        <w:rPr>
          <w:rFonts w:hint="eastAsia" w:ascii="宋体" w:hAnsi="宋体" w:eastAsia="宋体" w:cs="宋体"/>
          <w:color w:val="auto"/>
          <w:sz w:val="24"/>
          <w:szCs w:val="24"/>
          <w:highlight w:val="none"/>
          <w:lang w:eastAsia="zh-CN"/>
        </w:rPr>
        <w:t>约定应</w:t>
      </w:r>
      <w:r>
        <w:rPr>
          <w:rFonts w:hint="eastAsia" w:ascii="宋体" w:hAnsi="宋体" w:eastAsia="宋体" w:cs="宋体"/>
          <w:color w:val="auto"/>
          <w:sz w:val="24"/>
          <w:szCs w:val="24"/>
          <w:highlight w:val="none"/>
        </w:rPr>
        <w:t>由甲方承担的其他义务和责任。</w:t>
      </w:r>
    </w:p>
    <w:p w14:paraId="5FCFC7FF">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乙方的权利和义务</w:t>
      </w:r>
    </w:p>
    <w:p w14:paraId="72C8546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.1 签署合同后，乙方</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确定</w:t>
      </w:r>
      <w:r>
        <w:rPr>
          <w:rFonts w:hint="eastAsia" w:ascii="宋体" w:hAnsi="宋体" w:eastAsia="宋体" w:cs="宋体"/>
          <w:color w:val="auto"/>
          <w:sz w:val="24"/>
          <w:szCs w:val="24"/>
          <w:highlight w:val="none"/>
          <w:lang w:val="en-US" w:eastAsia="zh-CN"/>
        </w:rPr>
        <w:t>项目负责人（或项目联系人）</w:t>
      </w:r>
      <w:r>
        <w:rPr>
          <w:rFonts w:hint="eastAsia" w:ascii="宋体" w:hAnsi="宋体" w:eastAsia="宋体" w:cs="宋体"/>
          <w:color w:val="auto"/>
          <w:sz w:val="24"/>
          <w:szCs w:val="24"/>
          <w:highlight w:val="none"/>
        </w:rPr>
        <w:t>，负责与本合同有关的事务。</w:t>
      </w:r>
    </w:p>
    <w:p w14:paraId="3D8F110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.2 乙方应按照合同要求履约，充分合理安排，确保提供的货物</w:t>
      </w:r>
      <w:r>
        <w:rPr>
          <w:rFonts w:hint="eastAsia" w:ascii="宋体" w:hAnsi="宋体" w:eastAsia="宋体" w:cs="宋体"/>
          <w:color w:val="auto"/>
          <w:sz w:val="24"/>
          <w:szCs w:val="24"/>
          <w:highlight w:val="none"/>
          <w:lang w:eastAsia="zh-CN"/>
        </w:rPr>
        <w:t>及相关</w:t>
      </w:r>
      <w:r>
        <w:rPr>
          <w:rFonts w:hint="eastAsia" w:ascii="宋体" w:hAnsi="宋体" w:eastAsia="宋体" w:cs="宋体"/>
          <w:color w:val="auto"/>
          <w:sz w:val="24"/>
          <w:szCs w:val="24"/>
          <w:highlight w:val="none"/>
        </w:rPr>
        <w:t>服务符合合同</w:t>
      </w:r>
      <w:r>
        <w:rPr>
          <w:rFonts w:hint="eastAsia" w:ascii="宋体" w:hAnsi="宋体" w:eastAsia="宋体" w:cs="宋体"/>
          <w:color w:val="auto"/>
          <w:sz w:val="24"/>
          <w:szCs w:val="24"/>
          <w:highlight w:val="none"/>
          <w:lang w:eastAsia="zh-CN"/>
        </w:rPr>
        <w:t>有关</w:t>
      </w:r>
      <w:r>
        <w:rPr>
          <w:rFonts w:hint="eastAsia" w:ascii="宋体" w:hAnsi="宋体" w:eastAsia="宋体" w:cs="宋体"/>
          <w:color w:val="auto"/>
          <w:sz w:val="24"/>
          <w:szCs w:val="24"/>
          <w:highlight w:val="none"/>
        </w:rPr>
        <w:t>要求。接受项目行业管理部门及政府有关部门的指导，配合甲方的履约检查</w:t>
      </w:r>
      <w:r>
        <w:rPr>
          <w:rFonts w:hint="eastAsia" w:ascii="宋体" w:hAnsi="宋体" w:eastAsia="宋体" w:cs="宋体"/>
          <w:color w:val="auto"/>
          <w:sz w:val="24"/>
          <w:szCs w:val="24"/>
          <w:highlight w:val="none"/>
          <w:lang w:eastAsia="zh-CN"/>
        </w:rPr>
        <w:t>及验收</w:t>
      </w:r>
      <w:r>
        <w:rPr>
          <w:rFonts w:hint="eastAsia" w:ascii="宋体" w:hAnsi="宋体" w:eastAsia="宋体" w:cs="宋体"/>
          <w:color w:val="auto"/>
          <w:sz w:val="24"/>
          <w:szCs w:val="24"/>
          <w:highlight w:val="none"/>
        </w:rPr>
        <w:t>，并负责项目实施过程中的所有协调工作。</w:t>
      </w:r>
    </w:p>
    <w:p w14:paraId="5182C382">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.3乙方有权根据合同约定向甲方收取</w:t>
      </w:r>
      <w:r>
        <w:rPr>
          <w:rFonts w:hint="eastAsia" w:ascii="宋体" w:hAnsi="宋体" w:eastAsia="宋体" w:cs="宋体"/>
          <w:color w:val="auto"/>
          <w:sz w:val="24"/>
          <w:szCs w:val="24"/>
          <w:highlight w:val="none"/>
          <w:lang w:eastAsia="zh-CN"/>
        </w:rPr>
        <w:t>合同价款</w:t>
      </w:r>
      <w:r>
        <w:rPr>
          <w:rFonts w:hint="eastAsia" w:ascii="宋体" w:hAnsi="宋体" w:eastAsia="宋体" w:cs="宋体"/>
          <w:color w:val="auto"/>
          <w:sz w:val="24"/>
          <w:szCs w:val="24"/>
          <w:highlight w:val="none"/>
        </w:rPr>
        <w:t>。</w:t>
      </w:r>
    </w:p>
    <w:p w14:paraId="13BD1B41">
      <w:pPr>
        <w:pStyle w:val="8"/>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.4国家法律法规规定</w:t>
      </w:r>
      <w:r>
        <w:rPr>
          <w:rFonts w:hint="eastAsia" w:ascii="宋体" w:hAnsi="宋体" w:eastAsia="宋体" w:cs="宋体"/>
          <w:color w:val="auto"/>
          <w:sz w:val="24"/>
          <w:szCs w:val="24"/>
          <w:highlight w:val="none"/>
          <w:lang w:eastAsia="zh-CN"/>
        </w:rPr>
        <w:t>及</w:t>
      </w:r>
      <w:r>
        <w:rPr>
          <w:rFonts w:hint="eastAsia" w:ascii="宋体" w:hAnsi="宋体" w:eastAsia="宋体" w:cs="宋体"/>
          <w:b/>
          <w:bCs/>
          <w:color w:val="auto"/>
          <w:sz w:val="24"/>
          <w:szCs w:val="24"/>
          <w:highlight w:val="none"/>
        </w:rPr>
        <w:t>【合同专用条款】</w:t>
      </w:r>
      <w:r>
        <w:rPr>
          <w:rFonts w:hint="eastAsia" w:ascii="宋体" w:hAnsi="宋体" w:eastAsia="宋体" w:cs="宋体"/>
          <w:b w:val="0"/>
          <w:bCs w:val="0"/>
          <w:color w:val="auto"/>
          <w:sz w:val="24"/>
          <w:szCs w:val="24"/>
          <w:highlight w:val="none"/>
          <w:lang w:eastAsia="zh-CN"/>
        </w:rPr>
        <w:t>约定应</w:t>
      </w:r>
      <w:r>
        <w:rPr>
          <w:rFonts w:hint="eastAsia" w:ascii="宋体" w:hAnsi="宋体" w:eastAsia="宋体" w:cs="宋体"/>
          <w:color w:val="auto"/>
          <w:sz w:val="24"/>
          <w:szCs w:val="24"/>
          <w:highlight w:val="none"/>
        </w:rPr>
        <w:t>由乙方承担的其他义务和责任。</w:t>
      </w:r>
    </w:p>
    <w:p w14:paraId="593713D9">
      <w:pPr>
        <w:pageBreakBefore w:val="0"/>
        <w:numPr>
          <w:ilvl w:val="0"/>
          <w:numId w:val="5"/>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合同履</w:t>
      </w:r>
      <w:r>
        <w:rPr>
          <w:rFonts w:hint="eastAsia" w:ascii="宋体" w:hAnsi="宋体" w:eastAsia="宋体" w:cs="宋体"/>
          <w:b/>
          <w:bCs/>
          <w:color w:val="auto"/>
          <w:sz w:val="24"/>
          <w:szCs w:val="24"/>
          <w:highlight w:val="none"/>
          <w:lang w:val="en-US" w:eastAsia="zh-CN"/>
        </w:rPr>
        <w:t>行</w:t>
      </w:r>
    </w:p>
    <w:p w14:paraId="749921F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.1 甲乙双方应当按照</w:t>
      </w:r>
      <w:r>
        <w:rPr>
          <w:rFonts w:hint="eastAsia" w:ascii="宋体" w:hAnsi="宋体" w:eastAsia="宋体" w:cs="宋体"/>
          <w:b/>
          <w:bCs/>
          <w:color w:val="auto"/>
          <w:sz w:val="24"/>
          <w:szCs w:val="24"/>
          <w:highlight w:val="none"/>
        </w:rPr>
        <w:t>【合同专用条款】</w:t>
      </w:r>
      <w:r>
        <w:rPr>
          <w:rFonts w:hint="eastAsia" w:ascii="宋体" w:hAnsi="宋体" w:eastAsia="宋体" w:cs="宋体"/>
          <w:color w:val="auto"/>
          <w:sz w:val="24"/>
          <w:szCs w:val="24"/>
          <w:highlight w:val="none"/>
        </w:rPr>
        <w:t>约定顺序履行合同义务；如果没有先后顺序的，应当同时履行。</w:t>
      </w:r>
    </w:p>
    <w:p w14:paraId="7FBD20D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6</w:t>
      </w:r>
      <w:r>
        <w:rPr>
          <w:rFonts w:hint="eastAsia" w:ascii="宋体" w:hAnsi="宋体" w:eastAsia="宋体" w:cs="宋体"/>
          <w:color w:val="auto"/>
          <w:sz w:val="24"/>
          <w:szCs w:val="24"/>
          <w:highlight w:val="none"/>
        </w:rPr>
        <w:t>.2 甲乙双方按照合同约定顺序履行合同义务时，应当先履行一方未履行的，后履行一方有权拒绝其履行请求。先履行一方履行不符合约定的，后履行一方有权拒绝其相应的履行请求。</w:t>
      </w:r>
    </w:p>
    <w:p w14:paraId="4DFB186F">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7</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货物包装、运输</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rPr>
        <w:t>保险</w:t>
      </w:r>
      <w:r>
        <w:rPr>
          <w:rFonts w:hint="eastAsia" w:ascii="宋体" w:hAnsi="宋体" w:eastAsia="宋体" w:cs="宋体"/>
          <w:b/>
          <w:bCs/>
          <w:color w:val="auto"/>
          <w:sz w:val="24"/>
          <w:szCs w:val="24"/>
          <w:highlight w:val="none"/>
          <w:lang w:eastAsia="zh-CN"/>
        </w:rPr>
        <w:t>和交付</w:t>
      </w:r>
      <w:r>
        <w:rPr>
          <w:rFonts w:hint="eastAsia" w:ascii="宋体" w:hAnsi="宋体" w:eastAsia="宋体" w:cs="宋体"/>
          <w:b/>
          <w:bCs/>
          <w:color w:val="auto"/>
          <w:sz w:val="24"/>
          <w:szCs w:val="24"/>
          <w:highlight w:val="none"/>
        </w:rPr>
        <w:t>要求</w:t>
      </w:r>
    </w:p>
    <w:p w14:paraId="4B4549F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.1 本合同</w:t>
      </w:r>
      <w:r>
        <w:rPr>
          <w:rFonts w:hint="eastAsia" w:ascii="宋体" w:hAnsi="宋体" w:eastAsia="宋体" w:cs="宋体"/>
          <w:bCs/>
          <w:color w:val="auto"/>
          <w:sz w:val="24"/>
          <w:szCs w:val="24"/>
          <w:highlight w:val="none"/>
        </w:rPr>
        <w:t>涉及商品包装</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快递包装的，</w:t>
      </w:r>
      <w:r>
        <w:rPr>
          <w:rFonts w:hint="eastAsia" w:ascii="宋体" w:hAnsi="宋体" w:eastAsia="宋体" w:cs="宋体"/>
          <w:color w:val="auto"/>
          <w:sz w:val="24"/>
          <w:szCs w:val="24"/>
          <w:highlight w:val="none"/>
        </w:rPr>
        <w:t>除</w:t>
      </w:r>
      <w:r>
        <w:rPr>
          <w:rFonts w:hint="eastAsia" w:ascii="宋体" w:hAnsi="宋体" w:eastAsia="宋体" w:cs="宋体"/>
          <w:b/>
          <w:color w:val="auto"/>
          <w:sz w:val="24"/>
          <w:szCs w:val="24"/>
          <w:highlight w:val="none"/>
        </w:rPr>
        <w:t>【合同专用条款】</w:t>
      </w:r>
      <w:r>
        <w:rPr>
          <w:rFonts w:hint="eastAsia" w:ascii="宋体" w:hAnsi="宋体" w:eastAsia="宋体" w:cs="宋体"/>
          <w:bCs/>
          <w:color w:val="auto"/>
          <w:sz w:val="24"/>
          <w:szCs w:val="24"/>
          <w:highlight w:val="none"/>
        </w:rPr>
        <w:t>另有</w:t>
      </w:r>
      <w:r>
        <w:rPr>
          <w:rFonts w:hint="eastAsia" w:ascii="宋体" w:hAnsi="宋体" w:eastAsia="宋体" w:cs="宋体"/>
          <w:bCs/>
          <w:color w:val="auto"/>
          <w:sz w:val="24"/>
          <w:szCs w:val="24"/>
          <w:highlight w:val="none"/>
          <w:lang w:eastAsia="zh-CN"/>
        </w:rPr>
        <w:t>约</w:t>
      </w:r>
      <w:r>
        <w:rPr>
          <w:rFonts w:hint="eastAsia" w:ascii="宋体" w:hAnsi="宋体" w:eastAsia="宋体" w:cs="宋体"/>
          <w:bCs/>
          <w:color w:val="auto"/>
          <w:sz w:val="24"/>
          <w:szCs w:val="24"/>
          <w:highlight w:val="none"/>
        </w:rPr>
        <w:t>定</w:t>
      </w:r>
      <w:r>
        <w:rPr>
          <w:rFonts w:hint="eastAsia" w:ascii="宋体" w:hAnsi="宋体" w:eastAsia="宋体" w:cs="宋体"/>
          <w:bCs/>
          <w:color w:val="auto"/>
          <w:sz w:val="24"/>
          <w:szCs w:val="24"/>
          <w:highlight w:val="none"/>
          <w:lang w:eastAsia="zh-CN"/>
        </w:rPr>
        <w:t>外</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包装应适应远距离运输、防潮、防震、防锈和防野蛮装卸等要求，确保货物安全无损地运抵</w:t>
      </w:r>
      <w:r>
        <w:rPr>
          <w:rFonts w:hint="eastAsia" w:ascii="宋体" w:hAnsi="宋体" w:eastAsia="宋体" w:cs="宋体"/>
          <w:b/>
          <w:color w:val="auto"/>
          <w:sz w:val="24"/>
          <w:szCs w:val="24"/>
          <w:highlight w:val="none"/>
        </w:rPr>
        <w:t>【合同专用条款】</w:t>
      </w:r>
      <w:r>
        <w:rPr>
          <w:rFonts w:hint="eastAsia" w:ascii="宋体" w:hAnsi="宋体" w:eastAsia="宋体" w:cs="宋体"/>
          <w:b w:val="0"/>
          <w:bCs/>
          <w:color w:val="auto"/>
          <w:sz w:val="24"/>
          <w:szCs w:val="24"/>
          <w:highlight w:val="none"/>
          <w:lang w:eastAsia="zh-CN"/>
        </w:rPr>
        <w:t>约定的</w:t>
      </w:r>
      <w:r>
        <w:rPr>
          <w:rFonts w:hint="eastAsia" w:ascii="宋体" w:hAnsi="宋体" w:eastAsia="宋体" w:cs="宋体"/>
          <w:color w:val="auto"/>
          <w:sz w:val="24"/>
          <w:szCs w:val="24"/>
          <w:highlight w:val="none"/>
        </w:rPr>
        <w:t>指定现场。</w:t>
      </w:r>
    </w:p>
    <w:p w14:paraId="2AFAF772">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.2 除</w:t>
      </w:r>
      <w:r>
        <w:rPr>
          <w:rFonts w:hint="eastAsia" w:ascii="宋体" w:hAnsi="宋体" w:eastAsia="宋体" w:cs="宋体"/>
          <w:b/>
          <w:color w:val="auto"/>
          <w:sz w:val="24"/>
          <w:szCs w:val="24"/>
          <w:highlight w:val="none"/>
        </w:rPr>
        <w:t>【合同专用条款】</w:t>
      </w:r>
      <w:r>
        <w:rPr>
          <w:rFonts w:hint="eastAsia" w:ascii="宋体" w:hAnsi="宋体" w:eastAsia="宋体" w:cs="宋体"/>
          <w:bCs/>
          <w:color w:val="auto"/>
          <w:sz w:val="24"/>
          <w:szCs w:val="24"/>
          <w:highlight w:val="none"/>
        </w:rPr>
        <w:t>另有</w:t>
      </w:r>
      <w:r>
        <w:rPr>
          <w:rFonts w:hint="eastAsia" w:ascii="宋体" w:hAnsi="宋体" w:eastAsia="宋体" w:cs="宋体"/>
          <w:bCs/>
          <w:color w:val="auto"/>
          <w:sz w:val="24"/>
          <w:szCs w:val="24"/>
          <w:highlight w:val="none"/>
          <w:lang w:eastAsia="zh-CN"/>
        </w:rPr>
        <w:t>约</w:t>
      </w:r>
      <w:r>
        <w:rPr>
          <w:rFonts w:hint="eastAsia" w:ascii="宋体" w:hAnsi="宋体" w:eastAsia="宋体" w:cs="宋体"/>
          <w:bCs/>
          <w:color w:val="auto"/>
          <w:sz w:val="24"/>
          <w:szCs w:val="24"/>
          <w:highlight w:val="none"/>
        </w:rPr>
        <w:t>定</w:t>
      </w:r>
      <w:r>
        <w:rPr>
          <w:rFonts w:hint="eastAsia" w:ascii="宋体" w:hAnsi="宋体" w:eastAsia="宋体" w:cs="宋体"/>
          <w:bCs/>
          <w:color w:val="auto"/>
          <w:sz w:val="24"/>
          <w:szCs w:val="24"/>
          <w:highlight w:val="none"/>
          <w:lang w:eastAsia="zh-CN"/>
        </w:rPr>
        <w:t>外</w:t>
      </w: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乙方负责办理将货物运抵本合同规定的交货地点</w:t>
      </w:r>
      <w:r>
        <w:rPr>
          <w:rFonts w:hint="eastAsia" w:ascii="宋体" w:hAnsi="宋体" w:eastAsia="宋体" w:cs="宋体"/>
          <w:color w:val="auto"/>
          <w:sz w:val="24"/>
          <w:szCs w:val="24"/>
          <w:highlight w:val="none"/>
          <w:lang w:eastAsia="zh-CN"/>
        </w:rPr>
        <w:t>，并装卸、交付至甲方</w:t>
      </w:r>
      <w:r>
        <w:rPr>
          <w:rFonts w:hint="eastAsia" w:ascii="宋体" w:hAnsi="宋体" w:eastAsia="宋体" w:cs="宋体"/>
          <w:color w:val="auto"/>
          <w:sz w:val="24"/>
          <w:szCs w:val="24"/>
          <w:highlight w:val="none"/>
        </w:rPr>
        <w:t>的一切运输事项，相关费用应</w:t>
      </w:r>
      <w:r>
        <w:rPr>
          <w:rFonts w:hint="eastAsia" w:ascii="宋体" w:hAnsi="宋体" w:eastAsia="宋体" w:cs="宋体"/>
          <w:color w:val="auto"/>
          <w:sz w:val="24"/>
          <w:szCs w:val="24"/>
          <w:highlight w:val="none"/>
          <w:lang w:eastAsia="zh-CN"/>
        </w:rPr>
        <w:t>包含</w:t>
      </w:r>
      <w:r>
        <w:rPr>
          <w:rFonts w:hint="eastAsia" w:ascii="宋体" w:hAnsi="宋体" w:eastAsia="宋体" w:cs="宋体"/>
          <w:color w:val="auto"/>
          <w:sz w:val="24"/>
          <w:szCs w:val="24"/>
          <w:highlight w:val="none"/>
        </w:rPr>
        <w:t>在合同</w:t>
      </w:r>
      <w:r>
        <w:rPr>
          <w:rFonts w:hint="eastAsia" w:ascii="宋体" w:hAnsi="宋体" w:eastAsia="宋体" w:cs="宋体"/>
          <w:color w:val="auto"/>
          <w:sz w:val="24"/>
          <w:szCs w:val="24"/>
          <w:highlight w:val="none"/>
          <w:lang w:eastAsia="zh-CN"/>
        </w:rPr>
        <w:t>价款</w:t>
      </w:r>
      <w:r>
        <w:rPr>
          <w:rFonts w:hint="eastAsia" w:ascii="宋体" w:hAnsi="宋体" w:eastAsia="宋体" w:cs="宋体"/>
          <w:color w:val="auto"/>
          <w:sz w:val="24"/>
          <w:szCs w:val="24"/>
          <w:highlight w:val="none"/>
        </w:rPr>
        <w:t>中。</w:t>
      </w:r>
    </w:p>
    <w:p w14:paraId="7D68432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.3 货物保险要求按</w:t>
      </w:r>
      <w:r>
        <w:rPr>
          <w:rFonts w:hint="eastAsia" w:ascii="宋体" w:hAnsi="宋体" w:eastAsia="宋体" w:cs="宋体"/>
          <w:b/>
          <w:color w:val="auto"/>
          <w:sz w:val="24"/>
          <w:szCs w:val="24"/>
          <w:highlight w:val="none"/>
        </w:rPr>
        <w:t>【合同专用条款】</w:t>
      </w:r>
      <w:r>
        <w:rPr>
          <w:rFonts w:hint="eastAsia" w:ascii="宋体" w:hAnsi="宋体" w:eastAsia="宋体" w:cs="宋体"/>
          <w:bCs/>
          <w:color w:val="auto"/>
          <w:sz w:val="24"/>
          <w:szCs w:val="24"/>
          <w:highlight w:val="none"/>
        </w:rPr>
        <w:t>规定执行</w:t>
      </w:r>
      <w:r>
        <w:rPr>
          <w:rFonts w:hint="eastAsia" w:ascii="宋体" w:hAnsi="宋体" w:eastAsia="宋体" w:cs="宋体"/>
          <w:color w:val="auto"/>
          <w:sz w:val="24"/>
          <w:szCs w:val="24"/>
          <w:highlight w:val="none"/>
        </w:rPr>
        <w:t>。</w:t>
      </w:r>
    </w:p>
    <w:p w14:paraId="40A82C8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7</w:t>
      </w:r>
      <w:r>
        <w:rPr>
          <w:rFonts w:hint="eastAsia" w:ascii="宋体" w:hAnsi="宋体" w:eastAsia="宋体" w:cs="宋体"/>
          <w:color w:val="auto"/>
          <w:sz w:val="24"/>
          <w:szCs w:val="24"/>
          <w:highlight w:val="none"/>
        </w:rPr>
        <w:t xml:space="preserve">.4 </w:t>
      </w:r>
      <w:r>
        <w:rPr>
          <w:rFonts w:hint="eastAsia" w:ascii="宋体" w:hAnsi="宋体" w:eastAsia="宋体" w:cs="宋体"/>
          <w:color w:val="auto"/>
          <w:sz w:val="24"/>
          <w:szCs w:val="24"/>
          <w:highlight w:val="none"/>
          <w:lang w:val="en-US" w:eastAsia="zh-CN"/>
        </w:rPr>
        <w:t>除采购活动</w:t>
      </w:r>
      <w:r>
        <w:rPr>
          <w:rFonts w:hint="eastAsia" w:ascii="宋体" w:hAnsi="宋体" w:eastAsia="宋体" w:cs="宋体"/>
          <w:color w:val="auto"/>
          <w:sz w:val="24"/>
          <w:szCs w:val="24"/>
          <w:highlight w:val="none"/>
        </w:rPr>
        <w:t>对商品包装</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快递包装</w:t>
      </w:r>
      <w:r>
        <w:rPr>
          <w:rFonts w:hint="eastAsia" w:ascii="宋体" w:hAnsi="宋体" w:eastAsia="宋体" w:cs="宋体"/>
          <w:color w:val="auto"/>
          <w:sz w:val="24"/>
          <w:szCs w:val="24"/>
          <w:highlight w:val="none"/>
          <w:lang w:val="en-US" w:eastAsia="zh-CN"/>
        </w:rPr>
        <w:t>达成具体约定外</w:t>
      </w:r>
      <w:r>
        <w:rPr>
          <w:rFonts w:hint="eastAsia" w:ascii="宋体" w:hAnsi="宋体" w:eastAsia="宋体" w:cs="宋体"/>
          <w:color w:val="auto"/>
          <w:sz w:val="24"/>
          <w:szCs w:val="24"/>
          <w:highlight w:val="none"/>
        </w:rPr>
        <w:t>，乙方提供产品及相关快递服务</w:t>
      </w:r>
      <w:r>
        <w:rPr>
          <w:rFonts w:hint="eastAsia" w:ascii="宋体" w:hAnsi="宋体" w:eastAsia="宋体" w:cs="宋体"/>
          <w:color w:val="auto"/>
          <w:sz w:val="24"/>
          <w:szCs w:val="24"/>
          <w:highlight w:val="none"/>
          <w:lang w:val="en-US" w:eastAsia="zh-CN"/>
        </w:rPr>
        <w:t>涉及到</w:t>
      </w:r>
      <w:r>
        <w:rPr>
          <w:rFonts w:hint="eastAsia" w:ascii="宋体" w:hAnsi="宋体" w:eastAsia="宋体" w:cs="宋体"/>
          <w:color w:val="auto"/>
          <w:sz w:val="24"/>
          <w:szCs w:val="24"/>
          <w:highlight w:val="none"/>
        </w:rPr>
        <w:t>具体包装要求</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应</w:t>
      </w:r>
      <w:r>
        <w:rPr>
          <w:rFonts w:hint="eastAsia" w:ascii="宋体" w:hAnsi="宋体" w:eastAsia="宋体" w:cs="宋体"/>
          <w:color w:val="auto"/>
          <w:sz w:val="24"/>
          <w:szCs w:val="24"/>
          <w:highlight w:val="none"/>
          <w:lang w:val="en-US" w:eastAsia="zh-CN"/>
        </w:rPr>
        <w:t>不低于</w:t>
      </w:r>
      <w:r>
        <w:rPr>
          <w:rFonts w:hint="eastAsia" w:ascii="宋体" w:hAnsi="宋体" w:eastAsia="宋体" w:cs="宋体"/>
          <w:color w:val="auto"/>
          <w:sz w:val="24"/>
          <w:szCs w:val="24"/>
          <w:highlight w:val="none"/>
        </w:rPr>
        <w:t>《商品包装政府采购需求标准（试行）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快递包装政府采购需求标准（试行）》</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，并作为履约验收的内容，必要时甲方可以要求乙方在履约验收环节出具检测报告。</w:t>
      </w:r>
    </w:p>
    <w:p w14:paraId="719141C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7.5 </w:t>
      </w:r>
      <w:r>
        <w:rPr>
          <w:rFonts w:hint="eastAsia" w:ascii="宋体" w:hAnsi="宋体" w:eastAsia="宋体" w:cs="宋体"/>
          <w:color w:val="auto"/>
          <w:sz w:val="24"/>
          <w:szCs w:val="24"/>
          <w:highlight w:val="none"/>
        </w:rPr>
        <w:t>乙方在运输到达之前</w:t>
      </w:r>
      <w:r>
        <w:rPr>
          <w:rFonts w:hint="eastAsia" w:ascii="宋体" w:hAnsi="宋体" w:eastAsia="宋体" w:cs="宋体"/>
          <w:color w:val="auto"/>
          <w:sz w:val="24"/>
          <w:szCs w:val="24"/>
          <w:highlight w:val="none"/>
          <w:lang w:eastAsia="zh-CN"/>
        </w:rPr>
        <w:t>应</w:t>
      </w:r>
      <w:r>
        <w:rPr>
          <w:rFonts w:hint="eastAsia" w:ascii="宋体" w:hAnsi="宋体" w:eastAsia="宋体" w:cs="宋体"/>
          <w:color w:val="auto"/>
          <w:sz w:val="24"/>
          <w:szCs w:val="24"/>
          <w:highlight w:val="none"/>
        </w:rPr>
        <w:t>提前通知</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，并提示货物运输装卸的注意事项</w:t>
      </w:r>
      <w:r>
        <w:rPr>
          <w:rFonts w:hint="eastAsia" w:ascii="宋体" w:hAnsi="宋体" w:eastAsia="宋体" w:cs="宋体"/>
          <w:color w:val="auto"/>
          <w:sz w:val="24"/>
          <w:szCs w:val="24"/>
          <w:highlight w:val="none"/>
          <w:lang w:eastAsia="zh-CN"/>
        </w:rPr>
        <w:t>，甲方配合乙方做好货物的接收工作。</w:t>
      </w:r>
    </w:p>
    <w:p w14:paraId="2BE3E566">
      <w:pPr>
        <w:pStyle w:val="71"/>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rPr>
        <w:t xml:space="preserve">7.6 </w:t>
      </w:r>
      <w:r>
        <w:rPr>
          <w:rFonts w:hint="eastAsia" w:ascii="宋体" w:hAnsi="宋体" w:eastAsia="宋体" w:cs="宋体"/>
          <w:color w:val="auto"/>
          <w:kern w:val="2"/>
          <w:sz w:val="24"/>
          <w:szCs w:val="24"/>
          <w:highlight w:val="none"/>
        </w:rPr>
        <w:t>如因包装</w:t>
      </w:r>
      <w:r>
        <w:rPr>
          <w:rFonts w:hint="eastAsia" w:ascii="宋体" w:hAnsi="宋体" w:eastAsia="宋体" w:cs="宋体"/>
          <w:color w:val="auto"/>
          <w:kern w:val="2"/>
          <w:sz w:val="24"/>
          <w:szCs w:val="24"/>
          <w:highlight w:val="none"/>
          <w:lang w:eastAsia="zh-CN"/>
        </w:rPr>
        <w:t>、运输</w:t>
      </w:r>
      <w:r>
        <w:rPr>
          <w:rFonts w:hint="eastAsia" w:ascii="宋体" w:hAnsi="宋体" w:eastAsia="宋体" w:cs="宋体"/>
          <w:color w:val="auto"/>
          <w:kern w:val="2"/>
          <w:sz w:val="24"/>
          <w:szCs w:val="24"/>
          <w:highlight w:val="none"/>
        </w:rPr>
        <w:t>问题导致货物</w:t>
      </w:r>
      <w:r>
        <w:rPr>
          <w:rFonts w:hint="eastAsia" w:ascii="宋体" w:hAnsi="宋体" w:eastAsia="宋体" w:cs="宋体"/>
          <w:color w:val="auto"/>
          <w:kern w:val="2"/>
          <w:sz w:val="24"/>
          <w:szCs w:val="24"/>
          <w:highlight w:val="none"/>
          <w:lang w:eastAsia="zh-CN"/>
        </w:rPr>
        <w:t>损毁、丢失</w:t>
      </w:r>
      <w:r>
        <w:rPr>
          <w:rFonts w:hint="eastAsia" w:ascii="宋体" w:hAnsi="宋体" w:eastAsia="宋体" w:cs="宋体"/>
          <w:color w:val="auto"/>
          <w:kern w:val="2"/>
          <w:sz w:val="24"/>
          <w:szCs w:val="24"/>
          <w:highlight w:val="none"/>
        </w:rPr>
        <w:t>或者品质下降，</w:t>
      </w:r>
      <w:r>
        <w:rPr>
          <w:rFonts w:hint="eastAsia" w:ascii="宋体" w:hAnsi="宋体" w:eastAsia="宋体" w:cs="宋体"/>
          <w:color w:val="auto"/>
          <w:kern w:val="2"/>
          <w:sz w:val="24"/>
          <w:szCs w:val="24"/>
          <w:highlight w:val="none"/>
          <w:lang w:eastAsia="zh-CN"/>
        </w:rPr>
        <w:t>甲方</w:t>
      </w:r>
      <w:r>
        <w:rPr>
          <w:rFonts w:hint="eastAsia" w:ascii="宋体" w:hAnsi="宋体" w:eastAsia="宋体" w:cs="宋体"/>
          <w:color w:val="auto"/>
          <w:kern w:val="2"/>
          <w:sz w:val="24"/>
          <w:szCs w:val="24"/>
          <w:highlight w:val="none"/>
        </w:rPr>
        <w:t>有权要求降价、换货、拒收部分或整批货物，由此</w:t>
      </w:r>
      <w:r>
        <w:rPr>
          <w:rFonts w:hint="eastAsia" w:ascii="宋体" w:hAnsi="宋体" w:eastAsia="宋体" w:cs="宋体"/>
          <w:color w:val="auto"/>
          <w:kern w:val="2"/>
          <w:sz w:val="24"/>
          <w:szCs w:val="24"/>
          <w:highlight w:val="none"/>
          <w:lang w:eastAsia="zh-CN"/>
        </w:rPr>
        <w:t>产生</w:t>
      </w:r>
      <w:r>
        <w:rPr>
          <w:rFonts w:hint="eastAsia" w:ascii="宋体" w:hAnsi="宋体" w:eastAsia="宋体" w:cs="宋体"/>
          <w:color w:val="auto"/>
          <w:kern w:val="2"/>
          <w:sz w:val="24"/>
          <w:szCs w:val="24"/>
          <w:highlight w:val="none"/>
        </w:rPr>
        <w:t>的费用和损失，均由</w:t>
      </w:r>
      <w:r>
        <w:rPr>
          <w:rFonts w:hint="eastAsia" w:ascii="宋体" w:hAnsi="宋体" w:eastAsia="宋体" w:cs="宋体"/>
          <w:color w:val="auto"/>
          <w:kern w:val="2"/>
          <w:sz w:val="24"/>
          <w:szCs w:val="24"/>
          <w:highlight w:val="none"/>
          <w:lang w:eastAsia="zh-CN"/>
        </w:rPr>
        <w:t>乙方</w:t>
      </w:r>
      <w:r>
        <w:rPr>
          <w:rFonts w:hint="eastAsia" w:ascii="宋体" w:hAnsi="宋体" w:eastAsia="宋体" w:cs="宋体"/>
          <w:color w:val="auto"/>
          <w:kern w:val="2"/>
          <w:sz w:val="24"/>
          <w:szCs w:val="24"/>
          <w:highlight w:val="none"/>
        </w:rPr>
        <w:t>承担。</w:t>
      </w:r>
    </w:p>
    <w:p w14:paraId="28D66B38">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eastAsia="zh-CN"/>
        </w:rPr>
        <w:t>8</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质量标准和保证</w:t>
      </w:r>
    </w:p>
    <w:p w14:paraId="625899C9">
      <w:pPr>
        <w:pageBreakBefore w:val="0"/>
        <w:widowControl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8.1 质量标准</w:t>
      </w:r>
    </w:p>
    <w:p w14:paraId="6708B8B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合同约</w:t>
      </w:r>
      <w:r>
        <w:rPr>
          <w:rFonts w:hint="eastAsia" w:ascii="宋体" w:hAnsi="宋体" w:eastAsia="宋体" w:cs="宋体"/>
          <w:color w:val="auto"/>
          <w:sz w:val="24"/>
          <w:szCs w:val="24"/>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6843F257">
      <w:pPr>
        <w:pageBreakBefore w:val="0"/>
        <w:widowControl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（2）采用中华人民共和国法定计量单位。</w:t>
      </w:r>
    </w:p>
    <w:p w14:paraId="2560761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2C67C50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173BF60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34C6174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完全符合合同规定的质量、规格和性能要求。乙方应保证货物在正确安装、正常使用和保养条件下，在其使用寿命期内具</w:t>
      </w:r>
      <w:r>
        <w:rPr>
          <w:rFonts w:hint="eastAsia" w:ascii="宋体" w:hAnsi="宋体" w:eastAsia="宋体" w:cs="宋体"/>
          <w:color w:val="auto"/>
          <w:sz w:val="24"/>
          <w:szCs w:val="24"/>
          <w:highlight w:val="none"/>
          <w:lang w:eastAsia="zh-CN"/>
        </w:rPr>
        <w:t>备合同约定</w:t>
      </w:r>
      <w:r>
        <w:rPr>
          <w:rFonts w:hint="eastAsia" w:ascii="宋体" w:hAnsi="宋体" w:eastAsia="宋体" w:cs="宋体"/>
          <w:color w:val="auto"/>
          <w:sz w:val="24"/>
          <w:szCs w:val="24"/>
          <w:highlight w:val="none"/>
        </w:rPr>
        <w:t>的性能。</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2F6CCF2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6F75F06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74E607A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auto"/>
          <w:sz w:val="24"/>
          <w:szCs w:val="24"/>
          <w:highlight w:val="none"/>
          <w:lang w:eastAsia="zh-CN"/>
        </w:rPr>
        <w:t>追究</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的违约责任</w:t>
      </w:r>
      <w:r>
        <w:rPr>
          <w:rFonts w:hint="eastAsia" w:ascii="宋体" w:hAnsi="宋体" w:eastAsia="宋体" w:cs="宋体"/>
          <w:color w:val="auto"/>
          <w:sz w:val="24"/>
          <w:szCs w:val="24"/>
          <w:highlight w:val="none"/>
        </w:rPr>
        <w:t>。</w:t>
      </w:r>
    </w:p>
    <w:p w14:paraId="6A18BA5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1D50D8EE">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权利瑕疵担保</w:t>
      </w:r>
    </w:p>
    <w:p w14:paraId="2BB28BE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.1 乙方保证对其出售的货物享有合法的权利。</w:t>
      </w:r>
    </w:p>
    <w:p w14:paraId="1900A24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.2 乙方保证在交付的货物上不存在抵押权等担保物权。</w:t>
      </w:r>
    </w:p>
    <w:p w14:paraId="0DA1496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9</w:t>
      </w:r>
      <w:r>
        <w:rPr>
          <w:rFonts w:hint="eastAsia" w:ascii="宋体" w:hAnsi="宋体" w:eastAsia="宋体" w:cs="宋体"/>
          <w:color w:val="auto"/>
          <w:sz w:val="24"/>
          <w:szCs w:val="24"/>
          <w:highlight w:val="none"/>
        </w:rPr>
        <w:t>.3 如甲方使用</w:t>
      </w:r>
      <w:r>
        <w:rPr>
          <w:rFonts w:hint="eastAsia" w:ascii="宋体" w:hAnsi="宋体" w:eastAsia="宋体" w:cs="宋体"/>
          <w:color w:val="auto"/>
          <w:sz w:val="24"/>
          <w:szCs w:val="24"/>
          <w:highlight w:val="none"/>
          <w:lang w:val="en-US" w:eastAsia="zh-CN"/>
        </w:rPr>
        <w:t>上述</w:t>
      </w:r>
      <w:r>
        <w:rPr>
          <w:rFonts w:hint="eastAsia" w:ascii="宋体" w:hAnsi="宋体" w:eastAsia="宋体" w:cs="宋体"/>
          <w:color w:val="auto"/>
          <w:sz w:val="24"/>
          <w:szCs w:val="24"/>
          <w:highlight w:val="none"/>
        </w:rPr>
        <w:t>货物构成</w:t>
      </w:r>
      <w:r>
        <w:rPr>
          <w:rFonts w:hint="eastAsia" w:ascii="宋体" w:hAnsi="宋体" w:eastAsia="宋体" w:cs="宋体"/>
          <w:color w:val="auto"/>
          <w:sz w:val="24"/>
          <w:szCs w:val="24"/>
          <w:highlight w:val="none"/>
          <w:lang w:val="en-US" w:eastAsia="zh-CN"/>
        </w:rPr>
        <w:t>对第三人</w:t>
      </w:r>
      <w:r>
        <w:rPr>
          <w:rFonts w:hint="eastAsia" w:ascii="宋体" w:hAnsi="宋体" w:eastAsia="宋体" w:cs="宋体"/>
          <w:color w:val="auto"/>
          <w:sz w:val="24"/>
          <w:szCs w:val="24"/>
          <w:highlight w:val="none"/>
        </w:rPr>
        <w:t>侵权的，则由乙方承担全部责任。</w:t>
      </w:r>
    </w:p>
    <w:p w14:paraId="1A3F9BB8">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0</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知识产权保护</w:t>
      </w:r>
    </w:p>
    <w:p w14:paraId="25D627C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0</w:t>
      </w:r>
      <w:r>
        <w:rPr>
          <w:rFonts w:hint="eastAsia" w:ascii="宋体" w:hAnsi="宋体" w:eastAsia="宋体" w:cs="宋体"/>
          <w:color w:val="auto"/>
          <w:sz w:val="24"/>
          <w:szCs w:val="24"/>
          <w:highlight w:val="none"/>
        </w:rPr>
        <w:t>.1 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14:paraId="3A2214C4">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保密义务</w:t>
      </w:r>
    </w:p>
    <w:p w14:paraId="7E75AB2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11.1 </w:t>
      </w:r>
      <w:r>
        <w:rPr>
          <w:rFonts w:hint="eastAsia" w:ascii="宋体" w:hAnsi="宋体" w:eastAsia="宋体" w:cs="宋体"/>
          <w:color w:val="auto"/>
          <w:sz w:val="24"/>
          <w:szCs w:val="24"/>
          <w:highlight w:val="none"/>
        </w:rPr>
        <w:t>甲、乙双方</w:t>
      </w:r>
      <w:r>
        <w:rPr>
          <w:rFonts w:hint="eastAsia" w:ascii="宋体" w:hAnsi="宋体" w:eastAsia="宋体" w:cs="宋体"/>
          <w:color w:val="auto"/>
          <w:sz w:val="24"/>
          <w:szCs w:val="24"/>
          <w:highlight w:val="none"/>
          <w:lang w:eastAsia="zh-CN"/>
        </w:rPr>
        <w:t>对</w:t>
      </w:r>
      <w:r>
        <w:rPr>
          <w:rFonts w:hint="eastAsia" w:ascii="宋体" w:hAnsi="宋体" w:eastAsia="宋体" w:cs="宋体"/>
          <w:color w:val="auto"/>
          <w:sz w:val="24"/>
          <w:szCs w:val="24"/>
          <w:highlight w:val="none"/>
        </w:rPr>
        <w:t>采购和合同履行过程中所获悉的</w:t>
      </w:r>
      <w:r>
        <w:rPr>
          <w:rFonts w:hint="eastAsia" w:ascii="宋体" w:hAnsi="宋体" w:eastAsia="宋体" w:cs="宋体"/>
          <w:color w:val="auto"/>
          <w:sz w:val="24"/>
          <w:szCs w:val="24"/>
          <w:highlight w:val="none"/>
          <w:lang w:eastAsia="zh-CN"/>
        </w:rPr>
        <w:t>国家秘密、工作秘密、</w:t>
      </w:r>
      <w:r>
        <w:rPr>
          <w:rFonts w:hint="eastAsia" w:ascii="宋体" w:hAnsi="宋体" w:eastAsia="宋体" w:cs="宋体"/>
          <w:color w:val="auto"/>
          <w:sz w:val="24"/>
          <w:szCs w:val="24"/>
          <w:highlight w:val="none"/>
        </w:rPr>
        <w:t>商业秘密或者其他应当保密的信息，均有保密义务</w:t>
      </w:r>
      <w:r>
        <w:rPr>
          <w:rFonts w:hint="eastAsia" w:ascii="宋体" w:hAnsi="宋体" w:eastAsia="宋体" w:cs="宋体"/>
          <w:color w:val="auto"/>
          <w:sz w:val="24"/>
          <w:szCs w:val="24"/>
          <w:highlight w:val="none"/>
          <w:lang w:eastAsia="zh-CN"/>
        </w:rPr>
        <w:t>且不受合同有效期所限，直至该信息成为公开信息</w:t>
      </w:r>
      <w:r>
        <w:rPr>
          <w:rFonts w:hint="eastAsia" w:ascii="宋体" w:hAnsi="宋体" w:eastAsia="宋体" w:cs="宋体"/>
          <w:color w:val="auto"/>
          <w:sz w:val="24"/>
          <w:szCs w:val="24"/>
          <w:highlight w:val="none"/>
        </w:rPr>
        <w:t>。泄露、不正当地使用</w:t>
      </w:r>
      <w:r>
        <w:rPr>
          <w:rFonts w:hint="eastAsia" w:ascii="宋体" w:hAnsi="宋体" w:eastAsia="宋体" w:cs="宋体"/>
          <w:color w:val="auto"/>
          <w:sz w:val="24"/>
          <w:szCs w:val="24"/>
          <w:highlight w:val="none"/>
          <w:lang w:eastAsia="zh-CN"/>
        </w:rPr>
        <w:t>国家秘密、工作秘密、</w:t>
      </w:r>
      <w:r>
        <w:rPr>
          <w:rFonts w:hint="eastAsia" w:ascii="宋体" w:hAnsi="宋体" w:eastAsia="宋体" w:cs="宋体"/>
          <w:color w:val="auto"/>
          <w:sz w:val="24"/>
          <w:szCs w:val="24"/>
          <w:highlight w:val="none"/>
        </w:rPr>
        <w:t>商业秘密或者</w:t>
      </w:r>
      <w:r>
        <w:rPr>
          <w:rFonts w:hint="eastAsia" w:ascii="宋体" w:hAnsi="宋体" w:eastAsia="宋体" w:cs="宋体"/>
          <w:color w:val="auto"/>
          <w:sz w:val="24"/>
          <w:szCs w:val="24"/>
          <w:highlight w:val="none"/>
          <w:lang w:eastAsia="zh-CN"/>
        </w:rPr>
        <w:t>其他应当保密的</w:t>
      </w:r>
      <w:r>
        <w:rPr>
          <w:rFonts w:hint="eastAsia" w:ascii="宋体" w:hAnsi="宋体" w:eastAsia="宋体" w:cs="宋体"/>
          <w:color w:val="auto"/>
          <w:sz w:val="24"/>
          <w:szCs w:val="24"/>
          <w:highlight w:val="none"/>
        </w:rPr>
        <w:t>信息，应当承担</w:t>
      </w:r>
      <w:r>
        <w:rPr>
          <w:rFonts w:hint="eastAsia" w:ascii="宋体" w:hAnsi="宋体" w:eastAsia="宋体" w:cs="宋体"/>
          <w:color w:val="auto"/>
          <w:sz w:val="24"/>
          <w:szCs w:val="24"/>
          <w:highlight w:val="none"/>
          <w:lang w:eastAsia="zh-CN"/>
        </w:rPr>
        <w:t>相应</w:t>
      </w:r>
      <w:r>
        <w:rPr>
          <w:rFonts w:hint="eastAsia" w:ascii="宋体" w:hAnsi="宋体" w:eastAsia="宋体" w:cs="宋体"/>
          <w:color w:val="auto"/>
          <w:sz w:val="24"/>
          <w:szCs w:val="24"/>
          <w:highlight w:val="none"/>
        </w:rPr>
        <w:t>责任。其他应当保密的信息由双方在</w:t>
      </w:r>
      <w:r>
        <w:rPr>
          <w:rFonts w:hint="eastAsia" w:ascii="宋体" w:hAnsi="宋体" w:eastAsia="宋体" w:cs="宋体"/>
          <w:b/>
          <w:bCs/>
          <w:color w:val="auto"/>
          <w:sz w:val="24"/>
          <w:szCs w:val="24"/>
          <w:highlight w:val="none"/>
        </w:rPr>
        <w:t>【合同专用条款】</w:t>
      </w:r>
      <w:r>
        <w:rPr>
          <w:rFonts w:hint="eastAsia" w:ascii="宋体" w:hAnsi="宋体" w:eastAsia="宋体" w:cs="宋体"/>
          <w:color w:val="auto"/>
          <w:sz w:val="24"/>
          <w:szCs w:val="24"/>
          <w:highlight w:val="none"/>
        </w:rPr>
        <w:t>中约定。</w:t>
      </w:r>
    </w:p>
    <w:p w14:paraId="396BD42D">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合同价款支付</w:t>
      </w:r>
    </w:p>
    <w:p w14:paraId="27CB9640">
      <w:pPr>
        <w:pageBreakBefore w:val="0"/>
        <w:kinsoku/>
        <w:wordWrap/>
        <w:overflowPunct/>
        <w:topLinePunct w:val="0"/>
        <w:autoSpaceDE/>
        <w:autoSpaceDN/>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2</w:t>
      </w:r>
      <w:r>
        <w:rPr>
          <w:rFonts w:hint="eastAsia" w:ascii="宋体" w:hAnsi="宋体" w:eastAsia="宋体" w:cs="宋体"/>
          <w:color w:val="auto"/>
          <w:sz w:val="24"/>
          <w:szCs w:val="24"/>
          <w:highlight w:val="none"/>
        </w:rPr>
        <w:t xml:space="preserve">.1 </w:t>
      </w:r>
      <w:r>
        <w:rPr>
          <w:rFonts w:hint="eastAsia" w:ascii="宋体" w:hAnsi="宋体" w:eastAsia="宋体" w:cs="宋体"/>
          <w:color w:val="auto"/>
          <w:sz w:val="24"/>
          <w:szCs w:val="24"/>
          <w:highlight w:val="none"/>
          <w:lang w:eastAsia="zh-CN"/>
        </w:rPr>
        <w:t>合同价款支付</w:t>
      </w:r>
      <w:r>
        <w:rPr>
          <w:rFonts w:hint="eastAsia" w:ascii="宋体" w:hAnsi="宋体" w:eastAsia="宋体" w:cs="宋体"/>
          <w:color w:val="auto"/>
          <w:sz w:val="24"/>
          <w:szCs w:val="24"/>
          <w:highlight w:val="none"/>
        </w:rPr>
        <w:t>按照国库集中支付</w:t>
      </w:r>
      <w:r>
        <w:rPr>
          <w:rFonts w:hint="eastAsia" w:ascii="宋体" w:hAnsi="宋体" w:eastAsia="宋体" w:cs="宋体"/>
          <w:color w:val="auto"/>
          <w:sz w:val="24"/>
          <w:szCs w:val="24"/>
          <w:highlight w:val="none"/>
          <w:lang w:eastAsia="zh-CN"/>
        </w:rPr>
        <w:t>制度及财政管理相关</w:t>
      </w:r>
      <w:r>
        <w:rPr>
          <w:rFonts w:hint="eastAsia" w:ascii="宋体" w:hAnsi="宋体" w:eastAsia="宋体" w:cs="宋体"/>
          <w:color w:val="auto"/>
          <w:sz w:val="24"/>
          <w:szCs w:val="24"/>
          <w:highlight w:val="none"/>
        </w:rPr>
        <w:t>规定执行。</w:t>
      </w:r>
    </w:p>
    <w:p w14:paraId="206845E6">
      <w:pPr>
        <w:pStyle w:val="3"/>
        <w:pageBreakBefore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eastAsia="zh-CN"/>
        </w:rPr>
      </w:pPr>
      <w:bookmarkStart w:id="166" w:name="_Toc17698"/>
      <w:bookmarkStart w:id="167" w:name="_Toc6977"/>
      <w:r>
        <w:rPr>
          <w:rFonts w:hint="eastAsia" w:ascii="宋体" w:hAnsi="宋体" w:eastAsia="宋体" w:cs="宋体"/>
          <w:b w:val="0"/>
          <w:bCs w:val="0"/>
          <w:color w:val="auto"/>
          <w:sz w:val="24"/>
          <w:szCs w:val="24"/>
          <w:highlight w:val="none"/>
          <w:lang w:val="en-US" w:eastAsia="zh-CN"/>
        </w:rPr>
        <w:t xml:space="preserve">12.2 </w:t>
      </w:r>
      <w:r>
        <w:rPr>
          <w:rFonts w:hint="eastAsia" w:ascii="宋体" w:hAnsi="宋体" w:eastAsia="宋体" w:cs="宋体"/>
          <w:b w:val="0"/>
          <w:bCs w:val="0"/>
          <w:color w:val="auto"/>
          <w:kern w:val="2"/>
          <w:sz w:val="24"/>
          <w:szCs w:val="24"/>
          <w:highlight w:val="none"/>
        </w:rPr>
        <w:t>对于满足合同约定支付条件的，</w:t>
      </w:r>
      <w:r>
        <w:rPr>
          <w:rFonts w:hint="eastAsia" w:ascii="宋体" w:hAnsi="宋体" w:eastAsia="宋体" w:cs="宋体"/>
          <w:b w:val="0"/>
          <w:bCs w:val="0"/>
          <w:color w:val="auto"/>
          <w:kern w:val="2"/>
          <w:sz w:val="24"/>
          <w:szCs w:val="24"/>
          <w:highlight w:val="none"/>
          <w:lang w:val="en-US" w:eastAsia="zh-CN"/>
        </w:rPr>
        <w:t>甲方</w:t>
      </w:r>
      <w:r>
        <w:rPr>
          <w:rFonts w:hint="eastAsia" w:ascii="宋体" w:hAnsi="宋体" w:eastAsia="宋体" w:cs="宋体"/>
          <w:b w:val="0"/>
          <w:bCs w:val="0"/>
          <w:i w:val="0"/>
          <w:iCs w:val="0"/>
          <w:caps w:val="0"/>
          <w:color w:val="auto"/>
          <w:spacing w:val="0"/>
          <w:sz w:val="24"/>
          <w:szCs w:val="24"/>
          <w:highlight w:val="none"/>
          <w:shd w:val="clear"/>
          <w:vertAlign w:val="baseline"/>
        </w:rPr>
        <w:t>原则上应当自收到发票后</w:t>
      </w:r>
      <w:r>
        <w:rPr>
          <w:rFonts w:hint="eastAsia" w:ascii="宋体" w:hAnsi="宋体" w:eastAsia="宋体" w:cs="宋体"/>
          <w:b w:val="0"/>
          <w:bCs w:val="0"/>
          <w:i w:val="0"/>
          <w:iCs w:val="0"/>
          <w:caps w:val="0"/>
          <w:color w:val="auto"/>
          <w:spacing w:val="0"/>
          <w:sz w:val="24"/>
          <w:szCs w:val="24"/>
          <w:highlight w:val="none"/>
          <w:shd w:val="clear"/>
          <w:vertAlign w:val="baseline"/>
          <w:lang w:val="en-US" w:eastAsia="zh-CN"/>
        </w:rPr>
        <w:t>7</w:t>
      </w:r>
      <w:r>
        <w:rPr>
          <w:rFonts w:hint="eastAsia" w:ascii="宋体" w:hAnsi="宋体" w:eastAsia="宋体" w:cs="宋体"/>
          <w:b w:val="0"/>
          <w:bCs w:val="0"/>
          <w:i w:val="0"/>
          <w:iCs w:val="0"/>
          <w:caps w:val="0"/>
          <w:color w:val="auto"/>
          <w:spacing w:val="0"/>
          <w:sz w:val="24"/>
          <w:szCs w:val="24"/>
          <w:highlight w:val="none"/>
          <w:shd w:val="clear"/>
          <w:vertAlign w:val="baseline"/>
        </w:rPr>
        <w:t>个工作日内</w:t>
      </w:r>
      <w:r>
        <w:rPr>
          <w:rFonts w:hint="eastAsia" w:ascii="宋体" w:hAnsi="宋体" w:eastAsia="宋体" w:cs="宋体"/>
          <w:b w:val="0"/>
          <w:bCs w:val="0"/>
          <w:color w:val="auto"/>
          <w:kern w:val="2"/>
          <w:sz w:val="24"/>
          <w:szCs w:val="24"/>
          <w:highlight w:val="none"/>
        </w:rPr>
        <w:t>将资金支付到合同约定的</w:t>
      </w:r>
      <w:r>
        <w:rPr>
          <w:rFonts w:hint="eastAsia" w:ascii="宋体" w:hAnsi="宋体" w:eastAsia="宋体" w:cs="宋体"/>
          <w:b w:val="0"/>
          <w:bCs w:val="0"/>
          <w:color w:val="auto"/>
          <w:kern w:val="2"/>
          <w:sz w:val="24"/>
          <w:szCs w:val="24"/>
          <w:highlight w:val="none"/>
          <w:lang w:eastAsia="zh-CN"/>
        </w:rPr>
        <w:t>乙方</w:t>
      </w:r>
      <w:r>
        <w:rPr>
          <w:rFonts w:hint="eastAsia" w:ascii="宋体" w:hAnsi="宋体" w:eastAsia="宋体" w:cs="宋体"/>
          <w:b w:val="0"/>
          <w:bCs w:val="0"/>
          <w:color w:val="auto"/>
          <w:kern w:val="2"/>
          <w:sz w:val="24"/>
          <w:szCs w:val="24"/>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kern w:val="2"/>
          <w:sz w:val="24"/>
          <w:szCs w:val="24"/>
          <w:highlight w:val="none"/>
          <w:lang w:val="en-US" w:eastAsia="zh-CN"/>
        </w:rPr>
        <w:t>乙方</w:t>
      </w:r>
      <w:r>
        <w:rPr>
          <w:rFonts w:hint="eastAsia" w:ascii="宋体" w:hAnsi="宋体" w:eastAsia="宋体" w:cs="宋体"/>
          <w:b w:val="0"/>
          <w:bCs w:val="0"/>
          <w:color w:val="auto"/>
          <w:kern w:val="2"/>
          <w:sz w:val="24"/>
          <w:szCs w:val="24"/>
          <w:highlight w:val="none"/>
        </w:rPr>
        <w:t>付款的条件。具体合同价款支付时间在【</w:t>
      </w:r>
      <w:r>
        <w:rPr>
          <w:rFonts w:hint="eastAsia" w:ascii="宋体" w:hAnsi="宋体" w:eastAsia="宋体" w:cs="宋体"/>
          <w:b/>
          <w:bCs/>
          <w:color w:val="auto"/>
          <w:kern w:val="2"/>
          <w:sz w:val="24"/>
          <w:szCs w:val="24"/>
          <w:highlight w:val="none"/>
        </w:rPr>
        <w:t>合同专用条款</w:t>
      </w:r>
      <w:r>
        <w:rPr>
          <w:rFonts w:hint="eastAsia" w:ascii="宋体" w:hAnsi="宋体" w:eastAsia="宋体" w:cs="宋体"/>
          <w:b w:val="0"/>
          <w:bCs w:val="0"/>
          <w:color w:val="auto"/>
          <w:kern w:val="2"/>
          <w:sz w:val="24"/>
          <w:szCs w:val="24"/>
          <w:highlight w:val="none"/>
        </w:rPr>
        <w:t>】中</w:t>
      </w:r>
      <w:r>
        <w:rPr>
          <w:rFonts w:hint="eastAsia" w:ascii="宋体" w:hAnsi="宋体" w:eastAsia="宋体" w:cs="宋体"/>
          <w:b w:val="0"/>
          <w:bCs w:val="0"/>
          <w:color w:val="auto"/>
          <w:kern w:val="2"/>
          <w:sz w:val="24"/>
          <w:szCs w:val="24"/>
          <w:highlight w:val="none"/>
          <w:lang w:eastAsia="zh-CN"/>
        </w:rPr>
        <w:t>约</w:t>
      </w:r>
      <w:r>
        <w:rPr>
          <w:rFonts w:hint="eastAsia" w:ascii="宋体" w:hAnsi="宋体" w:eastAsia="宋体" w:cs="宋体"/>
          <w:b w:val="0"/>
          <w:bCs w:val="0"/>
          <w:color w:val="auto"/>
          <w:kern w:val="2"/>
          <w:sz w:val="24"/>
          <w:szCs w:val="24"/>
          <w:highlight w:val="none"/>
        </w:rPr>
        <w:t>定。</w:t>
      </w:r>
      <w:bookmarkEnd w:id="166"/>
      <w:bookmarkEnd w:id="167"/>
    </w:p>
    <w:p w14:paraId="74B9FAFC">
      <w:pPr>
        <w:pStyle w:val="8"/>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p>
    <w:p w14:paraId="248CA2C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.1 乙方应当以支票、汇票、本票或者金融机构、担保机构出具的保函等非现金形式提交。</w:t>
      </w:r>
    </w:p>
    <w:p w14:paraId="1CC8E0C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color w:val="auto"/>
          <w:sz w:val="24"/>
          <w:szCs w:val="24"/>
          <w:highlight w:val="none"/>
        </w:rPr>
        <w:t>【合同专用条款】</w:t>
      </w:r>
      <w:r>
        <w:rPr>
          <w:rFonts w:hint="eastAsia" w:ascii="宋体" w:hAnsi="宋体" w:eastAsia="宋体" w:cs="宋体"/>
          <w:b w:val="0"/>
          <w:bCs w:val="0"/>
          <w:color w:val="auto"/>
          <w:sz w:val="24"/>
          <w:szCs w:val="24"/>
          <w:highlight w:val="none"/>
          <w:lang w:eastAsia="zh-CN"/>
        </w:rPr>
        <w:t>约定情形的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4EC7E99E">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【合同专用条款】</w:t>
      </w:r>
      <w:r>
        <w:rPr>
          <w:rFonts w:hint="eastAsia" w:ascii="宋体" w:hAnsi="宋体" w:eastAsia="宋体" w:cs="宋体"/>
          <w:color w:val="auto"/>
          <w:sz w:val="24"/>
          <w:szCs w:val="24"/>
          <w:highlight w:val="none"/>
        </w:rPr>
        <w:t>规定支付。</w:t>
      </w:r>
    </w:p>
    <w:p w14:paraId="1E8C5B24">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color w:val="auto"/>
          <w:sz w:val="24"/>
          <w:szCs w:val="24"/>
          <w:highlight w:val="none"/>
        </w:rPr>
        <w:t>售后服务</w:t>
      </w:r>
    </w:p>
    <w:p w14:paraId="4B42ADB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2AAE0AF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554A00B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4720A71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color w:val="auto"/>
          <w:sz w:val="24"/>
          <w:szCs w:val="24"/>
          <w:highlight w:val="none"/>
        </w:rPr>
        <w:t>【合同专用条款】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3C69274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color w:val="auto"/>
          <w:sz w:val="24"/>
          <w:szCs w:val="24"/>
          <w:highlight w:val="none"/>
          <w:lang w:eastAsia="zh-CN"/>
        </w:rPr>
        <w:t>；</w:t>
      </w:r>
    </w:p>
    <w:p w14:paraId="2ED34918">
      <w:pPr>
        <w:pStyle w:val="71"/>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（5）依照法律、行政法规的规定或者按照</w:t>
      </w:r>
      <w:r>
        <w:rPr>
          <w:rFonts w:hint="eastAsia" w:ascii="宋体" w:hAnsi="宋体" w:eastAsia="宋体" w:cs="宋体"/>
          <w:b/>
          <w:bCs/>
          <w:color w:val="auto"/>
          <w:sz w:val="24"/>
          <w:szCs w:val="24"/>
          <w:highlight w:val="none"/>
        </w:rPr>
        <w:t>【合同专用条款】</w:t>
      </w:r>
      <w:r>
        <w:rPr>
          <w:rFonts w:hint="eastAsia" w:ascii="宋体" w:hAnsi="宋体" w:eastAsia="宋体" w:cs="宋体"/>
          <w:color w:val="auto"/>
          <w:sz w:val="24"/>
          <w:szCs w:val="24"/>
          <w:highlight w:val="none"/>
        </w:rPr>
        <w:t>约定，货物在有效使用年限届满后应予回收的，乙方负有自行或者委托第三人对货物予以回收的义务；</w:t>
      </w:r>
    </w:p>
    <w:p w14:paraId="274032B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【合同专用条款】</w:t>
      </w:r>
      <w:r>
        <w:rPr>
          <w:rFonts w:hint="eastAsia" w:ascii="宋体" w:hAnsi="宋体" w:eastAsia="宋体" w:cs="宋体"/>
          <w:color w:val="auto"/>
          <w:sz w:val="24"/>
          <w:szCs w:val="24"/>
          <w:highlight w:val="none"/>
        </w:rPr>
        <w:t>规定由乙方提供的其他服务。</w:t>
      </w:r>
    </w:p>
    <w:p w14:paraId="3B44034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69C27A98">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违约责任</w:t>
      </w:r>
    </w:p>
    <w:p w14:paraId="6316EBD1">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513C920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0142055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4985A38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0B532FD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5356982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1B78C5C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【合同专用条款】</w:t>
      </w:r>
      <w:r>
        <w:rPr>
          <w:rFonts w:hint="eastAsia" w:ascii="宋体" w:hAnsi="宋体" w:eastAsia="宋体" w:cs="宋体"/>
          <w:color w:val="auto"/>
          <w:sz w:val="24"/>
          <w:szCs w:val="24"/>
          <w:highlight w:val="none"/>
        </w:rPr>
        <w:t>规定的逾期付款利息。</w:t>
      </w:r>
    </w:p>
    <w:p w14:paraId="66EAF6E1">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【合同专用条款】</w:t>
      </w:r>
      <w:r>
        <w:rPr>
          <w:rFonts w:hint="eastAsia" w:ascii="宋体" w:hAnsi="宋体" w:eastAsia="宋体" w:cs="宋体"/>
          <w:color w:val="auto"/>
          <w:sz w:val="24"/>
          <w:szCs w:val="24"/>
          <w:highlight w:val="none"/>
        </w:rPr>
        <w:t>规定执行。</w:t>
      </w:r>
    </w:p>
    <w:p w14:paraId="64818C70">
      <w:pPr>
        <w:pageBreakBefore w:val="0"/>
        <w:numPr>
          <w:ilvl w:val="0"/>
          <w:numId w:val="6"/>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54305FC4">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15B87DE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6334293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7604A58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447039D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33743ECF">
      <w:pPr>
        <w:pStyle w:val="71"/>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（3）乙方分立、合并或者变更住所的，应当及时以书面形式告知甲方。乙方没有</w:t>
      </w:r>
      <w:r>
        <w:rPr>
          <w:rFonts w:hint="eastAsia" w:ascii="宋体" w:hAnsi="宋体" w:eastAsia="宋体" w:cs="宋体"/>
          <w:color w:val="auto"/>
          <w:sz w:val="24"/>
          <w:szCs w:val="24"/>
          <w:highlight w:val="none"/>
          <w:lang w:eastAsia="zh-CN"/>
        </w:rPr>
        <w:t>及时告知</w:t>
      </w:r>
      <w:r>
        <w:rPr>
          <w:rFonts w:hint="eastAsia" w:ascii="宋体" w:hAnsi="宋体" w:eastAsia="宋体" w:cs="宋体"/>
          <w:color w:val="auto"/>
          <w:sz w:val="24"/>
          <w:szCs w:val="24"/>
          <w:highlight w:val="none"/>
        </w:rPr>
        <w:t>甲方，致使</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履行发生困难的，甲方可以中止合同履行并要求乙方承担由此给甲方造成的损失。</w:t>
      </w:r>
    </w:p>
    <w:p w14:paraId="42B34853">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0E34EE7C">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07D6395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1D6CC042">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并追究乙方的违约责</w:t>
      </w:r>
      <w:r>
        <w:rPr>
          <w:rFonts w:hint="eastAsia" w:ascii="宋体" w:hAnsi="宋体" w:eastAsia="宋体" w:cs="宋体"/>
          <w:color w:val="auto"/>
          <w:sz w:val="24"/>
          <w:szCs w:val="24"/>
          <w:highlight w:val="none"/>
          <w:lang w:val="en-US" w:eastAsia="zh-CN"/>
        </w:rPr>
        <w:t>任</w:t>
      </w:r>
      <w:r>
        <w:rPr>
          <w:rFonts w:hint="eastAsia" w:ascii="宋体" w:hAnsi="宋体" w:eastAsia="宋体" w:cs="宋体"/>
          <w:color w:val="auto"/>
          <w:sz w:val="24"/>
          <w:szCs w:val="24"/>
          <w:highlight w:val="none"/>
        </w:rPr>
        <w:t>。</w:t>
      </w:r>
    </w:p>
    <w:p w14:paraId="53EF47AB">
      <w:pPr>
        <w:pStyle w:val="71"/>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4AF3C19F">
      <w:pPr>
        <w:pStyle w:val="71"/>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合同继续履行将损害国家利益和社会公共利益的，双方当事人</w:t>
      </w:r>
      <w:r>
        <w:rPr>
          <w:rFonts w:hint="eastAsia" w:ascii="宋体" w:hAnsi="宋体" w:eastAsia="宋体" w:cs="宋体"/>
          <w:color w:val="auto"/>
          <w:sz w:val="24"/>
          <w:szCs w:val="24"/>
          <w:highlight w:val="none"/>
          <w:lang w:val="en-US" w:eastAsia="zh-CN"/>
        </w:rPr>
        <w:t>应当变更、</w:t>
      </w:r>
      <w:r>
        <w:rPr>
          <w:rFonts w:hint="eastAsia" w:ascii="宋体" w:hAnsi="宋体" w:eastAsia="宋体" w:cs="宋体"/>
          <w:color w:val="auto"/>
          <w:sz w:val="24"/>
          <w:szCs w:val="24"/>
          <w:highlight w:val="none"/>
        </w:rPr>
        <w:t>中止</w:t>
      </w:r>
      <w:r>
        <w:rPr>
          <w:rFonts w:hint="eastAsia" w:ascii="宋体" w:hAnsi="宋体" w:eastAsia="宋体" w:cs="宋体"/>
          <w:color w:val="auto"/>
          <w:sz w:val="24"/>
          <w:szCs w:val="24"/>
          <w:highlight w:val="none"/>
          <w:lang w:eastAsia="zh-CN"/>
        </w:rPr>
        <w:t>或者终止</w:t>
      </w:r>
      <w:r>
        <w:rPr>
          <w:rFonts w:hint="eastAsia" w:ascii="宋体" w:hAnsi="宋体" w:eastAsia="宋体" w:cs="宋体"/>
          <w:color w:val="auto"/>
          <w:sz w:val="24"/>
          <w:szCs w:val="24"/>
          <w:highlight w:val="none"/>
        </w:rPr>
        <w:t>合同。有过错的一方应当承担赔偿责任，双方都有过错的，各自承担相应的责任。</w:t>
      </w:r>
    </w:p>
    <w:p w14:paraId="274A606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合同分包</w:t>
      </w:r>
    </w:p>
    <w:p w14:paraId="44ECB5F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2D4E4B6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乙方执行政府采购政策向中小企业依法分包的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乙方应当按采购文件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投标（响应）文件签订分包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协议属于本合同组成部分。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本项目不适用</w:t>
      </w:r>
      <w:r>
        <w:rPr>
          <w:rFonts w:hint="eastAsia" w:ascii="宋体" w:hAnsi="宋体" w:eastAsia="宋体" w:cs="宋体"/>
          <w:color w:val="auto"/>
          <w:sz w:val="24"/>
          <w:szCs w:val="24"/>
          <w:highlight w:val="none"/>
          <w:lang w:eastAsia="zh-CN"/>
        </w:rPr>
        <w:t>）</w:t>
      </w:r>
    </w:p>
    <w:p w14:paraId="073C4357">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不可抗力</w:t>
      </w:r>
    </w:p>
    <w:p w14:paraId="2A3A65B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56266BB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12622B6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43D115A4">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解决争议的方法</w:t>
      </w:r>
    </w:p>
    <w:p w14:paraId="4DF138F5">
      <w:pPr>
        <w:pStyle w:val="71"/>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.1 因本合同及合同有关事项发生的争议，由</w:t>
      </w:r>
      <w:r>
        <w:rPr>
          <w:rFonts w:hint="eastAsia" w:ascii="宋体" w:hAnsi="宋体" w:eastAsia="宋体" w:cs="宋体"/>
          <w:color w:val="auto"/>
          <w:sz w:val="24"/>
          <w:szCs w:val="24"/>
          <w:highlight w:val="none"/>
          <w:lang w:eastAsia="zh-CN"/>
        </w:rPr>
        <w:t>甲乙双</w:t>
      </w:r>
      <w:r>
        <w:rPr>
          <w:rFonts w:hint="eastAsia" w:ascii="宋体" w:hAnsi="宋体" w:eastAsia="宋体" w:cs="宋体"/>
          <w:color w:val="auto"/>
          <w:sz w:val="24"/>
          <w:szCs w:val="24"/>
          <w:highlight w:val="none"/>
        </w:rPr>
        <w:t>方友好协商解决。协商不成时，可以</w:t>
      </w:r>
      <w:r>
        <w:rPr>
          <w:rFonts w:hint="eastAsia" w:ascii="宋体" w:hAnsi="宋体" w:eastAsia="宋体" w:cs="宋体"/>
          <w:color w:val="auto"/>
          <w:sz w:val="24"/>
          <w:szCs w:val="24"/>
          <w:highlight w:val="none"/>
          <w:lang w:eastAsia="zh-CN"/>
        </w:rPr>
        <w:t>向有关组织申请</w:t>
      </w:r>
      <w:r>
        <w:rPr>
          <w:rFonts w:hint="eastAsia" w:ascii="宋体" w:hAnsi="宋体" w:eastAsia="宋体" w:cs="宋体"/>
          <w:color w:val="auto"/>
          <w:sz w:val="24"/>
          <w:szCs w:val="24"/>
          <w:highlight w:val="none"/>
        </w:rPr>
        <w:t>调解。合同一方或</w:t>
      </w:r>
      <w:r>
        <w:rPr>
          <w:rFonts w:hint="eastAsia" w:ascii="宋体" w:hAnsi="宋体" w:eastAsia="宋体" w:cs="宋体"/>
          <w:color w:val="auto"/>
          <w:sz w:val="24"/>
          <w:szCs w:val="24"/>
          <w:highlight w:val="none"/>
          <w:lang w:eastAsia="zh-CN"/>
        </w:rPr>
        <w:t>双</w:t>
      </w:r>
      <w:r>
        <w:rPr>
          <w:rFonts w:hint="eastAsia" w:ascii="宋体" w:hAnsi="宋体" w:eastAsia="宋体" w:cs="宋体"/>
          <w:color w:val="auto"/>
          <w:sz w:val="24"/>
          <w:szCs w:val="24"/>
          <w:highlight w:val="none"/>
        </w:rPr>
        <w:t>方不愿调解或调解不成的，可以通过仲裁或诉讼的方式解决争议。</w:t>
      </w:r>
    </w:p>
    <w:p w14:paraId="4B05D71C">
      <w:pPr>
        <w:pStyle w:val="71"/>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.2 选择仲裁的，应在</w:t>
      </w:r>
      <w:r>
        <w:rPr>
          <w:rFonts w:hint="eastAsia" w:ascii="宋体" w:hAnsi="宋体" w:eastAsia="宋体" w:cs="宋体"/>
          <w:b/>
          <w:bCs/>
          <w:color w:val="auto"/>
          <w:sz w:val="24"/>
          <w:szCs w:val="24"/>
          <w:highlight w:val="none"/>
        </w:rPr>
        <w:t>【合同专用条款】</w:t>
      </w:r>
      <w:r>
        <w:rPr>
          <w:rFonts w:hint="eastAsia" w:ascii="宋体" w:hAnsi="宋体" w:eastAsia="宋体" w:cs="宋体"/>
          <w:color w:val="auto"/>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【合同专用条款】</w:t>
      </w:r>
      <w:r>
        <w:rPr>
          <w:rFonts w:hint="eastAsia" w:ascii="宋体" w:hAnsi="宋体" w:eastAsia="宋体" w:cs="宋体"/>
          <w:color w:val="auto"/>
          <w:sz w:val="24"/>
          <w:szCs w:val="24"/>
          <w:highlight w:val="none"/>
        </w:rPr>
        <w:t>中进一步约定选择与争议有实际联系的地点的人民法院管辖，但管辖法院的约定不得违反级别管辖和专属管辖的规定。</w:t>
      </w:r>
    </w:p>
    <w:p w14:paraId="203DE0BC">
      <w:pPr>
        <w:pStyle w:val="71"/>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.3 如</w:t>
      </w:r>
      <w:r>
        <w:rPr>
          <w:rFonts w:hint="eastAsia" w:ascii="宋体" w:hAnsi="宋体" w:eastAsia="宋体" w:cs="宋体"/>
          <w:color w:val="auto"/>
          <w:sz w:val="24"/>
          <w:szCs w:val="24"/>
          <w:highlight w:val="none"/>
          <w:lang w:eastAsia="zh-CN"/>
        </w:rPr>
        <w:t>甲乙双方</w:t>
      </w:r>
      <w:r>
        <w:rPr>
          <w:rFonts w:hint="eastAsia" w:ascii="宋体" w:hAnsi="宋体" w:eastAsia="宋体" w:cs="宋体"/>
          <w:color w:val="auto"/>
          <w:sz w:val="24"/>
          <w:szCs w:val="24"/>
          <w:highlight w:val="none"/>
        </w:rPr>
        <w:t>有争议的事项不影响合同其他部分的履行，在争议解决期间，合同其他部分应</w:t>
      </w:r>
      <w:r>
        <w:rPr>
          <w:rFonts w:hint="eastAsia" w:ascii="宋体" w:hAnsi="宋体" w:eastAsia="宋体" w:cs="宋体"/>
          <w:color w:val="auto"/>
          <w:sz w:val="24"/>
          <w:szCs w:val="24"/>
          <w:highlight w:val="none"/>
          <w:lang w:eastAsia="zh-CN"/>
        </w:rPr>
        <w:t>当</w:t>
      </w:r>
      <w:r>
        <w:rPr>
          <w:rFonts w:hint="eastAsia" w:ascii="宋体" w:hAnsi="宋体" w:eastAsia="宋体" w:cs="宋体"/>
          <w:color w:val="auto"/>
          <w:sz w:val="24"/>
          <w:szCs w:val="24"/>
          <w:highlight w:val="none"/>
        </w:rPr>
        <w:t>继续履行。</w:t>
      </w:r>
    </w:p>
    <w:p w14:paraId="5F648558">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政府采购政策</w:t>
      </w:r>
    </w:p>
    <w:p w14:paraId="6103CDED">
      <w:pPr>
        <w:pStyle w:val="8"/>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本项目不适用       </w:t>
      </w:r>
    </w:p>
    <w:p w14:paraId="006003B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法律适用</w:t>
      </w:r>
    </w:p>
    <w:p w14:paraId="78134318">
      <w:pPr>
        <w:pStyle w:val="71"/>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.1 本合同的订立、生效、解释、履行及与本合同有关的争议解决，均适用法律、行政法规。</w:t>
      </w:r>
    </w:p>
    <w:p w14:paraId="6E74D393">
      <w:pPr>
        <w:pStyle w:val="71"/>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 本合同条款与法律、行政法规的强制性规定不一致的，双方当事人应按照法律、行政法规的强制性规定修改本合同的相关条款。</w:t>
      </w:r>
    </w:p>
    <w:p w14:paraId="35E0AB96">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22. </w:t>
      </w:r>
      <w:r>
        <w:rPr>
          <w:rFonts w:hint="eastAsia" w:ascii="宋体" w:hAnsi="宋体" w:eastAsia="宋体" w:cs="宋体"/>
          <w:b/>
          <w:color w:val="auto"/>
          <w:sz w:val="24"/>
          <w:szCs w:val="24"/>
          <w:highlight w:val="none"/>
        </w:rPr>
        <w:t>通知</w:t>
      </w:r>
    </w:p>
    <w:p w14:paraId="620F89D5">
      <w:pPr>
        <w:pStyle w:val="71"/>
        <w:pageBreakBefore w:val="0"/>
        <w:kinsoku/>
        <w:wordWrap/>
        <w:overflowPunct/>
        <w:topLinePunct w:val="0"/>
        <w:bidi w:val="0"/>
        <w:spacing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本合同任何一方向对方发出的通知、信件、数据电文等，应当发送至本合同第一部分《合同协议书》所约定的通讯地址、联系人、联系电话或电子邮箱。</w:t>
      </w:r>
    </w:p>
    <w:p w14:paraId="12C37658">
      <w:pPr>
        <w:pStyle w:val="71"/>
        <w:pageBreakBefore w:val="0"/>
        <w:kinsoku/>
        <w:wordWrap/>
        <w:overflowPunct/>
        <w:topLinePunct w:val="0"/>
        <w:bidi w:val="0"/>
        <w:spacing w:line="360" w:lineRule="auto"/>
        <w:ind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一方当事人变更名称、</w:t>
      </w:r>
      <w:r>
        <w:rPr>
          <w:rFonts w:hint="eastAsia" w:ascii="宋体" w:hAnsi="宋体" w:eastAsia="宋体" w:cs="宋体"/>
          <w:color w:val="auto"/>
          <w:sz w:val="24"/>
          <w:szCs w:val="24"/>
          <w:highlight w:val="none"/>
          <w:lang w:eastAsia="zh-CN"/>
        </w:rPr>
        <w:t>住所</w:t>
      </w:r>
      <w:r>
        <w:rPr>
          <w:rFonts w:hint="eastAsia" w:ascii="宋体" w:hAnsi="宋体" w:eastAsia="宋体" w:cs="宋体"/>
          <w:color w:val="auto"/>
          <w:sz w:val="24"/>
          <w:szCs w:val="24"/>
          <w:highlight w:val="none"/>
        </w:rPr>
        <w:t>、联系人、联系电话或电子邮箱</w:t>
      </w:r>
      <w:r>
        <w:rPr>
          <w:rFonts w:hint="eastAsia" w:ascii="宋体" w:hAnsi="宋体" w:eastAsia="宋体" w:cs="宋体"/>
          <w:color w:val="auto"/>
          <w:sz w:val="24"/>
          <w:szCs w:val="24"/>
          <w:highlight w:val="none"/>
          <w:lang w:eastAsia="zh-CN"/>
        </w:rPr>
        <w:t>等信息</w:t>
      </w:r>
      <w:r>
        <w:rPr>
          <w:rFonts w:hint="eastAsia" w:ascii="宋体" w:hAnsi="宋体" w:eastAsia="宋体" w:cs="宋体"/>
          <w:color w:val="auto"/>
          <w:sz w:val="24"/>
          <w:szCs w:val="24"/>
          <w:highlight w:val="none"/>
        </w:rPr>
        <w:t>的，应当在变更后3日内及时书面通知对方，对方实际收到变更通知前的送达仍为有效送达。</w:t>
      </w:r>
    </w:p>
    <w:p w14:paraId="53A79727">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7B8932C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41EE0C96">
      <w:pPr>
        <w:pageBreakBefore w:val="0"/>
        <w:numPr>
          <w:ilvl w:val="0"/>
          <w:numId w:val="7"/>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合同未尽事项</w:t>
      </w:r>
    </w:p>
    <w:p w14:paraId="318FC9B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【合同专用条款】</w:t>
      </w:r>
      <w:r>
        <w:rPr>
          <w:rFonts w:hint="eastAsia" w:ascii="宋体" w:hAnsi="宋体" w:eastAsia="宋体" w:cs="宋体"/>
          <w:bCs/>
          <w:color w:val="auto"/>
          <w:sz w:val="24"/>
          <w:szCs w:val="24"/>
          <w:highlight w:val="none"/>
        </w:rPr>
        <w:t>。</w:t>
      </w:r>
    </w:p>
    <w:p w14:paraId="11DA80F9">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 xml:space="preserve">    23.2 合同附件与合同正文具有同等的法律效力。</w:t>
      </w:r>
    </w:p>
    <w:p w14:paraId="12C3B50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br w:type="page"/>
      </w:r>
    </w:p>
    <w:p w14:paraId="7BD299FE">
      <w:pPr>
        <w:pStyle w:val="3"/>
        <w:pageBreakBefore w:val="0"/>
        <w:kinsoku/>
        <w:wordWrap/>
        <w:overflowPunct/>
        <w:topLinePunct w:val="0"/>
        <w:bidi w:val="0"/>
        <w:adjustRightInd w:val="0"/>
        <w:snapToGrid w:val="0"/>
        <w:spacing w:before="156" w:beforeLines="50" w:line="360" w:lineRule="auto"/>
        <w:jc w:val="center"/>
        <w:textAlignment w:val="auto"/>
        <w:rPr>
          <w:rFonts w:hint="eastAsia" w:cs="@仿宋_GB2312" w:asciiTheme="minorEastAsia" w:hAnsiTheme="minorEastAsia" w:eastAsiaTheme="minorEastAsia"/>
          <w:b/>
          <w:bCs w:val="0"/>
          <w:color w:val="auto"/>
          <w:kern w:val="2"/>
          <w:sz w:val="24"/>
          <w:szCs w:val="20"/>
          <w:highlight w:val="none"/>
          <w:lang w:val="en-US" w:eastAsia="zh-CN" w:bidi="ar-SA"/>
        </w:rPr>
      </w:pPr>
      <w:bookmarkStart w:id="168" w:name="_Toc13820"/>
      <w:bookmarkStart w:id="169" w:name="_Toc18600"/>
      <w:r>
        <w:rPr>
          <w:rFonts w:hint="eastAsia" w:cs="@仿宋_GB2312" w:asciiTheme="minorEastAsia" w:hAnsiTheme="minorEastAsia" w:eastAsiaTheme="minorEastAsia"/>
          <w:b/>
          <w:bCs w:val="0"/>
          <w:color w:val="auto"/>
          <w:kern w:val="2"/>
          <w:sz w:val="24"/>
          <w:szCs w:val="20"/>
          <w:highlight w:val="none"/>
          <w:lang w:val="en-US" w:eastAsia="zh-CN" w:bidi="ar-SA"/>
        </w:rPr>
        <w:t>第三节 合同专用条款</w:t>
      </w:r>
      <w:bookmarkEnd w:id="168"/>
      <w:bookmarkEnd w:id="169"/>
    </w:p>
    <w:tbl>
      <w:tblPr>
        <w:tblStyle w:val="24"/>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4BDC43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043573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567CA17">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）项</w:t>
            </w:r>
          </w:p>
        </w:tc>
        <w:tc>
          <w:tcPr>
            <w:tcW w:w="1742" w:type="dxa"/>
            <w:vAlign w:val="center"/>
          </w:tcPr>
          <w:p w14:paraId="501F352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联合体具体要求</w:t>
            </w:r>
          </w:p>
        </w:tc>
        <w:tc>
          <w:tcPr>
            <w:tcW w:w="5170" w:type="dxa"/>
            <w:vAlign w:val="center"/>
          </w:tcPr>
          <w:p w14:paraId="47CCE27C">
            <w:pPr>
              <w:pageBreakBefore w:val="0"/>
              <w:kinsoku/>
              <w:wordWrap/>
              <w:overflowPunct/>
              <w:topLinePunct w:val="0"/>
              <w:bidi w:val="0"/>
              <w:adjustRightInd w:val="0"/>
              <w:snapToGrid w:val="0"/>
              <w:spacing w:line="360" w:lineRule="auto"/>
              <w:jc w:val="left"/>
              <w:textAlignment w:val="auto"/>
              <w:rPr>
                <w:rFonts w:hint="default" w:ascii="宋体" w:hAnsi="宋体" w:eastAsia="宋体" w:cs="宋体"/>
                <w:color w:val="auto"/>
                <w:sz w:val="24"/>
                <w:szCs w:val="24"/>
                <w:highlight w:val="none"/>
                <w:lang w:val="en-US" w:eastAsia="zh-CN"/>
              </w:rPr>
            </w:pPr>
          </w:p>
        </w:tc>
      </w:tr>
      <w:tr w14:paraId="6533C7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4973D3A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0468B8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第1.2（</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）项</w:t>
            </w:r>
          </w:p>
        </w:tc>
        <w:tc>
          <w:tcPr>
            <w:tcW w:w="1742" w:type="dxa"/>
            <w:vAlign w:val="center"/>
          </w:tcPr>
          <w:p w14:paraId="7078A6F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其他术语解释</w:t>
            </w:r>
          </w:p>
        </w:tc>
        <w:tc>
          <w:tcPr>
            <w:tcW w:w="5170" w:type="dxa"/>
            <w:vAlign w:val="center"/>
          </w:tcPr>
          <w:p w14:paraId="2502C2FD">
            <w:pPr>
              <w:pageBreakBefore w:val="0"/>
              <w:kinsoku/>
              <w:wordWrap/>
              <w:overflowPunct/>
              <w:topLinePunct w:val="0"/>
              <w:bidi w:val="0"/>
              <w:adjustRightInd w:val="0"/>
              <w:snapToGrid w:val="0"/>
              <w:spacing w:line="360" w:lineRule="auto"/>
              <w:jc w:val="left"/>
              <w:textAlignment w:val="auto"/>
              <w:rPr>
                <w:rFonts w:hint="default" w:ascii="宋体" w:hAnsi="宋体" w:eastAsia="宋体" w:cs="宋体"/>
                <w:color w:val="auto"/>
                <w:kern w:val="2"/>
                <w:sz w:val="24"/>
                <w:szCs w:val="24"/>
                <w:highlight w:val="none"/>
                <w:lang w:val="en-US" w:eastAsia="zh-CN" w:bidi="ar-SA"/>
              </w:rPr>
            </w:pPr>
          </w:p>
        </w:tc>
      </w:tr>
      <w:tr w14:paraId="7CCFBB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3A2CE79">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34E76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4.4款</w:t>
            </w:r>
          </w:p>
        </w:tc>
        <w:tc>
          <w:tcPr>
            <w:tcW w:w="1742" w:type="dxa"/>
            <w:vAlign w:val="center"/>
          </w:tcPr>
          <w:p w14:paraId="5960823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履约验收中甲方提出异议或作出说明的期限</w:t>
            </w:r>
          </w:p>
        </w:tc>
        <w:tc>
          <w:tcPr>
            <w:tcW w:w="5170" w:type="dxa"/>
            <w:vAlign w:val="center"/>
          </w:tcPr>
          <w:p w14:paraId="51D55320">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kern w:val="2"/>
                <w:sz w:val="24"/>
                <w:szCs w:val="24"/>
                <w:highlight w:val="none"/>
                <w:lang w:val="en-US" w:eastAsia="zh-CN" w:bidi="ar-SA"/>
              </w:rPr>
            </w:pPr>
          </w:p>
        </w:tc>
      </w:tr>
      <w:tr w14:paraId="43E7AA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65EFF6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5AA170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4.6款</w:t>
            </w:r>
          </w:p>
        </w:tc>
        <w:tc>
          <w:tcPr>
            <w:tcW w:w="1742" w:type="dxa"/>
            <w:vAlign w:val="center"/>
          </w:tcPr>
          <w:p w14:paraId="2F06244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约定甲方承担的其他义务和责任</w:t>
            </w:r>
          </w:p>
        </w:tc>
        <w:tc>
          <w:tcPr>
            <w:tcW w:w="5170" w:type="dxa"/>
            <w:vAlign w:val="center"/>
          </w:tcPr>
          <w:p w14:paraId="13C97CD7">
            <w:pPr>
              <w:pageBreakBefore w:val="0"/>
              <w:kinsoku/>
              <w:wordWrap/>
              <w:overflowPunct/>
              <w:topLinePunct w:val="0"/>
              <w:bidi w:val="0"/>
              <w:adjustRightInd w:val="0"/>
              <w:snapToGrid w:val="0"/>
              <w:spacing w:line="360" w:lineRule="auto"/>
              <w:jc w:val="left"/>
              <w:textAlignment w:val="auto"/>
              <w:rPr>
                <w:rFonts w:hint="default" w:ascii="宋体" w:hAnsi="宋体" w:eastAsia="宋体" w:cs="宋体"/>
                <w:color w:val="auto"/>
                <w:kern w:val="2"/>
                <w:sz w:val="24"/>
                <w:szCs w:val="24"/>
                <w:highlight w:val="none"/>
                <w:lang w:val="en-US" w:eastAsia="zh-CN" w:bidi="ar-SA"/>
              </w:rPr>
            </w:pPr>
          </w:p>
        </w:tc>
      </w:tr>
      <w:tr w14:paraId="47CB2F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F6B21A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第二节</w:t>
            </w:r>
          </w:p>
          <w:p w14:paraId="6F4DCAF7">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5.4款</w:t>
            </w:r>
          </w:p>
        </w:tc>
        <w:tc>
          <w:tcPr>
            <w:tcW w:w="1742" w:type="dxa"/>
            <w:vAlign w:val="center"/>
          </w:tcPr>
          <w:p w14:paraId="4ABAD8BF">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约定乙方承担的其他义务和责任</w:t>
            </w:r>
          </w:p>
        </w:tc>
        <w:tc>
          <w:tcPr>
            <w:tcW w:w="5170" w:type="dxa"/>
            <w:vAlign w:val="center"/>
          </w:tcPr>
          <w:p w14:paraId="7D417BF0">
            <w:pPr>
              <w:pageBreakBefore w:val="0"/>
              <w:kinsoku/>
              <w:wordWrap/>
              <w:overflowPunct/>
              <w:topLinePunct w:val="0"/>
              <w:bidi w:val="0"/>
              <w:adjustRightInd w:val="0"/>
              <w:snapToGrid w:val="0"/>
              <w:spacing w:line="360" w:lineRule="auto"/>
              <w:jc w:val="left"/>
              <w:textAlignment w:val="auto"/>
              <w:rPr>
                <w:rFonts w:hint="default" w:ascii="宋体" w:hAnsi="宋体" w:eastAsia="宋体" w:cs="宋体"/>
                <w:color w:val="auto"/>
                <w:kern w:val="2"/>
                <w:sz w:val="24"/>
                <w:szCs w:val="24"/>
                <w:highlight w:val="none"/>
                <w:lang w:val="en-US" w:eastAsia="zh-CN" w:bidi="ar-SA"/>
              </w:rPr>
            </w:pPr>
          </w:p>
        </w:tc>
      </w:tr>
      <w:tr w14:paraId="673ED0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CC5726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第二节</w:t>
            </w:r>
          </w:p>
          <w:p w14:paraId="3D46C151">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第</w:t>
            </w:r>
            <w:r>
              <w:rPr>
                <w:rFonts w:hint="eastAsia" w:ascii="宋体" w:hAnsi="宋体" w:eastAsia="宋体" w:cs="宋体"/>
                <w:color w:val="auto"/>
                <w:sz w:val="24"/>
                <w:szCs w:val="24"/>
                <w:highlight w:val="none"/>
                <w:lang w:val="en-US" w:eastAsia="zh-CN"/>
              </w:rPr>
              <w:t>6.1款</w:t>
            </w:r>
          </w:p>
        </w:tc>
        <w:tc>
          <w:tcPr>
            <w:tcW w:w="1742" w:type="dxa"/>
            <w:vAlign w:val="center"/>
          </w:tcPr>
          <w:p w14:paraId="0B63F08C">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履行合同义务的顺序</w:t>
            </w:r>
          </w:p>
        </w:tc>
        <w:tc>
          <w:tcPr>
            <w:tcW w:w="5170" w:type="dxa"/>
            <w:vAlign w:val="center"/>
          </w:tcPr>
          <w:p w14:paraId="0A799AF5">
            <w:pPr>
              <w:pageBreakBefore w:val="0"/>
              <w:kinsoku/>
              <w:wordWrap/>
              <w:overflowPunct/>
              <w:topLinePunct w:val="0"/>
              <w:bidi w:val="0"/>
              <w:adjustRightInd w:val="0"/>
              <w:snapToGrid w:val="0"/>
              <w:spacing w:line="360" w:lineRule="auto"/>
              <w:jc w:val="left"/>
              <w:textAlignment w:val="auto"/>
              <w:rPr>
                <w:rFonts w:hint="default" w:ascii="宋体" w:hAnsi="宋体" w:eastAsia="宋体" w:cs="宋体"/>
                <w:color w:val="auto"/>
                <w:kern w:val="2"/>
                <w:sz w:val="24"/>
                <w:szCs w:val="24"/>
                <w:highlight w:val="none"/>
                <w:lang w:val="en-US" w:eastAsia="zh-CN" w:bidi="ar-SA"/>
              </w:rPr>
            </w:pPr>
          </w:p>
        </w:tc>
      </w:tr>
      <w:tr w14:paraId="4AE302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316AEBF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742B59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款</w:t>
            </w:r>
          </w:p>
        </w:tc>
        <w:tc>
          <w:tcPr>
            <w:tcW w:w="1742" w:type="dxa"/>
            <w:vAlign w:val="center"/>
          </w:tcPr>
          <w:p w14:paraId="58B4225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包装</w:t>
            </w:r>
            <w:r>
              <w:rPr>
                <w:rFonts w:hint="eastAsia" w:ascii="宋体" w:hAnsi="宋体" w:eastAsia="宋体" w:cs="宋体"/>
                <w:color w:val="auto"/>
                <w:sz w:val="24"/>
                <w:szCs w:val="24"/>
                <w:highlight w:val="none"/>
                <w:lang w:eastAsia="zh-CN"/>
              </w:rPr>
              <w:t>特殊要求</w:t>
            </w:r>
          </w:p>
        </w:tc>
        <w:tc>
          <w:tcPr>
            <w:tcW w:w="5170" w:type="dxa"/>
            <w:vAlign w:val="center"/>
          </w:tcPr>
          <w:p w14:paraId="492DEC15">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46A468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7AC7E27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p>
        </w:tc>
        <w:tc>
          <w:tcPr>
            <w:tcW w:w="1742" w:type="dxa"/>
            <w:vAlign w:val="center"/>
          </w:tcPr>
          <w:p w14:paraId="6BC7FC5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指定现场</w:t>
            </w:r>
          </w:p>
        </w:tc>
        <w:tc>
          <w:tcPr>
            <w:tcW w:w="5170" w:type="dxa"/>
            <w:vAlign w:val="center"/>
          </w:tcPr>
          <w:p w14:paraId="3554C78A">
            <w:pPr>
              <w:pageBreakBefore w:val="0"/>
              <w:kinsoku/>
              <w:wordWrap/>
              <w:overflowPunct/>
              <w:topLinePunct w:val="0"/>
              <w:bidi w:val="0"/>
              <w:spacing w:line="360" w:lineRule="auto"/>
              <w:textAlignment w:val="auto"/>
              <w:rPr>
                <w:rFonts w:hint="default" w:ascii="宋体" w:hAnsi="宋体" w:eastAsia="宋体" w:cs="宋体"/>
                <w:color w:val="auto"/>
                <w:sz w:val="24"/>
                <w:szCs w:val="24"/>
                <w:highlight w:val="none"/>
                <w:lang w:val="en-US" w:eastAsia="zh-CN"/>
              </w:rPr>
            </w:pPr>
          </w:p>
        </w:tc>
      </w:tr>
      <w:tr w14:paraId="37EEAB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0268409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6FE5D4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款</w:t>
            </w:r>
          </w:p>
        </w:tc>
        <w:tc>
          <w:tcPr>
            <w:tcW w:w="1742" w:type="dxa"/>
            <w:vAlign w:val="center"/>
          </w:tcPr>
          <w:p w14:paraId="6DC32443">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运输特殊要求</w:t>
            </w:r>
          </w:p>
        </w:tc>
        <w:tc>
          <w:tcPr>
            <w:tcW w:w="5170" w:type="dxa"/>
            <w:vAlign w:val="center"/>
          </w:tcPr>
          <w:p w14:paraId="6BCEF070">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r>
      <w:tr w14:paraId="0C0649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073A3AB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797FF5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款</w:t>
            </w:r>
          </w:p>
        </w:tc>
        <w:tc>
          <w:tcPr>
            <w:tcW w:w="1742" w:type="dxa"/>
            <w:vAlign w:val="center"/>
          </w:tcPr>
          <w:p w14:paraId="5E53B768">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保险要求</w:t>
            </w:r>
          </w:p>
        </w:tc>
        <w:tc>
          <w:tcPr>
            <w:tcW w:w="5170" w:type="dxa"/>
            <w:vAlign w:val="center"/>
          </w:tcPr>
          <w:p w14:paraId="63F2AD5D">
            <w:pPr>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p>
        </w:tc>
      </w:tr>
      <w:tr w14:paraId="41BDD2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FB7C6A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53ED0C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.2（1）项</w:t>
            </w:r>
          </w:p>
        </w:tc>
        <w:tc>
          <w:tcPr>
            <w:tcW w:w="1742" w:type="dxa"/>
            <w:vAlign w:val="center"/>
          </w:tcPr>
          <w:p w14:paraId="117DC34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质量保证期</w:t>
            </w:r>
          </w:p>
        </w:tc>
        <w:tc>
          <w:tcPr>
            <w:tcW w:w="5170" w:type="dxa"/>
            <w:vAlign w:val="center"/>
          </w:tcPr>
          <w:p w14:paraId="318460F5">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p>
        </w:tc>
      </w:tr>
      <w:tr w14:paraId="00649C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EEFAC9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8323C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.2（3）项</w:t>
            </w:r>
          </w:p>
        </w:tc>
        <w:tc>
          <w:tcPr>
            <w:tcW w:w="1742" w:type="dxa"/>
            <w:vAlign w:val="center"/>
          </w:tcPr>
          <w:p w14:paraId="1A52D874">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货物质量缺陷</w:t>
            </w:r>
          </w:p>
          <w:p w14:paraId="430713AC">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响应时间</w:t>
            </w:r>
          </w:p>
        </w:tc>
        <w:tc>
          <w:tcPr>
            <w:tcW w:w="5170" w:type="dxa"/>
            <w:vAlign w:val="center"/>
          </w:tcPr>
          <w:p w14:paraId="56762DF1">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p>
        </w:tc>
      </w:tr>
      <w:tr w14:paraId="799A91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4E4B903">
            <w:pPr>
              <w:pageBreakBefore w:val="0"/>
              <w:kinsoku/>
              <w:wordWrap/>
              <w:overflowPunct/>
              <w:topLinePunct w:val="0"/>
              <w:bidi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第二节</w:t>
            </w:r>
          </w:p>
          <w:p w14:paraId="16D52888">
            <w:pPr>
              <w:pStyle w:val="71"/>
              <w:pageBreakBefore w:val="0"/>
              <w:kinsoku/>
              <w:wordWrap/>
              <w:overflowPunct/>
              <w:topLinePunct w:val="0"/>
              <w:bidi w:val="0"/>
              <w:spacing w:line="360" w:lineRule="auto"/>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第11.1款</w:t>
            </w:r>
          </w:p>
        </w:tc>
        <w:tc>
          <w:tcPr>
            <w:tcW w:w="1742" w:type="dxa"/>
            <w:vAlign w:val="center"/>
          </w:tcPr>
          <w:p w14:paraId="1B3B6E37">
            <w:pPr>
              <w:pageBreakBefore w:val="0"/>
              <w:kinsoku/>
              <w:wordWrap/>
              <w:overflowPunct/>
              <w:topLinePunct w:val="0"/>
              <w:bidi w:val="0"/>
              <w:adjustRightInd w:val="0"/>
              <w:snapToGrid w:val="0"/>
              <w:spacing w:line="360" w:lineRule="auto"/>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其他应当保密的信息</w:t>
            </w:r>
          </w:p>
        </w:tc>
        <w:tc>
          <w:tcPr>
            <w:tcW w:w="5170" w:type="dxa"/>
            <w:vAlign w:val="center"/>
          </w:tcPr>
          <w:p w14:paraId="3C7815BF">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p>
        </w:tc>
      </w:tr>
      <w:tr w14:paraId="198858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1E9ACBB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E73180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.2款</w:t>
            </w:r>
          </w:p>
        </w:tc>
        <w:tc>
          <w:tcPr>
            <w:tcW w:w="1742" w:type="dxa"/>
            <w:vAlign w:val="center"/>
          </w:tcPr>
          <w:p w14:paraId="1299D99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合同价款支付</w:t>
            </w:r>
            <w:r>
              <w:rPr>
                <w:rFonts w:hint="eastAsia" w:ascii="宋体" w:hAnsi="宋体" w:eastAsia="宋体" w:cs="宋体"/>
                <w:color w:val="auto"/>
                <w:sz w:val="24"/>
                <w:szCs w:val="24"/>
                <w:highlight w:val="none"/>
                <w:lang w:eastAsia="zh-CN"/>
              </w:rPr>
              <w:t>时间</w:t>
            </w:r>
          </w:p>
        </w:tc>
        <w:tc>
          <w:tcPr>
            <w:tcW w:w="5170" w:type="dxa"/>
            <w:vAlign w:val="center"/>
          </w:tcPr>
          <w:p w14:paraId="32CB2485">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p>
        </w:tc>
      </w:tr>
      <w:tr w14:paraId="5F92F2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99EC39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3D5C51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13.2</w:t>
            </w:r>
            <w:r>
              <w:rPr>
                <w:rFonts w:hint="eastAsia" w:ascii="宋体" w:hAnsi="宋体" w:eastAsia="宋体" w:cs="宋体"/>
                <w:color w:val="auto"/>
                <w:sz w:val="24"/>
                <w:szCs w:val="24"/>
                <w:highlight w:val="none"/>
              </w:rPr>
              <w:t>款</w:t>
            </w:r>
          </w:p>
        </w:tc>
        <w:tc>
          <w:tcPr>
            <w:tcW w:w="1742" w:type="dxa"/>
            <w:vAlign w:val="center"/>
          </w:tcPr>
          <w:p w14:paraId="0EB095C2">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履约保证金不予退还的情形</w:t>
            </w:r>
          </w:p>
        </w:tc>
        <w:tc>
          <w:tcPr>
            <w:tcW w:w="5170" w:type="dxa"/>
            <w:vAlign w:val="center"/>
          </w:tcPr>
          <w:p w14:paraId="34F47C9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p>
        </w:tc>
      </w:tr>
      <w:tr w14:paraId="17B52A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81EA9E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AEE8EC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13.3</w:t>
            </w:r>
            <w:r>
              <w:rPr>
                <w:rFonts w:hint="eastAsia" w:ascii="宋体" w:hAnsi="宋体" w:eastAsia="宋体" w:cs="宋体"/>
                <w:color w:val="auto"/>
                <w:sz w:val="24"/>
                <w:szCs w:val="24"/>
                <w:highlight w:val="none"/>
              </w:rPr>
              <w:t>款</w:t>
            </w:r>
          </w:p>
        </w:tc>
        <w:tc>
          <w:tcPr>
            <w:tcW w:w="1742" w:type="dxa"/>
            <w:vAlign w:val="center"/>
          </w:tcPr>
          <w:p w14:paraId="2FAD647D">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履约保证金退还时间及</w:t>
            </w:r>
            <w:r>
              <w:rPr>
                <w:rFonts w:hint="eastAsia" w:ascii="宋体" w:hAnsi="宋体" w:eastAsia="宋体" w:cs="宋体"/>
                <w:color w:val="auto"/>
                <w:sz w:val="24"/>
                <w:szCs w:val="24"/>
                <w:highlight w:val="none"/>
                <w:lang w:eastAsia="zh-CN"/>
              </w:rPr>
              <w:t>逾期退还的</w:t>
            </w:r>
            <w:r>
              <w:rPr>
                <w:rFonts w:hint="eastAsia" w:ascii="宋体" w:hAnsi="宋体" w:eastAsia="宋体" w:cs="宋体"/>
                <w:color w:val="auto"/>
                <w:sz w:val="24"/>
                <w:szCs w:val="24"/>
                <w:highlight w:val="none"/>
              </w:rPr>
              <w:t>违约金</w:t>
            </w:r>
          </w:p>
        </w:tc>
        <w:tc>
          <w:tcPr>
            <w:tcW w:w="5170" w:type="dxa"/>
            <w:vAlign w:val="center"/>
          </w:tcPr>
          <w:p w14:paraId="0898153C">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644E07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3DDDF1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6A073278">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）项</w:t>
            </w:r>
          </w:p>
        </w:tc>
        <w:tc>
          <w:tcPr>
            <w:tcW w:w="1742" w:type="dxa"/>
            <w:vAlign w:val="center"/>
          </w:tcPr>
          <w:p w14:paraId="03CB3724">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运行监督、维修期限</w:t>
            </w:r>
          </w:p>
        </w:tc>
        <w:tc>
          <w:tcPr>
            <w:tcW w:w="5170" w:type="dxa"/>
            <w:vAlign w:val="center"/>
          </w:tcPr>
          <w:p w14:paraId="246DF16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471FBB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4FD7092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6649C0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）项</w:t>
            </w:r>
          </w:p>
        </w:tc>
        <w:tc>
          <w:tcPr>
            <w:tcW w:w="1742" w:type="dxa"/>
            <w:vAlign w:val="center"/>
          </w:tcPr>
          <w:p w14:paraId="2969BE66">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货物回收的约定</w:t>
            </w:r>
          </w:p>
        </w:tc>
        <w:tc>
          <w:tcPr>
            <w:tcW w:w="5170" w:type="dxa"/>
            <w:vAlign w:val="center"/>
          </w:tcPr>
          <w:p w14:paraId="3315CCC4">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p>
        </w:tc>
      </w:tr>
      <w:tr w14:paraId="57BADE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20BEC7F">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5253A58E">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）项</w:t>
            </w:r>
          </w:p>
        </w:tc>
        <w:tc>
          <w:tcPr>
            <w:tcW w:w="1742" w:type="dxa"/>
            <w:vAlign w:val="center"/>
          </w:tcPr>
          <w:p w14:paraId="2CE3B90F">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乙方提供的其他服务</w:t>
            </w:r>
          </w:p>
        </w:tc>
        <w:tc>
          <w:tcPr>
            <w:tcW w:w="5170" w:type="dxa"/>
            <w:vAlign w:val="center"/>
          </w:tcPr>
          <w:p w14:paraId="7656695F">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lang w:val="en-US" w:eastAsia="zh-CN"/>
              </w:rPr>
            </w:pPr>
          </w:p>
        </w:tc>
      </w:tr>
      <w:tr w14:paraId="7D209E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9F13792">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4BB35351">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1款</w:t>
            </w:r>
          </w:p>
        </w:tc>
        <w:tc>
          <w:tcPr>
            <w:tcW w:w="1742" w:type="dxa"/>
            <w:vAlign w:val="center"/>
          </w:tcPr>
          <w:p w14:paraId="79F8B70C">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修理、重作、更换相关具体规定</w:t>
            </w:r>
          </w:p>
        </w:tc>
        <w:tc>
          <w:tcPr>
            <w:tcW w:w="5170" w:type="dxa"/>
            <w:vAlign w:val="center"/>
          </w:tcPr>
          <w:p w14:paraId="3E6A45F4">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p>
        </w:tc>
      </w:tr>
      <w:tr w14:paraId="04D4D9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2E85D1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16E61740">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.2（2）项</w:t>
            </w:r>
          </w:p>
        </w:tc>
        <w:tc>
          <w:tcPr>
            <w:tcW w:w="1742" w:type="dxa"/>
            <w:vAlign w:val="center"/>
          </w:tcPr>
          <w:p w14:paraId="5014684A">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迟延交货赔偿费</w:t>
            </w:r>
          </w:p>
        </w:tc>
        <w:tc>
          <w:tcPr>
            <w:tcW w:w="5170" w:type="dxa"/>
            <w:vAlign w:val="center"/>
          </w:tcPr>
          <w:p w14:paraId="50269D17">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如果中标供应商没有按照合同规定的时间提供</w:t>
            </w:r>
            <w:r>
              <w:rPr>
                <w:rFonts w:hint="eastAsia" w:ascii="宋体" w:hAnsi="宋体" w:eastAsia="宋体" w:cs="宋体"/>
                <w:color w:val="auto"/>
                <w:sz w:val="24"/>
                <w:szCs w:val="24"/>
                <w:highlight w:val="none"/>
                <w:lang w:val="en-US" w:eastAsia="zh-CN"/>
              </w:rPr>
              <w:t>货物或</w:t>
            </w:r>
            <w:r>
              <w:rPr>
                <w:rFonts w:hint="eastAsia" w:ascii="宋体" w:hAnsi="宋体" w:eastAsia="宋体" w:cs="宋体"/>
                <w:color w:val="auto"/>
                <w:sz w:val="24"/>
                <w:szCs w:val="24"/>
                <w:highlight w:val="none"/>
              </w:rPr>
              <w:t>服务，中标供应商应向采购人支付违约金。违约金按每周未提供货物和服务总费用的0.5%计收，如未提供货物和服务时间超过4周，则按合同总价的20%计收违约金。一周按7天计算，不足7天按一周计算。如未提供货物和服务时间超过4周，采购人可以终止合同。</w:t>
            </w:r>
          </w:p>
        </w:tc>
      </w:tr>
      <w:tr w14:paraId="67EEC7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8E72CEA">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7741392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3款</w:t>
            </w:r>
          </w:p>
        </w:tc>
        <w:tc>
          <w:tcPr>
            <w:tcW w:w="1742" w:type="dxa"/>
            <w:vAlign w:val="center"/>
          </w:tcPr>
          <w:p w14:paraId="41CF1B15">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逾期付款利息</w:t>
            </w:r>
          </w:p>
        </w:tc>
        <w:tc>
          <w:tcPr>
            <w:tcW w:w="5170" w:type="dxa"/>
            <w:vAlign w:val="center"/>
          </w:tcPr>
          <w:p w14:paraId="35BB6C91">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u w:val="single"/>
              </w:rPr>
            </w:pPr>
          </w:p>
        </w:tc>
      </w:tr>
      <w:tr w14:paraId="72E7AF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635550A5">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3BB3A1C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lang w:val="en-US" w:eastAsia="zh-CN"/>
              </w:rPr>
              <w:t>款</w:t>
            </w:r>
          </w:p>
        </w:tc>
        <w:tc>
          <w:tcPr>
            <w:tcW w:w="1742" w:type="dxa"/>
            <w:tcBorders>
              <w:left w:val="single" w:color="auto" w:sz="2" w:space="0"/>
              <w:bottom w:val="single" w:color="auto" w:sz="2" w:space="0"/>
              <w:right w:val="single" w:color="auto" w:sz="2" w:space="0"/>
            </w:tcBorders>
            <w:vAlign w:val="center"/>
          </w:tcPr>
          <w:p w14:paraId="7F3FD1AB">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其他违约责任</w:t>
            </w:r>
          </w:p>
        </w:tc>
        <w:tc>
          <w:tcPr>
            <w:tcW w:w="5170" w:type="dxa"/>
            <w:tcBorders>
              <w:left w:val="single" w:color="auto" w:sz="2" w:space="0"/>
              <w:bottom w:val="single" w:color="auto" w:sz="2" w:space="0"/>
            </w:tcBorders>
            <w:vAlign w:val="center"/>
          </w:tcPr>
          <w:p w14:paraId="27454A74">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因采购人原因导致延期返还履约保证金、延期支付合同款项，变更、中止或终止合同的，因政策变化等原因不能签订合同，造成企业合法利益受损的情形，采购人应与供应商充分协商，按照货物或提供服务合同价</w:t>
            </w:r>
            <w:r>
              <w:rPr>
                <w:rFonts w:hint="eastAsia" w:ascii="宋体" w:hAnsi="宋体" w:eastAsia="宋体" w:cs="宋体"/>
                <w:color w:val="auto"/>
                <w:sz w:val="24"/>
                <w:szCs w:val="24"/>
                <w:highlight w:val="none"/>
                <w:u w:val="single"/>
                <w:lang w:val="en-US" w:eastAsia="zh-CN"/>
              </w:rPr>
              <w:t xml:space="preserve"> 0.1 </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给予合理赔偿或者补偿</w:t>
            </w:r>
            <w:r>
              <w:rPr>
                <w:rFonts w:hint="eastAsia" w:ascii="宋体" w:hAnsi="宋体" w:eastAsia="宋体" w:cs="宋体"/>
                <w:color w:val="auto"/>
                <w:sz w:val="24"/>
                <w:szCs w:val="24"/>
                <w:highlight w:val="none"/>
                <w:lang w:eastAsia="zh-CN"/>
              </w:rPr>
              <w:t>。</w:t>
            </w:r>
          </w:p>
        </w:tc>
      </w:tr>
      <w:tr w14:paraId="51C842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2939A383">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2806479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款</w:t>
            </w:r>
          </w:p>
        </w:tc>
        <w:tc>
          <w:tcPr>
            <w:tcW w:w="1742" w:type="dxa"/>
            <w:tcBorders>
              <w:top w:val="single" w:color="auto" w:sz="2" w:space="0"/>
              <w:left w:val="single" w:color="auto" w:sz="2" w:space="0"/>
              <w:right w:val="single" w:color="auto" w:sz="2" w:space="0"/>
            </w:tcBorders>
            <w:vAlign w:val="center"/>
          </w:tcPr>
          <w:p w14:paraId="606C427E">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解决争议的方法</w:t>
            </w:r>
          </w:p>
        </w:tc>
        <w:tc>
          <w:tcPr>
            <w:tcW w:w="5170" w:type="dxa"/>
            <w:tcBorders>
              <w:top w:val="single" w:color="auto" w:sz="2" w:space="0"/>
              <w:left w:val="single" w:color="auto" w:sz="2" w:space="0"/>
            </w:tcBorders>
            <w:vAlign w:val="center"/>
          </w:tcPr>
          <w:p w14:paraId="0C294FD6">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color w:val="auto"/>
                <w:sz w:val="24"/>
                <w:szCs w:val="24"/>
                <w:highlight w:val="none"/>
              </w:rPr>
            </w:pPr>
            <w:r>
              <w:rPr>
                <w:rFonts w:hint="eastAsia" w:ascii="宋体" w:hAnsi="宋体" w:eastAsia="宋体" w:cs="宋体"/>
                <w:b w:val="0"/>
                <w:bCs w:val="0"/>
                <w:iCs/>
                <w:color w:val="auto"/>
                <w:sz w:val="24"/>
                <w:szCs w:val="24"/>
                <w:highlight w:val="none"/>
              </w:rPr>
              <w:t>因本合同及合同有关事项发生的争议，</w:t>
            </w:r>
            <w:r>
              <w:rPr>
                <w:rFonts w:hint="eastAsia" w:ascii="宋体" w:hAnsi="宋体" w:eastAsia="宋体" w:cs="宋体"/>
                <w:b w:val="0"/>
                <w:bCs w:val="0"/>
                <w:iCs/>
                <w:color w:val="auto"/>
                <w:sz w:val="24"/>
                <w:szCs w:val="24"/>
                <w:highlight w:val="none"/>
                <w:lang w:val="en-US" w:eastAsia="zh-CN"/>
              </w:rPr>
              <w:t xml:space="preserve">  </w:t>
            </w:r>
            <w:r>
              <w:rPr>
                <w:rFonts w:hint="eastAsia" w:ascii="宋体" w:hAnsi="宋体" w:eastAsia="宋体" w:cs="宋体"/>
                <w:b w:val="0"/>
                <w:bCs w:val="0"/>
                <w:iCs/>
                <w:color w:val="auto"/>
                <w:sz w:val="24"/>
                <w:szCs w:val="24"/>
                <w:highlight w:val="none"/>
              </w:rPr>
              <w:t>按下列第</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u w:val="single"/>
                <w:lang w:val="en-US" w:eastAsia="zh-CN"/>
              </w:rPr>
              <w:t xml:space="preserve"> （2）</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种方式解决：</w:t>
            </w:r>
          </w:p>
          <w:p w14:paraId="5E8EF074">
            <w:pPr>
              <w:pageBreakBefore w:val="0"/>
              <w:kinsoku/>
              <w:wordWrap/>
              <w:overflowPunct/>
              <w:topLinePunct w:val="0"/>
              <w:autoSpaceDE w:val="0"/>
              <w:autoSpaceDN w:val="0"/>
              <w:bidi w:val="0"/>
              <w:adjustRightInd w:val="0"/>
              <w:snapToGrid w:val="0"/>
              <w:spacing w:line="360" w:lineRule="auto"/>
              <w:jc w:val="left"/>
              <w:textAlignment w:val="auto"/>
              <w:rPr>
                <w:rFonts w:hint="eastAsia" w:ascii="宋体" w:hAnsi="宋体" w:eastAsia="宋体" w:cs="宋体"/>
                <w:b w:val="0"/>
                <w:bCs w:val="0"/>
                <w:iCs/>
                <w:color w:val="auto"/>
                <w:sz w:val="24"/>
                <w:szCs w:val="24"/>
                <w:highlight w:val="none"/>
              </w:rPr>
            </w:pPr>
            <w:r>
              <w:rPr>
                <w:rFonts w:hint="eastAsia" w:ascii="宋体" w:hAnsi="宋体" w:eastAsia="宋体" w:cs="宋体"/>
                <w:b w:val="0"/>
                <w:bCs w:val="0"/>
                <w:iCs/>
                <w:color w:val="auto"/>
                <w:sz w:val="24"/>
                <w:szCs w:val="24"/>
                <w:highlight w:val="none"/>
              </w:rPr>
              <w:t>（1）向</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u w:val="single"/>
                <w:lang w:val="en-US" w:eastAsia="zh-CN"/>
              </w:rPr>
              <w:t>/</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仲裁委员会申请仲裁，仲裁地点为</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u w:val="single"/>
                <w:lang w:val="en-US" w:eastAsia="zh-CN"/>
              </w:rPr>
              <w:t>/</w:t>
            </w:r>
            <w:r>
              <w:rPr>
                <w:rFonts w:hint="eastAsia" w:ascii="宋体" w:hAnsi="宋体" w:eastAsia="宋体" w:cs="宋体"/>
                <w:b w:val="0"/>
                <w:bCs w:val="0"/>
                <w:iCs/>
                <w:color w:val="auto"/>
                <w:sz w:val="24"/>
                <w:szCs w:val="24"/>
                <w:highlight w:val="none"/>
                <w:u w:val="single"/>
              </w:rPr>
              <w:t xml:space="preserve">        </w:t>
            </w:r>
            <w:r>
              <w:rPr>
                <w:rFonts w:hint="eastAsia" w:ascii="宋体" w:hAnsi="宋体" w:eastAsia="宋体" w:cs="宋体"/>
                <w:b w:val="0"/>
                <w:bCs w:val="0"/>
                <w:iCs/>
                <w:color w:val="auto"/>
                <w:sz w:val="24"/>
                <w:szCs w:val="24"/>
                <w:highlight w:val="none"/>
              </w:rPr>
              <w:t>；</w:t>
            </w:r>
          </w:p>
          <w:p w14:paraId="057ED07E">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u w:val="single"/>
              </w:rPr>
            </w:pPr>
            <w:r>
              <w:rPr>
                <w:rFonts w:hint="eastAsia" w:ascii="宋体" w:hAnsi="宋体" w:eastAsia="宋体" w:cs="宋体"/>
                <w:b w:val="0"/>
                <w:bCs w:val="0"/>
                <w:iCs/>
                <w:color w:val="auto"/>
                <w:sz w:val="24"/>
                <w:szCs w:val="24"/>
                <w:highlight w:val="none"/>
              </w:rPr>
              <w:t>（2）向</w:t>
            </w:r>
            <w:r>
              <w:rPr>
                <w:rFonts w:hint="eastAsia" w:ascii="宋体" w:hAnsi="宋体" w:eastAsia="宋体" w:cs="宋体"/>
                <w:b w:val="0"/>
                <w:bCs w:val="0"/>
                <w:iCs/>
                <w:color w:val="auto"/>
                <w:sz w:val="24"/>
                <w:szCs w:val="24"/>
                <w:highlight w:val="none"/>
                <w:u w:val="single"/>
              </w:rPr>
              <w:t xml:space="preserve">    项目所在地有管辖权的     </w:t>
            </w:r>
            <w:r>
              <w:rPr>
                <w:rFonts w:hint="eastAsia" w:ascii="宋体" w:hAnsi="宋体" w:eastAsia="宋体" w:cs="宋体"/>
                <w:b w:val="0"/>
                <w:bCs w:val="0"/>
                <w:iCs/>
                <w:color w:val="auto"/>
                <w:sz w:val="24"/>
                <w:szCs w:val="24"/>
                <w:highlight w:val="none"/>
              </w:rPr>
              <w:t>人民法院起诉。</w:t>
            </w:r>
          </w:p>
        </w:tc>
      </w:tr>
      <w:tr w14:paraId="554C17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715A8856">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第二节</w:t>
            </w:r>
          </w:p>
          <w:p w14:paraId="077D966D">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第2</w:t>
            </w: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lang w:eastAsia="zh-CN"/>
              </w:rPr>
              <w:t>款</w:t>
            </w:r>
          </w:p>
        </w:tc>
        <w:tc>
          <w:tcPr>
            <w:tcW w:w="1742" w:type="dxa"/>
            <w:vAlign w:val="center"/>
          </w:tcPr>
          <w:p w14:paraId="30CF5F79">
            <w:pPr>
              <w:pageBreakBefore w:val="0"/>
              <w:kinsoku/>
              <w:wordWrap/>
              <w:overflowPunct/>
              <w:topLinePunct w:val="0"/>
              <w:bidi w:val="0"/>
              <w:adjustRightInd w:val="0"/>
              <w:snapToGrid w:val="0"/>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eastAsia="zh-CN"/>
              </w:rPr>
              <w:t>其他专用条款</w:t>
            </w:r>
          </w:p>
        </w:tc>
        <w:tc>
          <w:tcPr>
            <w:tcW w:w="5170" w:type="dxa"/>
            <w:vAlign w:val="center"/>
          </w:tcPr>
          <w:p w14:paraId="0C9A930E">
            <w:pPr>
              <w:pageBreakBefore w:val="0"/>
              <w:kinsoku/>
              <w:wordWrap/>
              <w:overflowPunct/>
              <w:topLinePunct w:val="0"/>
              <w:bidi w:val="0"/>
              <w:adjustRightInd w:val="0"/>
              <w:snapToGrid w:val="0"/>
              <w:spacing w:line="360" w:lineRule="auto"/>
              <w:jc w:val="left"/>
              <w:textAlignment w:val="auto"/>
              <w:rPr>
                <w:rFonts w:hint="default" w:ascii="宋体" w:hAnsi="宋体" w:eastAsia="宋体" w:cs="宋体"/>
                <w:color w:val="auto"/>
                <w:sz w:val="24"/>
                <w:szCs w:val="24"/>
                <w:highlight w:val="none"/>
                <w:lang w:val="en-US" w:eastAsia="zh-CN"/>
              </w:rPr>
            </w:pPr>
          </w:p>
        </w:tc>
      </w:tr>
      <w:bookmarkEnd w:id="163"/>
    </w:tbl>
    <w:p w14:paraId="29092542">
      <w:pPr>
        <w:rPr>
          <w:rFonts w:hint="eastAsia" w:ascii="宋体" w:hAnsi="宋体" w:eastAsia="宋体" w:cs="宋体"/>
          <w:color w:val="auto"/>
          <w:sz w:val="24"/>
          <w:szCs w:val="24"/>
          <w:highlight w:val="none"/>
        </w:rPr>
      </w:pPr>
    </w:p>
    <w:p w14:paraId="0E6D9201">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682D4B74">
      <w:pPr>
        <w:spacing w:line="360" w:lineRule="auto"/>
        <w:jc w:val="center"/>
        <w:outlineLvl w:val="0"/>
        <w:rPr>
          <w:rFonts w:asciiTheme="minorEastAsia" w:hAnsiTheme="minorEastAsia" w:eastAsiaTheme="minorEastAsia"/>
          <w:b/>
          <w:color w:val="auto"/>
          <w:sz w:val="28"/>
          <w:highlight w:val="none"/>
        </w:rPr>
      </w:pPr>
      <w:bookmarkStart w:id="170" w:name="_Toc18926"/>
      <w:bookmarkStart w:id="171" w:name="_Toc15789"/>
      <w:bookmarkStart w:id="172" w:name="_Toc9564"/>
      <w:bookmarkStart w:id="173" w:name="_Toc30838"/>
      <w:r>
        <w:rPr>
          <w:rFonts w:hint="eastAsia" w:asciiTheme="minorEastAsia" w:hAnsiTheme="minorEastAsia" w:eastAsiaTheme="minorEastAsia"/>
          <w:b/>
          <w:color w:val="auto"/>
          <w:sz w:val="28"/>
          <w:highlight w:val="none"/>
        </w:rPr>
        <w:t>第六章  投标文件格式</w:t>
      </w:r>
      <w:bookmarkEnd w:id="170"/>
      <w:bookmarkEnd w:id="171"/>
      <w:bookmarkEnd w:id="172"/>
      <w:bookmarkEnd w:id="173"/>
    </w:p>
    <w:p w14:paraId="597E24F1">
      <w:pPr>
        <w:spacing w:line="900" w:lineRule="exact"/>
        <w:jc w:val="center"/>
        <w:rPr>
          <w:rFonts w:asciiTheme="minorEastAsia" w:hAnsiTheme="minorEastAsia" w:eastAsiaTheme="minorEastAsia"/>
          <w:b/>
          <w:color w:val="auto"/>
          <w:sz w:val="72"/>
          <w:highlight w:val="none"/>
        </w:rPr>
      </w:pPr>
    </w:p>
    <w:p w14:paraId="5F1B657B">
      <w:pPr>
        <w:keepNext w:val="0"/>
        <w:keepLines w:val="0"/>
        <w:pageBreakBefore w:val="0"/>
        <w:widowControl w:val="0"/>
        <w:kinsoku/>
        <w:wordWrap/>
        <w:overflowPunct/>
        <w:topLinePunct w:val="0"/>
        <w:bidi w:val="0"/>
        <w:spacing w:line="900" w:lineRule="exact"/>
        <w:jc w:val="center"/>
        <w:textAlignment w:val="auto"/>
        <w:outlineLvl w:val="9"/>
        <w:rPr>
          <w:rFonts w:asciiTheme="minorEastAsia" w:hAnsiTheme="minorEastAsia" w:eastAsiaTheme="minorEastAsia"/>
          <w:b/>
          <w:color w:val="auto"/>
          <w:sz w:val="72"/>
          <w:highlight w:val="none"/>
        </w:rPr>
      </w:pPr>
      <w:bookmarkStart w:id="174" w:name="_Toc651"/>
      <w:bookmarkStart w:id="175" w:name="_Toc26837"/>
      <w:r>
        <w:rPr>
          <w:rFonts w:hint="eastAsia" w:asciiTheme="minorEastAsia" w:hAnsiTheme="minorEastAsia" w:eastAsiaTheme="minorEastAsia"/>
          <w:b/>
          <w:color w:val="auto"/>
          <w:sz w:val="72"/>
          <w:highlight w:val="none"/>
        </w:rPr>
        <w:t>投</w:t>
      </w:r>
      <w:bookmarkEnd w:id="174"/>
      <w:bookmarkEnd w:id="175"/>
    </w:p>
    <w:p w14:paraId="151E7C31">
      <w:pPr>
        <w:keepNext w:val="0"/>
        <w:keepLines w:val="0"/>
        <w:pageBreakBefore w:val="0"/>
        <w:widowControl w:val="0"/>
        <w:kinsoku/>
        <w:wordWrap/>
        <w:overflowPunct/>
        <w:topLinePunct w:val="0"/>
        <w:bidi w:val="0"/>
        <w:spacing w:line="900" w:lineRule="exact"/>
        <w:jc w:val="center"/>
        <w:textAlignment w:val="auto"/>
        <w:outlineLvl w:val="9"/>
        <w:rPr>
          <w:rFonts w:asciiTheme="minorEastAsia" w:hAnsiTheme="minorEastAsia" w:eastAsiaTheme="minorEastAsia"/>
          <w:b/>
          <w:color w:val="auto"/>
          <w:sz w:val="72"/>
          <w:highlight w:val="none"/>
        </w:rPr>
      </w:pPr>
    </w:p>
    <w:p w14:paraId="2562A624">
      <w:pPr>
        <w:keepNext w:val="0"/>
        <w:keepLines w:val="0"/>
        <w:pageBreakBefore w:val="0"/>
        <w:widowControl w:val="0"/>
        <w:kinsoku/>
        <w:wordWrap/>
        <w:overflowPunct/>
        <w:topLinePunct w:val="0"/>
        <w:bidi w:val="0"/>
        <w:spacing w:line="900" w:lineRule="exact"/>
        <w:jc w:val="center"/>
        <w:textAlignment w:val="auto"/>
        <w:outlineLvl w:val="9"/>
        <w:rPr>
          <w:rFonts w:asciiTheme="minorEastAsia" w:hAnsiTheme="minorEastAsia" w:eastAsiaTheme="minorEastAsia"/>
          <w:b/>
          <w:color w:val="auto"/>
          <w:sz w:val="72"/>
          <w:highlight w:val="none"/>
        </w:rPr>
      </w:pPr>
      <w:bookmarkStart w:id="176" w:name="_Toc401"/>
      <w:bookmarkStart w:id="177" w:name="_Toc6148"/>
      <w:r>
        <w:rPr>
          <w:rFonts w:hint="eastAsia" w:asciiTheme="minorEastAsia" w:hAnsiTheme="minorEastAsia" w:eastAsiaTheme="minorEastAsia"/>
          <w:b/>
          <w:color w:val="auto"/>
          <w:sz w:val="72"/>
          <w:highlight w:val="none"/>
        </w:rPr>
        <w:t>标</w:t>
      </w:r>
      <w:bookmarkEnd w:id="176"/>
      <w:bookmarkEnd w:id="177"/>
    </w:p>
    <w:p w14:paraId="194745C5">
      <w:pPr>
        <w:keepNext w:val="0"/>
        <w:keepLines w:val="0"/>
        <w:pageBreakBefore w:val="0"/>
        <w:widowControl w:val="0"/>
        <w:kinsoku/>
        <w:wordWrap/>
        <w:overflowPunct/>
        <w:topLinePunct w:val="0"/>
        <w:bidi w:val="0"/>
        <w:spacing w:line="900" w:lineRule="exact"/>
        <w:jc w:val="center"/>
        <w:textAlignment w:val="auto"/>
        <w:outlineLvl w:val="9"/>
        <w:rPr>
          <w:rFonts w:asciiTheme="minorEastAsia" w:hAnsiTheme="minorEastAsia" w:eastAsiaTheme="minorEastAsia"/>
          <w:b/>
          <w:color w:val="auto"/>
          <w:sz w:val="72"/>
          <w:highlight w:val="none"/>
        </w:rPr>
      </w:pPr>
    </w:p>
    <w:p w14:paraId="41E80372">
      <w:pPr>
        <w:keepNext w:val="0"/>
        <w:keepLines w:val="0"/>
        <w:pageBreakBefore w:val="0"/>
        <w:widowControl w:val="0"/>
        <w:kinsoku/>
        <w:wordWrap/>
        <w:overflowPunct/>
        <w:topLinePunct w:val="0"/>
        <w:bidi w:val="0"/>
        <w:spacing w:line="900" w:lineRule="exact"/>
        <w:jc w:val="center"/>
        <w:textAlignment w:val="auto"/>
        <w:outlineLvl w:val="9"/>
        <w:rPr>
          <w:rFonts w:asciiTheme="minorEastAsia" w:hAnsiTheme="minorEastAsia" w:eastAsiaTheme="minorEastAsia"/>
          <w:b/>
          <w:color w:val="auto"/>
          <w:sz w:val="72"/>
          <w:highlight w:val="none"/>
        </w:rPr>
      </w:pPr>
      <w:bookmarkStart w:id="178" w:name="_Toc17043"/>
      <w:bookmarkStart w:id="179" w:name="_Toc1338"/>
      <w:r>
        <w:rPr>
          <w:rFonts w:hint="eastAsia" w:asciiTheme="minorEastAsia" w:hAnsiTheme="minorEastAsia" w:eastAsiaTheme="minorEastAsia"/>
          <w:b/>
          <w:color w:val="auto"/>
          <w:sz w:val="72"/>
          <w:highlight w:val="none"/>
        </w:rPr>
        <w:t>文</w:t>
      </w:r>
      <w:bookmarkEnd w:id="178"/>
      <w:bookmarkEnd w:id="179"/>
    </w:p>
    <w:p w14:paraId="25463D15">
      <w:pPr>
        <w:keepNext w:val="0"/>
        <w:keepLines w:val="0"/>
        <w:pageBreakBefore w:val="0"/>
        <w:widowControl w:val="0"/>
        <w:kinsoku/>
        <w:wordWrap/>
        <w:overflowPunct/>
        <w:topLinePunct w:val="0"/>
        <w:bidi w:val="0"/>
        <w:spacing w:line="900" w:lineRule="exact"/>
        <w:jc w:val="center"/>
        <w:textAlignment w:val="auto"/>
        <w:outlineLvl w:val="9"/>
        <w:rPr>
          <w:rFonts w:asciiTheme="minorEastAsia" w:hAnsiTheme="minorEastAsia" w:eastAsiaTheme="minorEastAsia"/>
          <w:b/>
          <w:color w:val="auto"/>
          <w:sz w:val="72"/>
          <w:highlight w:val="none"/>
        </w:rPr>
      </w:pPr>
    </w:p>
    <w:p w14:paraId="10FE9B54">
      <w:pPr>
        <w:keepNext w:val="0"/>
        <w:keepLines w:val="0"/>
        <w:pageBreakBefore w:val="0"/>
        <w:widowControl w:val="0"/>
        <w:kinsoku/>
        <w:wordWrap/>
        <w:overflowPunct/>
        <w:topLinePunct w:val="0"/>
        <w:bidi w:val="0"/>
        <w:jc w:val="center"/>
        <w:textAlignment w:val="auto"/>
        <w:outlineLvl w:val="9"/>
        <w:rPr>
          <w:rFonts w:asciiTheme="minorEastAsia" w:hAnsiTheme="minorEastAsia" w:eastAsiaTheme="minorEastAsia"/>
          <w:b/>
          <w:color w:val="auto"/>
          <w:sz w:val="72"/>
          <w:highlight w:val="none"/>
        </w:rPr>
      </w:pPr>
      <w:bookmarkStart w:id="180" w:name="_Toc5730"/>
      <w:bookmarkStart w:id="181" w:name="_Toc10796"/>
      <w:r>
        <w:rPr>
          <w:rFonts w:hint="eastAsia" w:asciiTheme="minorEastAsia" w:hAnsiTheme="minorEastAsia" w:eastAsiaTheme="minorEastAsia"/>
          <w:b/>
          <w:color w:val="auto"/>
          <w:sz w:val="72"/>
          <w:highlight w:val="none"/>
        </w:rPr>
        <w:t>件</w:t>
      </w:r>
      <w:bookmarkEnd w:id="180"/>
      <w:bookmarkEnd w:id="181"/>
    </w:p>
    <w:p w14:paraId="100863D2">
      <w:pPr>
        <w:keepNext w:val="0"/>
        <w:keepLines w:val="0"/>
        <w:pageBreakBefore w:val="0"/>
        <w:widowControl w:val="0"/>
        <w:kinsoku/>
        <w:wordWrap/>
        <w:overflowPunct/>
        <w:topLinePunct w:val="0"/>
        <w:bidi w:val="0"/>
        <w:spacing w:after="156" w:afterLines="50"/>
        <w:jc w:val="center"/>
        <w:textAlignment w:val="auto"/>
        <w:outlineLvl w:val="9"/>
        <w:rPr>
          <w:rFonts w:asciiTheme="minorEastAsia" w:hAnsiTheme="minorEastAsia" w:eastAsiaTheme="minorEastAsia"/>
          <w:b/>
          <w:color w:val="auto"/>
          <w:sz w:val="72"/>
          <w:highlight w:val="none"/>
        </w:rPr>
      </w:pPr>
    </w:p>
    <w:p w14:paraId="0179187E">
      <w:pPr>
        <w:pStyle w:val="8"/>
        <w:keepNext w:val="0"/>
        <w:keepLines w:val="0"/>
        <w:pageBreakBefore w:val="0"/>
        <w:widowControl w:val="0"/>
        <w:kinsoku/>
        <w:wordWrap/>
        <w:overflowPunct/>
        <w:topLinePunct w:val="0"/>
        <w:autoSpaceDE/>
        <w:autoSpaceDN/>
        <w:bidi w:val="0"/>
        <w:adjustRightInd/>
        <w:snapToGrid/>
        <w:spacing w:after="0" w:line="360" w:lineRule="auto"/>
        <w:ind w:firstLine="480" w:firstLineChars="200"/>
        <w:jc w:val="center"/>
        <w:textAlignment w:val="auto"/>
        <w:outlineLvl w:val="9"/>
        <w:rPr>
          <w:rFonts w:hint="default" w:ascii="宋体" w:hAnsi="宋体" w:eastAsia="宋体"/>
          <w:color w:val="auto"/>
          <w:sz w:val="24"/>
          <w:szCs w:val="18"/>
          <w:highlight w:val="none"/>
          <w:lang w:val="en-US" w:eastAsia="zh-CN"/>
        </w:rPr>
      </w:pPr>
    </w:p>
    <w:p w14:paraId="36F96B57">
      <w:pPr>
        <w:keepNext w:val="0"/>
        <w:keepLines w:val="0"/>
        <w:pageBreakBefore w:val="0"/>
        <w:widowControl w:val="0"/>
        <w:kinsoku/>
        <w:wordWrap/>
        <w:overflowPunct/>
        <w:topLinePunct w:val="0"/>
        <w:bidi w:val="0"/>
        <w:spacing w:after="156" w:afterLines="50" w:line="500" w:lineRule="exact"/>
        <w:jc w:val="center"/>
        <w:textAlignment w:val="auto"/>
        <w:outlineLvl w:val="9"/>
        <w:rPr>
          <w:rFonts w:asciiTheme="minorEastAsia" w:hAnsiTheme="minorEastAsia" w:eastAsiaTheme="minorEastAsia"/>
          <w:b/>
          <w:color w:val="auto"/>
          <w:sz w:val="28"/>
          <w:szCs w:val="28"/>
          <w:highlight w:val="none"/>
        </w:rPr>
      </w:pPr>
    </w:p>
    <w:p w14:paraId="52203803">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firstLine="643" w:firstLineChars="200"/>
        <w:jc w:val="both"/>
        <w:textAlignment w:val="auto"/>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3B035378">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firstLine="643" w:firstLineChars="200"/>
        <w:jc w:val="both"/>
        <w:textAlignment w:val="auto"/>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E81238D">
      <w:pPr>
        <w:keepNext w:val="0"/>
        <w:keepLines w:val="0"/>
        <w:pageBreakBefore w:val="0"/>
        <w:widowControl w:val="0"/>
        <w:tabs>
          <w:tab w:val="left" w:pos="2410"/>
        </w:tabs>
        <w:kinsoku/>
        <w:wordWrap/>
        <w:overflowPunct/>
        <w:topLinePunct w:val="0"/>
        <w:autoSpaceDE w:val="0"/>
        <w:autoSpaceDN w:val="0"/>
        <w:bidi w:val="0"/>
        <w:adjustRightInd w:val="0"/>
        <w:snapToGrid w:val="0"/>
        <w:spacing w:line="360" w:lineRule="auto"/>
        <w:ind w:firstLine="643" w:firstLineChars="200"/>
        <w:jc w:val="both"/>
        <w:textAlignment w:val="auto"/>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A1AA654">
      <w:pPr>
        <w:keepNext w:val="0"/>
        <w:keepLines w:val="0"/>
        <w:pageBreakBefore w:val="0"/>
        <w:widowControl w:val="0"/>
        <w:kinsoku/>
        <w:wordWrap/>
        <w:overflowPunct/>
        <w:topLinePunct w:val="0"/>
        <w:bidi w:val="0"/>
        <w:spacing w:after="156" w:afterLines="50" w:line="500" w:lineRule="exact"/>
        <w:jc w:val="center"/>
        <w:textAlignment w:val="auto"/>
        <w:outlineLvl w:val="9"/>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182" w:name="_Toc28235"/>
      <w:bookmarkStart w:id="183" w:name="_Toc8037"/>
      <w:bookmarkStart w:id="184" w:name="_Toc9994"/>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182"/>
      <w:bookmarkEnd w:id="183"/>
      <w:bookmarkEnd w:id="184"/>
    </w:p>
    <w:p w14:paraId="79FBBE57">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F69E07D">
      <w:pPr>
        <w:spacing w:line="360" w:lineRule="auto"/>
        <w:jc w:val="center"/>
        <w:outlineLvl w:val="1"/>
        <w:rPr>
          <w:rFonts w:asciiTheme="minorEastAsia" w:hAnsiTheme="minorEastAsia" w:eastAsiaTheme="minorEastAsia"/>
          <w:b/>
          <w:color w:val="auto"/>
          <w:sz w:val="24"/>
          <w:highlight w:val="none"/>
        </w:rPr>
      </w:pPr>
      <w:bookmarkStart w:id="185" w:name="_Toc9934"/>
      <w:bookmarkStart w:id="186" w:name="_Toc28960"/>
      <w:bookmarkStart w:id="187" w:name="_Toc5555"/>
      <w:bookmarkStart w:id="188" w:name="_Toc16140"/>
      <w:bookmarkStart w:id="189" w:name="_Toc17244"/>
      <w:r>
        <w:rPr>
          <w:rFonts w:hint="eastAsia" w:asciiTheme="minorEastAsia" w:hAnsiTheme="minorEastAsia" w:eastAsiaTheme="minorEastAsia"/>
          <w:b/>
          <w:color w:val="auto"/>
          <w:sz w:val="24"/>
          <w:highlight w:val="none"/>
        </w:rPr>
        <w:t>一、开标一览表</w:t>
      </w:r>
      <w:bookmarkEnd w:id="185"/>
      <w:bookmarkEnd w:id="186"/>
      <w:bookmarkEnd w:id="187"/>
      <w:bookmarkEnd w:id="188"/>
      <w:bookmarkEnd w:id="189"/>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031EF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79199B50">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6565E86D">
            <w:pPr>
              <w:spacing w:line="360" w:lineRule="exact"/>
              <w:jc w:val="center"/>
              <w:rPr>
                <w:rFonts w:asciiTheme="minorEastAsia" w:hAnsiTheme="minorEastAsia" w:eastAsiaTheme="minorEastAsia"/>
                <w:bCs/>
                <w:color w:val="auto"/>
                <w:sz w:val="24"/>
                <w:highlight w:val="none"/>
                <w:u w:val="single"/>
              </w:rPr>
            </w:pPr>
          </w:p>
        </w:tc>
      </w:tr>
      <w:tr w14:paraId="2E94E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CDAA623">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20B849E">
            <w:pPr>
              <w:spacing w:line="360" w:lineRule="auto"/>
              <w:rPr>
                <w:rFonts w:asciiTheme="minorEastAsia" w:hAnsiTheme="minorEastAsia" w:eastAsiaTheme="minorEastAsia"/>
                <w:color w:val="auto"/>
                <w:sz w:val="24"/>
                <w:highlight w:val="none"/>
              </w:rPr>
            </w:pPr>
          </w:p>
        </w:tc>
      </w:tr>
      <w:tr w14:paraId="5AD2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DF571CD">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267FB2FE">
            <w:pPr>
              <w:keepNext w:val="0"/>
              <w:keepLines w:val="0"/>
              <w:pageBreakBefore w:val="0"/>
              <w:widowControl/>
              <w:kinsoku/>
              <w:wordWrap/>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w:t>
            </w:r>
          </w:p>
        </w:tc>
      </w:tr>
      <w:tr w14:paraId="672D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51A72F9E">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6C0B49FE">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0E6BEE16">
            <w:pPr>
              <w:keepNext w:val="0"/>
              <w:keepLines w:val="0"/>
              <w:pageBreakBefore w:val="0"/>
              <w:widowControl w:val="0"/>
              <w:kinsoku/>
              <w:wordWrap/>
              <w:overflowPunct/>
              <w:topLinePunct w:val="0"/>
              <w:autoSpaceDE/>
              <w:autoSpaceDN/>
              <w:bidi w:val="0"/>
              <w:adjustRightInd/>
              <w:spacing w:line="360" w:lineRule="auto"/>
              <w:ind w:right="-670"/>
              <w:textAlignment w:val="auto"/>
              <w:rPr>
                <w:rFonts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60E5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7389F92A">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2C51E346">
            <w:pPr>
              <w:spacing w:line="360" w:lineRule="auto"/>
              <w:jc w:val="left"/>
              <w:rPr>
                <w:rFonts w:asciiTheme="minorEastAsia" w:hAnsiTheme="minorEastAsia" w:eastAsiaTheme="minorEastAsia"/>
                <w:color w:val="auto"/>
                <w:sz w:val="24"/>
                <w:szCs w:val="28"/>
                <w:highlight w:val="none"/>
              </w:rPr>
            </w:pPr>
          </w:p>
        </w:tc>
      </w:tr>
    </w:tbl>
    <w:p w14:paraId="63B8A796">
      <w:pPr>
        <w:spacing w:line="360" w:lineRule="auto"/>
        <w:ind w:firstLine="4320" w:firstLineChars="1800"/>
        <w:jc w:val="center"/>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lang w:val="en-US" w:eastAsia="zh-CN"/>
        </w:rPr>
        <w:t>投标人</w:t>
      </w:r>
      <w:r>
        <w:rPr>
          <w:rFonts w:hint="eastAsia" w:asciiTheme="minorEastAsia" w:hAnsiTheme="minorEastAsia" w:eastAsiaTheme="minorEastAsia"/>
          <w:bCs/>
          <w:color w:val="auto"/>
          <w:sz w:val="24"/>
          <w:highlight w:val="none"/>
        </w:rPr>
        <w:t>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1AFE41F">
      <w:pPr>
        <w:spacing w:line="360" w:lineRule="auto"/>
        <w:ind w:firstLine="4320" w:firstLineChars="1800"/>
        <w:jc w:val="center"/>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1DB3B321">
      <w:pPr>
        <w:spacing w:line="360" w:lineRule="auto"/>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p>
    <w:p w14:paraId="1AE721FF">
      <w:pPr>
        <w:spacing w:line="360" w:lineRule="auto"/>
        <w:ind w:firstLine="360" w:firstLineChars="150"/>
        <w:rPr>
          <w:rFonts w:asciiTheme="minorEastAsia" w:hAnsiTheme="minorEastAsia" w:eastAsiaTheme="minorEastAsia"/>
          <w:color w:val="auto"/>
          <w:sz w:val="24"/>
          <w:highlight w:val="none"/>
        </w:rPr>
      </w:pPr>
    </w:p>
    <w:p w14:paraId="4FDB0254">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20EF0F3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0CED911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表中投标报价即为优惠后报价，并作为评审及定标依据。任何有选择或有条件的投标报价，或者表中某一包别填写多个报价，均为无效报价。</w:t>
      </w:r>
    </w:p>
    <w:p w14:paraId="33196B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r>
        <w:rPr>
          <w:rFonts w:asciiTheme="minorEastAsia" w:hAnsiTheme="minorEastAsia" w:eastAsiaTheme="minorEastAsia"/>
          <w:color w:val="auto"/>
          <w:sz w:val="24"/>
          <w:highlight w:val="none"/>
        </w:rPr>
        <w:br w:type="page"/>
      </w:r>
    </w:p>
    <w:p w14:paraId="1FD95949">
      <w:pPr>
        <w:spacing w:line="360" w:lineRule="auto"/>
        <w:jc w:val="center"/>
        <w:outlineLvl w:val="1"/>
        <w:rPr>
          <w:rFonts w:asciiTheme="minorEastAsia" w:hAnsiTheme="minorEastAsia" w:eastAsiaTheme="minorEastAsia"/>
          <w:b/>
          <w:color w:val="auto"/>
          <w:sz w:val="24"/>
          <w:highlight w:val="none"/>
        </w:rPr>
      </w:pPr>
      <w:bookmarkStart w:id="190" w:name="_Toc9394"/>
      <w:bookmarkStart w:id="191" w:name="_Toc15375"/>
      <w:bookmarkStart w:id="192" w:name="_Toc18010"/>
      <w:bookmarkStart w:id="193" w:name="_Toc6441"/>
      <w:bookmarkStart w:id="194" w:name="_Toc21058"/>
      <w:r>
        <w:rPr>
          <w:rFonts w:hint="eastAsia" w:asciiTheme="minorEastAsia" w:hAnsiTheme="minorEastAsia" w:eastAsiaTheme="minorEastAsia"/>
          <w:b/>
          <w:color w:val="auto"/>
          <w:sz w:val="24"/>
          <w:highlight w:val="none"/>
        </w:rPr>
        <w:t>二、投标函</w:t>
      </w:r>
      <w:bookmarkEnd w:id="190"/>
      <w:bookmarkEnd w:id="191"/>
      <w:bookmarkEnd w:id="192"/>
      <w:bookmarkEnd w:id="193"/>
      <w:bookmarkEnd w:id="194"/>
    </w:p>
    <w:p w14:paraId="5A91387F">
      <w:pPr>
        <w:pStyle w:val="13"/>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75B5979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4CF4E4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F5A932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DACCE0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725820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56CEA0D4">
      <w:pPr>
        <w:spacing w:line="360" w:lineRule="auto"/>
        <w:ind w:firstLine="4800" w:firstLineChars="2000"/>
        <w:rPr>
          <w:rFonts w:ascii="宋体" w:hAnsi="宋体" w:eastAsia="宋体"/>
          <w:color w:val="auto"/>
          <w:sz w:val="24"/>
          <w:highlight w:val="none"/>
        </w:rPr>
      </w:pPr>
    </w:p>
    <w:p w14:paraId="79C1ABB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79A37600">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8385054">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78775A16">
      <w:pPr>
        <w:spacing w:line="360" w:lineRule="auto"/>
        <w:jc w:val="center"/>
        <w:outlineLvl w:val="1"/>
        <w:rPr>
          <w:rFonts w:hint="eastAsia" w:asciiTheme="minorEastAsia" w:hAnsiTheme="minorEastAsia" w:eastAsiaTheme="minorEastAsia"/>
          <w:b/>
          <w:color w:val="auto"/>
          <w:sz w:val="24"/>
          <w:highlight w:val="none"/>
        </w:rPr>
      </w:pPr>
      <w:bookmarkStart w:id="195" w:name="_Toc8788"/>
      <w:bookmarkStart w:id="196" w:name="_Toc6960"/>
      <w:bookmarkStart w:id="197" w:name="_Toc25191"/>
      <w:bookmarkStart w:id="198" w:name="_Toc1328"/>
      <w:r>
        <w:rPr>
          <w:rFonts w:hint="eastAsia" w:asciiTheme="minorEastAsia" w:hAnsiTheme="minorEastAsia" w:eastAsiaTheme="minorEastAsia"/>
          <w:b/>
          <w:color w:val="auto"/>
          <w:sz w:val="24"/>
          <w:highlight w:val="none"/>
          <w:lang w:val="en-US" w:eastAsia="zh-CN"/>
        </w:rPr>
        <w:t>三．投标人资格声明书</w:t>
      </w:r>
      <w:bookmarkEnd w:id="195"/>
      <w:bookmarkEnd w:id="196"/>
      <w:bookmarkEnd w:id="197"/>
      <w:bookmarkEnd w:id="198"/>
      <w:r>
        <w:rPr>
          <w:rFonts w:hint="eastAsia" w:asciiTheme="minorEastAsia" w:hAnsiTheme="minorEastAsia" w:eastAsiaTheme="minorEastAsia"/>
          <w:b/>
          <w:color w:val="auto"/>
          <w:sz w:val="24"/>
          <w:highlight w:val="none"/>
          <w:lang w:val="en-US" w:eastAsia="zh-CN"/>
        </w:rPr>
        <w:t xml:space="preserve"> </w:t>
      </w:r>
    </w:p>
    <w:p w14:paraId="71C42E2A">
      <w:pPr>
        <w:pStyle w:val="13"/>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3EA201D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55C34CA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7D36F48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3575D45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4EB28A4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采购活动前三年内，在经营活动中没有重大违法记录（重大违法记录指因违法经营受到刑事处罚或者责令停产停业、吊销许可证或者执照、较大数额罚款等行政处罚，不包括因违法经营被处罚，但期限已经届满的情形）；</w:t>
      </w:r>
    </w:p>
    <w:p w14:paraId="37BB800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3A8B2AE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（六）与我单位存在单位负责人为同一人或者存在直接控股、管理关系的其他法人单位信息如下（如有，不论其是否参加同一合同项下的采购活动均须填写）：</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B6B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40" w:type="dxa"/>
          </w:tcPr>
          <w:p w14:paraId="78095141">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7AB1403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29A8ACB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105D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84D332F">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7A13D496">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19931D3C">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18D2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05F994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6476754D">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270D37D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605A535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5429414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A7C5B6B">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6EA2097A">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62FACBB4">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29236E8F">
      <w:pPr>
        <w:pStyle w:val="8"/>
        <w:rPr>
          <w:rFonts w:hint="eastAsia" w:asciiTheme="minorEastAsia" w:hAnsiTheme="minorEastAsia" w:eastAsiaTheme="minorEastAsia" w:cstheme="minorEastAsia"/>
          <w:color w:val="auto"/>
          <w:kern w:val="0"/>
          <w:sz w:val="24"/>
          <w:szCs w:val="24"/>
          <w:highlight w:val="none"/>
          <w:lang w:val="en-US" w:eastAsia="zh-CN" w:bidi="ar"/>
        </w:rPr>
      </w:pPr>
    </w:p>
    <w:p w14:paraId="17F618DD">
      <w:pPr>
        <w:rPr>
          <w:rFonts w:hint="eastAsia" w:asciiTheme="minorEastAsia" w:hAnsiTheme="minorEastAsia" w:eastAsiaTheme="minorEastAsia"/>
          <w:b/>
          <w:color w:val="auto"/>
          <w:sz w:val="24"/>
          <w:highlight w:val="none"/>
        </w:rPr>
      </w:pPr>
      <w:bookmarkStart w:id="199" w:name="_Toc11607"/>
      <w:r>
        <w:rPr>
          <w:rFonts w:hint="eastAsia" w:asciiTheme="minorEastAsia" w:hAnsiTheme="minorEastAsia" w:eastAsiaTheme="minorEastAsia"/>
          <w:b/>
          <w:color w:val="auto"/>
          <w:sz w:val="24"/>
          <w:highlight w:val="none"/>
        </w:rPr>
        <w:br w:type="page"/>
      </w:r>
    </w:p>
    <w:p w14:paraId="6C263433">
      <w:pPr>
        <w:spacing w:line="360" w:lineRule="auto"/>
        <w:jc w:val="center"/>
        <w:outlineLvl w:val="1"/>
        <w:rPr>
          <w:rFonts w:asciiTheme="minorEastAsia" w:hAnsiTheme="minorEastAsia" w:eastAsiaTheme="minorEastAsia"/>
          <w:b/>
          <w:color w:val="auto"/>
          <w:sz w:val="24"/>
          <w:highlight w:val="none"/>
        </w:rPr>
      </w:pPr>
      <w:bookmarkStart w:id="200" w:name="_Toc14870"/>
      <w:bookmarkStart w:id="201" w:name="_Toc30088"/>
      <w:bookmarkStart w:id="202" w:name="_Toc27125"/>
      <w:bookmarkStart w:id="203" w:name="_Toc16960"/>
      <w:r>
        <w:rPr>
          <w:rFonts w:hint="eastAsia" w:asciiTheme="minorEastAsia" w:hAnsiTheme="minorEastAsia" w:eastAsiaTheme="minorEastAsia"/>
          <w:b/>
          <w:color w:val="auto"/>
          <w:sz w:val="24"/>
          <w:highlight w:val="none"/>
        </w:rPr>
        <w:t>四、授权书</w:t>
      </w:r>
      <w:bookmarkEnd w:id="199"/>
      <w:bookmarkEnd w:id="200"/>
      <w:bookmarkEnd w:id="201"/>
      <w:bookmarkEnd w:id="202"/>
      <w:bookmarkEnd w:id="203"/>
    </w:p>
    <w:p w14:paraId="08E8CC0E">
      <w:pPr>
        <w:pStyle w:val="12"/>
        <w:snapToGrid w:val="0"/>
        <w:spacing w:line="360" w:lineRule="auto"/>
        <w:ind w:firstLine="480" w:firstLineChars="200"/>
        <w:jc w:val="left"/>
        <w:rPr>
          <w:rFonts w:hAnsi="宋体" w:eastAsia="宋体"/>
          <w:color w:val="auto"/>
          <w:sz w:val="24"/>
          <w:szCs w:val="28"/>
          <w:highlight w:val="none"/>
        </w:rPr>
      </w:pPr>
    </w:p>
    <w:p w14:paraId="5E50A686">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5F3426E3">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0222876">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EA03D83">
      <w:pPr>
        <w:spacing w:line="360" w:lineRule="auto"/>
        <w:ind w:firstLine="435"/>
        <w:rPr>
          <w:rFonts w:asciiTheme="minorEastAsia" w:hAnsiTheme="minorEastAsia" w:eastAsiaTheme="minorEastAsia"/>
          <w:color w:val="auto"/>
          <w:sz w:val="24"/>
          <w:highlight w:val="none"/>
        </w:rPr>
      </w:pPr>
    </w:p>
    <w:p w14:paraId="53CAB130">
      <w:pPr>
        <w:spacing w:line="360" w:lineRule="auto"/>
        <w:ind w:firstLine="435"/>
        <w:rPr>
          <w:rFonts w:asciiTheme="minorEastAsia" w:hAnsiTheme="minorEastAsia" w:eastAsiaTheme="minorEastAsia"/>
          <w:color w:val="auto"/>
          <w:sz w:val="24"/>
          <w:highlight w:val="none"/>
        </w:rPr>
      </w:pPr>
    </w:p>
    <w:p w14:paraId="2C5C8315">
      <w:pPr>
        <w:spacing w:line="360" w:lineRule="auto"/>
        <w:ind w:firstLine="435"/>
        <w:rPr>
          <w:rFonts w:asciiTheme="minorEastAsia" w:hAnsiTheme="minorEastAsia" w:eastAsiaTheme="minorEastAsia"/>
          <w:color w:val="auto"/>
          <w:sz w:val="24"/>
          <w:highlight w:val="none"/>
        </w:rPr>
      </w:pPr>
    </w:p>
    <w:p w14:paraId="7BA25597">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43814717">
      <w:pPr>
        <w:spacing w:line="360" w:lineRule="auto"/>
        <w:ind w:firstLine="435"/>
        <w:rPr>
          <w:rFonts w:hAnsi="宋体" w:eastAsia="宋体"/>
          <w:color w:val="auto"/>
          <w:sz w:val="24"/>
          <w:szCs w:val="28"/>
          <w:highlight w:val="none"/>
          <w:lang w:val="zh-CN"/>
        </w:rPr>
      </w:pPr>
    </w:p>
    <w:p w14:paraId="1B778D7F">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30DD1F94">
      <w:pPr>
        <w:spacing w:line="360" w:lineRule="auto"/>
        <w:rPr>
          <w:rFonts w:ascii="宋体" w:hAnsi="宋体" w:eastAsia="宋体"/>
          <w:color w:val="auto"/>
          <w:sz w:val="24"/>
          <w:szCs w:val="28"/>
          <w:highlight w:val="none"/>
        </w:rPr>
      </w:pPr>
    </w:p>
    <w:p w14:paraId="13DCB21B">
      <w:pPr>
        <w:spacing w:line="360" w:lineRule="auto"/>
        <w:ind w:firstLine="435"/>
        <w:jc w:val="center"/>
        <w:rPr>
          <w:rFonts w:ascii="宋体" w:hAnsi="宋体" w:eastAsia="宋体"/>
          <w:bCs/>
          <w:color w:val="auto"/>
          <w:sz w:val="24"/>
          <w:szCs w:val="28"/>
          <w:highlight w:val="none"/>
        </w:rPr>
      </w:pPr>
      <w:r>
        <w:rPr>
          <w:rFonts w:hint="eastAsia" w:ascii="宋体" w:hAnsi="宋体" w:eastAsia="宋体"/>
          <w:bCs/>
          <w:color w:val="auto"/>
          <w:sz w:val="24"/>
          <w:szCs w:val="28"/>
          <w:highlight w:val="none"/>
          <w:lang w:val="en-US" w:eastAsia="zh-CN"/>
        </w:rPr>
        <w:t xml:space="preserve">                            </w:t>
      </w:r>
      <w:r>
        <w:rPr>
          <w:rFonts w:hint="eastAsia" w:ascii="宋体" w:hAnsi="宋体" w:eastAsia="宋体"/>
          <w:bCs/>
          <w:color w:val="auto"/>
          <w:sz w:val="24"/>
          <w:szCs w:val="28"/>
          <w:highlight w:val="none"/>
        </w:rPr>
        <w:t>投标人电子签章：</w:t>
      </w:r>
      <w:r>
        <w:rPr>
          <w:rFonts w:hint="eastAsia" w:ascii="宋体" w:hAnsi="宋体" w:eastAsia="宋体"/>
          <w:bCs/>
          <w:color w:val="auto"/>
          <w:sz w:val="24"/>
          <w:szCs w:val="28"/>
          <w:highlight w:val="none"/>
          <w:u w:val="single"/>
        </w:rPr>
        <w:t xml:space="preserve">                    </w:t>
      </w:r>
    </w:p>
    <w:p w14:paraId="3A89123F">
      <w:pPr>
        <w:spacing w:line="360" w:lineRule="auto"/>
        <w:ind w:firstLine="435"/>
        <w:jc w:val="center"/>
        <w:rPr>
          <w:rFonts w:ascii="宋体" w:hAnsi="宋体" w:eastAsia="宋体"/>
          <w:color w:val="auto"/>
          <w:sz w:val="24"/>
          <w:szCs w:val="28"/>
          <w:highlight w:val="none"/>
        </w:rPr>
      </w:pPr>
      <w:r>
        <w:rPr>
          <w:rFonts w:hint="eastAsia" w:ascii="宋体" w:hAnsi="宋体" w:eastAsia="宋体"/>
          <w:color w:val="auto"/>
          <w:sz w:val="24"/>
          <w:szCs w:val="28"/>
          <w:highlight w:val="none"/>
          <w:lang w:val="en-US" w:eastAsia="zh-CN"/>
        </w:rPr>
        <w:t xml:space="preserve">                            </w:t>
      </w:r>
      <w:r>
        <w:rPr>
          <w:rFonts w:hint="eastAsia" w:ascii="宋体" w:hAnsi="宋体" w:eastAsia="宋体"/>
          <w:color w:val="auto"/>
          <w:sz w:val="24"/>
          <w:szCs w:val="28"/>
          <w:highlight w:val="none"/>
        </w:rPr>
        <w:t>日          期：</w:t>
      </w:r>
      <w:r>
        <w:rPr>
          <w:rFonts w:hint="eastAsia" w:ascii="宋体" w:hAnsi="宋体" w:eastAsia="宋体"/>
          <w:b/>
          <w:bCs/>
          <w:color w:val="auto"/>
          <w:sz w:val="24"/>
          <w:szCs w:val="28"/>
          <w:highlight w:val="none"/>
          <w:u w:val="single"/>
        </w:rPr>
        <w:t xml:space="preserve">                    </w:t>
      </w:r>
    </w:p>
    <w:p w14:paraId="623A7F90">
      <w:pPr>
        <w:spacing w:line="360" w:lineRule="auto"/>
        <w:ind w:firstLine="435"/>
        <w:rPr>
          <w:rFonts w:asciiTheme="minorEastAsia" w:hAnsiTheme="minorEastAsia" w:eastAsiaTheme="minorEastAsia"/>
          <w:color w:val="auto"/>
          <w:sz w:val="24"/>
          <w:highlight w:val="none"/>
        </w:rPr>
      </w:pPr>
    </w:p>
    <w:p w14:paraId="7A581D12">
      <w:pPr>
        <w:spacing w:line="360" w:lineRule="auto"/>
        <w:ind w:firstLine="435"/>
        <w:rPr>
          <w:rFonts w:asciiTheme="minorEastAsia" w:hAnsiTheme="minorEastAsia" w:eastAsiaTheme="minorEastAsia"/>
          <w:color w:val="auto"/>
          <w:sz w:val="24"/>
          <w:highlight w:val="none"/>
        </w:rPr>
      </w:pPr>
    </w:p>
    <w:p w14:paraId="2A1BBDB9">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327E05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4555FA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2E4221C2">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CECE55C">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04" w:name="_Toc31991"/>
      <w:bookmarkStart w:id="205" w:name="_Toc6796"/>
      <w:bookmarkStart w:id="206" w:name="_Toc20496"/>
      <w:bookmarkStart w:id="207" w:name="_Toc8613"/>
      <w:bookmarkStart w:id="208" w:name="_Toc7123"/>
      <w:r>
        <w:rPr>
          <w:rFonts w:hint="eastAsia" w:asciiTheme="minorEastAsia" w:hAnsiTheme="minorEastAsia" w:eastAsiaTheme="minorEastAsia"/>
          <w:b/>
          <w:color w:val="auto"/>
          <w:sz w:val="24"/>
          <w:highlight w:val="none"/>
        </w:rPr>
        <w:t>五、投标分项报价表</w:t>
      </w:r>
      <w:bookmarkEnd w:id="204"/>
      <w:bookmarkEnd w:id="205"/>
      <w:bookmarkEnd w:id="206"/>
      <w:bookmarkEnd w:id="207"/>
      <w:bookmarkEnd w:id="208"/>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323"/>
        <w:gridCol w:w="1316"/>
        <w:gridCol w:w="1316"/>
        <w:gridCol w:w="672"/>
        <w:gridCol w:w="672"/>
        <w:gridCol w:w="940"/>
        <w:gridCol w:w="940"/>
        <w:gridCol w:w="670"/>
      </w:tblGrid>
      <w:tr w14:paraId="29F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noWrap w:val="0"/>
            <w:vAlign w:val="center"/>
          </w:tcPr>
          <w:p w14:paraId="02EB3403">
            <w:pPr>
              <w:pStyle w:val="43"/>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776" w:type="pct"/>
            <w:noWrap w:val="0"/>
            <w:vAlign w:val="center"/>
          </w:tcPr>
          <w:p w14:paraId="73FB9F55">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772" w:type="pct"/>
            <w:noWrap w:val="0"/>
            <w:vAlign w:val="center"/>
          </w:tcPr>
          <w:p w14:paraId="74F9288A">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75AB3D77">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772" w:type="pct"/>
            <w:noWrap w:val="0"/>
            <w:vAlign w:val="center"/>
          </w:tcPr>
          <w:p w14:paraId="3FC9B9D4">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69A6F33E">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394" w:type="pct"/>
            <w:noWrap w:val="0"/>
            <w:vAlign w:val="center"/>
          </w:tcPr>
          <w:p w14:paraId="5E220F61">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394" w:type="pct"/>
            <w:noWrap w:val="0"/>
            <w:vAlign w:val="center"/>
          </w:tcPr>
          <w:p w14:paraId="320CC90F">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551" w:type="pct"/>
            <w:noWrap w:val="0"/>
            <w:vAlign w:val="center"/>
          </w:tcPr>
          <w:p w14:paraId="57B37F39">
            <w:pPr>
              <w:jc w:val="center"/>
              <w:rPr>
                <w:rFonts w:ascii="宋体" w:hAnsi="宋体" w:eastAsia="宋体"/>
                <w:b/>
                <w:color w:val="auto"/>
                <w:sz w:val="24"/>
                <w:highlight w:val="none"/>
              </w:rPr>
            </w:pPr>
            <w:r>
              <w:rPr>
                <w:rFonts w:hint="eastAsia" w:ascii="宋体" w:hAnsi="宋体" w:eastAsia="宋体"/>
                <w:b/>
                <w:color w:val="auto"/>
                <w:sz w:val="24"/>
                <w:highlight w:val="none"/>
              </w:rPr>
              <w:t>单价</w:t>
            </w:r>
          </w:p>
          <w:p w14:paraId="39894848">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551" w:type="pct"/>
            <w:noWrap w:val="0"/>
            <w:vAlign w:val="center"/>
          </w:tcPr>
          <w:p w14:paraId="3425285D">
            <w:pPr>
              <w:jc w:val="center"/>
              <w:rPr>
                <w:rFonts w:ascii="宋体" w:hAnsi="宋体" w:eastAsia="宋体"/>
                <w:b/>
                <w:color w:val="auto"/>
                <w:sz w:val="24"/>
                <w:highlight w:val="none"/>
              </w:rPr>
            </w:pPr>
            <w:r>
              <w:rPr>
                <w:rFonts w:hint="eastAsia" w:ascii="宋体" w:hAnsi="宋体" w:eastAsia="宋体"/>
                <w:b/>
                <w:color w:val="auto"/>
                <w:sz w:val="24"/>
                <w:highlight w:val="none"/>
              </w:rPr>
              <w:t>小计</w:t>
            </w:r>
          </w:p>
          <w:p w14:paraId="57010817">
            <w:pPr>
              <w:jc w:val="center"/>
              <w:rPr>
                <w:rFonts w:ascii="宋体" w:hAnsi="宋体" w:eastAsia="宋体"/>
                <w:b/>
                <w:color w:val="auto"/>
                <w:sz w:val="24"/>
                <w:highlight w:val="none"/>
              </w:rPr>
            </w:pPr>
            <w:r>
              <w:rPr>
                <w:rFonts w:hint="eastAsia" w:ascii="宋体" w:hAnsi="宋体" w:eastAsia="宋体"/>
                <w:b/>
                <w:color w:val="auto"/>
                <w:sz w:val="24"/>
                <w:highlight w:val="none"/>
              </w:rPr>
              <w:t>（元）</w:t>
            </w:r>
          </w:p>
        </w:tc>
        <w:tc>
          <w:tcPr>
            <w:tcW w:w="393" w:type="pct"/>
            <w:noWrap w:val="0"/>
            <w:vAlign w:val="center"/>
          </w:tcPr>
          <w:p w14:paraId="47A63804">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749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24" w:hRule="atLeast"/>
          <w:jc w:val="center"/>
        </w:trPr>
        <w:tc>
          <w:tcPr>
            <w:tcW w:w="393" w:type="pct"/>
            <w:tcBorders>
              <w:bottom w:val="single" w:color="auto" w:sz="4" w:space="0"/>
            </w:tcBorders>
            <w:noWrap w:val="0"/>
            <w:vAlign w:val="center"/>
          </w:tcPr>
          <w:p w14:paraId="081E0F3E">
            <w:pPr>
              <w:pStyle w:val="70"/>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ascii="宋体" w:hAnsi="宋体" w:eastAsia="宋体"/>
                <w:color w:val="auto"/>
                <w:sz w:val="24"/>
                <w:highlight w:val="none"/>
              </w:rPr>
            </w:pPr>
            <w:r>
              <w:rPr>
                <w:rFonts w:hint="eastAsia" w:ascii="宋体" w:hAnsi="宋体" w:eastAsia="宋体" w:cs="宋体"/>
                <w:color w:val="auto"/>
                <w:sz w:val="24"/>
                <w:szCs w:val="24"/>
                <w:highlight w:val="none"/>
              </w:rPr>
              <w:t>1</w:t>
            </w:r>
          </w:p>
        </w:tc>
        <w:tc>
          <w:tcPr>
            <w:tcW w:w="776" w:type="pct"/>
            <w:noWrap w:val="0"/>
            <w:vAlign w:val="center"/>
          </w:tcPr>
          <w:p w14:paraId="7761E195">
            <w:pPr>
              <w:pStyle w:val="70"/>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宋体" w:hAnsi="宋体" w:eastAsia="宋体"/>
                <w:color w:val="auto"/>
                <w:sz w:val="24"/>
                <w:highlight w:val="none"/>
                <w:lang w:val="en-US" w:eastAsia="zh-CN"/>
              </w:rPr>
            </w:pPr>
            <w:r>
              <w:rPr>
                <w:rFonts w:hint="eastAsia" w:ascii="宋体" w:hAnsi="宋体" w:eastAsia="宋体" w:cs="宋体"/>
                <w:color w:val="auto"/>
                <w:spacing w:val="2"/>
                <w:sz w:val="24"/>
                <w:szCs w:val="24"/>
                <w:highlight w:val="none"/>
                <w:lang w:val="en-US" w:eastAsia="zh-CN"/>
              </w:rPr>
              <w:t>儿童电子支气管镜</w:t>
            </w:r>
          </w:p>
        </w:tc>
        <w:tc>
          <w:tcPr>
            <w:tcW w:w="772" w:type="pct"/>
            <w:shd w:val="clear" w:color="auto" w:fill="auto"/>
            <w:noWrap w:val="0"/>
            <w:vAlign w:val="center"/>
          </w:tcPr>
          <w:p w14:paraId="0375DE1C">
            <w:pPr>
              <w:pStyle w:val="70"/>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en-US" w:bidi="ar-SA"/>
              </w:rPr>
            </w:pPr>
          </w:p>
        </w:tc>
        <w:tc>
          <w:tcPr>
            <w:tcW w:w="772" w:type="pct"/>
            <w:noWrap w:val="0"/>
            <w:vAlign w:val="center"/>
          </w:tcPr>
          <w:p w14:paraId="52FF1C92">
            <w:pPr>
              <w:pStyle w:val="70"/>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ascii="宋体" w:hAnsi="宋体" w:eastAsia="宋体"/>
                <w:color w:val="auto"/>
                <w:sz w:val="24"/>
                <w:highlight w:val="none"/>
              </w:rPr>
            </w:pPr>
          </w:p>
        </w:tc>
        <w:tc>
          <w:tcPr>
            <w:tcW w:w="394" w:type="pct"/>
            <w:noWrap w:val="0"/>
            <w:vAlign w:val="center"/>
          </w:tcPr>
          <w:p w14:paraId="7C01FFE9">
            <w:pPr>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套</w:t>
            </w:r>
          </w:p>
        </w:tc>
        <w:tc>
          <w:tcPr>
            <w:tcW w:w="394" w:type="pct"/>
            <w:shd w:val="clear" w:color="auto" w:fill="auto"/>
            <w:noWrap w:val="0"/>
            <w:vAlign w:val="center"/>
          </w:tcPr>
          <w:p w14:paraId="4DE5AC10">
            <w:pPr>
              <w:pStyle w:val="70"/>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1</w:t>
            </w:r>
          </w:p>
        </w:tc>
        <w:tc>
          <w:tcPr>
            <w:tcW w:w="551" w:type="pct"/>
            <w:noWrap w:val="0"/>
            <w:vAlign w:val="top"/>
          </w:tcPr>
          <w:p w14:paraId="21DA4597">
            <w:pPr>
              <w:rPr>
                <w:rFonts w:ascii="宋体" w:hAnsi="宋体" w:eastAsia="宋体"/>
                <w:color w:val="auto"/>
                <w:sz w:val="24"/>
                <w:highlight w:val="none"/>
              </w:rPr>
            </w:pPr>
          </w:p>
        </w:tc>
        <w:tc>
          <w:tcPr>
            <w:tcW w:w="551" w:type="pct"/>
            <w:noWrap w:val="0"/>
            <w:vAlign w:val="top"/>
          </w:tcPr>
          <w:p w14:paraId="2A9B41D8">
            <w:pPr>
              <w:rPr>
                <w:rFonts w:ascii="宋体" w:hAnsi="宋体" w:eastAsia="宋体"/>
                <w:color w:val="auto"/>
                <w:sz w:val="24"/>
                <w:highlight w:val="none"/>
              </w:rPr>
            </w:pPr>
          </w:p>
        </w:tc>
        <w:tc>
          <w:tcPr>
            <w:tcW w:w="393" w:type="pct"/>
            <w:noWrap w:val="0"/>
            <w:vAlign w:val="top"/>
          </w:tcPr>
          <w:p w14:paraId="2B68B0FE">
            <w:pPr>
              <w:rPr>
                <w:rFonts w:ascii="宋体" w:hAnsi="宋体" w:eastAsia="宋体"/>
                <w:color w:val="auto"/>
                <w:sz w:val="24"/>
                <w:highlight w:val="none"/>
              </w:rPr>
            </w:pPr>
          </w:p>
        </w:tc>
      </w:tr>
      <w:tr w14:paraId="388BB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5" w:type="pct"/>
            <w:gridSpan w:val="7"/>
            <w:noWrap w:val="0"/>
            <w:vAlign w:val="center"/>
          </w:tcPr>
          <w:p w14:paraId="5461A2A8">
            <w:pPr>
              <w:jc w:val="center"/>
              <w:rPr>
                <w:rFonts w:ascii="宋体" w:hAnsi="宋体" w:eastAsia="宋体"/>
                <w:color w:val="auto"/>
                <w:sz w:val="24"/>
                <w:highlight w:val="none"/>
              </w:rPr>
            </w:pPr>
            <w:r>
              <w:rPr>
                <w:rFonts w:hint="eastAsia" w:ascii="宋体" w:hAnsi="宋体" w:eastAsia="宋体"/>
                <w:b/>
                <w:color w:val="auto"/>
                <w:sz w:val="24"/>
                <w:highlight w:val="none"/>
              </w:rPr>
              <w:t>合计</w:t>
            </w:r>
            <w:r>
              <w:rPr>
                <w:rFonts w:hint="eastAsia" w:ascii="宋体" w:hAnsi="宋体" w:eastAsia="宋体"/>
                <w:b/>
                <w:color w:val="auto"/>
                <w:sz w:val="24"/>
                <w:highlight w:val="none"/>
                <w:lang w:val="en-US" w:eastAsia="zh-CN"/>
              </w:rPr>
              <w:t>金额</w:t>
            </w:r>
            <w:r>
              <w:rPr>
                <w:rFonts w:hint="eastAsia" w:ascii="宋体" w:hAnsi="宋体" w:eastAsia="宋体"/>
                <w:b/>
                <w:color w:val="auto"/>
                <w:sz w:val="24"/>
                <w:highlight w:val="none"/>
              </w:rPr>
              <w:t>（元）</w:t>
            </w:r>
          </w:p>
        </w:tc>
        <w:tc>
          <w:tcPr>
            <w:tcW w:w="944" w:type="pct"/>
            <w:gridSpan w:val="2"/>
            <w:noWrap w:val="0"/>
            <w:vAlign w:val="top"/>
          </w:tcPr>
          <w:p w14:paraId="559957D4">
            <w:pPr>
              <w:rPr>
                <w:rFonts w:ascii="宋体" w:hAnsi="宋体" w:eastAsia="宋体"/>
                <w:color w:val="auto"/>
                <w:sz w:val="24"/>
                <w:highlight w:val="none"/>
              </w:rPr>
            </w:pPr>
          </w:p>
        </w:tc>
      </w:tr>
    </w:tbl>
    <w:p w14:paraId="6AD76037">
      <w:pPr>
        <w:spacing w:line="360" w:lineRule="auto"/>
        <w:ind w:firstLine="435"/>
        <w:jc w:val="right"/>
        <w:rPr>
          <w:rFonts w:hint="eastAsia" w:ascii="宋体" w:hAnsi="宋体" w:eastAsia="宋体"/>
          <w:b/>
          <w:bCs/>
          <w:color w:val="auto"/>
          <w:highlight w:val="none"/>
          <w:lang w:val="en-US" w:eastAsia="zh-CN"/>
        </w:rPr>
      </w:pPr>
      <w:r>
        <w:rPr>
          <w:rFonts w:hint="eastAsia" w:ascii="宋体" w:hAnsi="宋体" w:eastAsia="宋体"/>
          <w:bCs/>
          <w:color w:val="auto"/>
          <w:sz w:val="24"/>
          <w:szCs w:val="28"/>
          <w:highlight w:val="none"/>
          <w:u w:val="single"/>
        </w:rPr>
        <w:t xml:space="preserve">       </w:t>
      </w:r>
    </w:p>
    <w:p w14:paraId="41DF4DBB">
      <w:pPr>
        <w:spacing w:line="360" w:lineRule="auto"/>
        <w:rPr>
          <w:rFonts w:hint="eastAsia" w:ascii="宋体" w:hAnsi="宋体" w:eastAsia="宋体"/>
          <w:b/>
          <w:bCs/>
          <w:color w:val="auto"/>
          <w:sz w:val="21"/>
          <w:szCs w:val="21"/>
          <w:highlight w:val="none"/>
          <w:lang w:eastAsia="zh-CN"/>
        </w:rPr>
      </w:pPr>
    </w:p>
    <w:p w14:paraId="725986D4">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3493136">
      <w:pPr>
        <w:tabs>
          <w:tab w:val="left" w:pos="630"/>
        </w:tabs>
        <w:spacing w:line="360" w:lineRule="auto"/>
        <w:ind w:firstLine="4800" w:firstLineChars="2000"/>
        <w:jc w:val="center"/>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290C4559">
      <w:pPr>
        <w:spacing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w:t>
      </w:r>
    </w:p>
    <w:p w14:paraId="0FC5F10B">
      <w:pPr>
        <w:spacing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1.表</w:t>
      </w:r>
      <w:r>
        <w:rPr>
          <w:rFonts w:hint="eastAsia" w:ascii="宋体" w:hAnsi="宋体" w:eastAsia="宋体"/>
          <w:color w:val="auto"/>
          <w:sz w:val="21"/>
          <w:szCs w:val="21"/>
          <w:highlight w:val="none"/>
        </w:rPr>
        <w:t>中须明确列出所投产品的货物名称、品牌、型号规格、原产地及生产厂商，否则可能导致</w:t>
      </w:r>
      <w:r>
        <w:rPr>
          <w:rFonts w:hint="eastAsia" w:ascii="宋体" w:hAnsi="宋体" w:eastAsia="宋体"/>
          <w:b/>
          <w:bCs/>
          <w:color w:val="auto"/>
          <w:sz w:val="21"/>
          <w:szCs w:val="21"/>
          <w:highlight w:val="none"/>
        </w:rPr>
        <w:t>投标无效</w:t>
      </w:r>
      <w:r>
        <w:rPr>
          <w:rFonts w:hint="eastAsia" w:ascii="宋体" w:hAnsi="宋体" w:eastAsia="宋体"/>
          <w:b/>
          <w:bCs/>
          <w:color w:val="auto"/>
          <w:sz w:val="21"/>
          <w:szCs w:val="21"/>
          <w:highlight w:val="none"/>
          <w:lang w:eastAsia="zh-CN"/>
        </w:rPr>
        <w:t>。</w:t>
      </w:r>
    </w:p>
    <w:p w14:paraId="6F8C7329">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2.上述报价为投标人完成本项目内容的全部费用，</w:t>
      </w:r>
      <w:r>
        <w:rPr>
          <w:rFonts w:hint="eastAsia" w:ascii="宋体" w:hAnsi="宋体" w:eastAsia="宋体"/>
          <w:color w:val="auto"/>
          <w:sz w:val="21"/>
          <w:szCs w:val="21"/>
          <w:highlight w:val="none"/>
        </w:rPr>
        <w:t>如有漏项或缺项，</w:t>
      </w:r>
      <w:r>
        <w:rPr>
          <w:rFonts w:hint="eastAsia" w:ascii="宋体" w:hAnsi="宋体" w:eastAsia="宋体"/>
          <w:color w:val="auto"/>
          <w:sz w:val="21"/>
          <w:szCs w:val="21"/>
          <w:highlight w:val="none"/>
          <w:lang w:val="en-US" w:eastAsia="zh-CN"/>
        </w:rPr>
        <w:t>自行</w:t>
      </w:r>
      <w:r>
        <w:rPr>
          <w:rFonts w:hint="eastAsia" w:ascii="宋体" w:hAnsi="宋体" w:eastAsia="宋体"/>
          <w:color w:val="auto"/>
          <w:sz w:val="21"/>
          <w:szCs w:val="21"/>
          <w:highlight w:val="none"/>
        </w:rPr>
        <w:t>承担全部责任。</w:t>
      </w:r>
    </w:p>
    <w:p w14:paraId="3B885F7A">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6856CEA">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209" w:name="_Toc20329"/>
      <w:bookmarkStart w:id="210" w:name="_Toc27786"/>
      <w:bookmarkStart w:id="211" w:name="_Toc10929"/>
      <w:bookmarkStart w:id="212" w:name="_Toc20858"/>
      <w:bookmarkStart w:id="213" w:name="_Toc11940"/>
      <w:r>
        <w:rPr>
          <w:rFonts w:hint="eastAsia" w:asciiTheme="minorEastAsia" w:hAnsiTheme="minorEastAsia" w:eastAsiaTheme="minorEastAsia"/>
          <w:b/>
          <w:color w:val="auto"/>
          <w:sz w:val="24"/>
          <w:highlight w:val="none"/>
        </w:rPr>
        <w:t>六、投标响应表</w:t>
      </w:r>
      <w:bookmarkEnd w:id="209"/>
      <w:bookmarkEnd w:id="210"/>
      <w:bookmarkEnd w:id="211"/>
      <w:bookmarkEnd w:id="212"/>
      <w:bookmarkEnd w:id="213"/>
    </w:p>
    <w:p w14:paraId="49D3ABA1">
      <w:pPr>
        <w:spacing w:line="360" w:lineRule="auto"/>
        <w:ind w:firstLine="435"/>
        <w:outlineLvl w:val="2"/>
        <w:rPr>
          <w:rFonts w:asciiTheme="minorEastAsia" w:hAnsiTheme="minorEastAsia" w:eastAsiaTheme="minorEastAsia"/>
          <w:b/>
          <w:color w:val="auto"/>
          <w:sz w:val="24"/>
          <w:highlight w:val="none"/>
        </w:rPr>
      </w:pPr>
      <w:bookmarkStart w:id="214" w:name="_Toc12774"/>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bookmarkEnd w:id="214"/>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3248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2" w:hRule="atLeast"/>
          <w:jc w:val="center"/>
        </w:trPr>
        <w:tc>
          <w:tcPr>
            <w:tcW w:w="424" w:type="pct"/>
            <w:vAlign w:val="center"/>
          </w:tcPr>
          <w:p w14:paraId="6DE5CA5C">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6E5D9937">
            <w:pPr>
              <w:pStyle w:val="1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5D44F6BE">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11DE3AE5">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61A0A2A3">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6E3C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39F8939">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C1AF61C">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09F9664D">
            <w:pPr>
              <w:jc w:val="center"/>
              <w:rPr>
                <w:rFonts w:asciiTheme="minorEastAsia" w:hAnsiTheme="minorEastAsia" w:eastAsiaTheme="minorEastAsia"/>
                <w:color w:val="auto"/>
                <w:sz w:val="24"/>
                <w:highlight w:val="none"/>
              </w:rPr>
            </w:pPr>
          </w:p>
        </w:tc>
        <w:tc>
          <w:tcPr>
            <w:tcW w:w="1510" w:type="pct"/>
            <w:vAlign w:val="center"/>
          </w:tcPr>
          <w:p w14:paraId="6ED78673">
            <w:pPr>
              <w:jc w:val="center"/>
              <w:rPr>
                <w:rFonts w:asciiTheme="minorEastAsia" w:hAnsiTheme="minorEastAsia" w:eastAsiaTheme="minorEastAsia"/>
                <w:color w:val="auto"/>
                <w:sz w:val="24"/>
                <w:highlight w:val="none"/>
              </w:rPr>
            </w:pPr>
          </w:p>
        </w:tc>
        <w:tc>
          <w:tcPr>
            <w:tcW w:w="475" w:type="pct"/>
            <w:vAlign w:val="center"/>
          </w:tcPr>
          <w:p w14:paraId="4090BFB7">
            <w:pPr>
              <w:jc w:val="center"/>
              <w:rPr>
                <w:rFonts w:asciiTheme="minorEastAsia" w:hAnsiTheme="minorEastAsia" w:eastAsiaTheme="minorEastAsia"/>
                <w:color w:val="auto"/>
                <w:sz w:val="24"/>
                <w:highlight w:val="none"/>
              </w:rPr>
            </w:pPr>
          </w:p>
        </w:tc>
      </w:tr>
      <w:tr w14:paraId="68DA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3CFEE9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2380CFC8">
            <w:pPr>
              <w:jc w:val="center"/>
              <w:rPr>
                <w:rFonts w:ascii="宋体" w:hAnsi="宋体" w:eastAsia="宋体"/>
                <w:color w:val="auto"/>
                <w:sz w:val="24"/>
                <w:highlight w:val="none"/>
              </w:rPr>
            </w:pPr>
            <w:r>
              <w:rPr>
                <w:rFonts w:hint="eastAsia" w:ascii="宋体" w:hAnsi="宋体" w:eastAsia="宋体"/>
                <w:color w:val="auto"/>
                <w:sz w:val="24"/>
                <w:highlight w:val="none"/>
              </w:rPr>
              <w:t>供货及安装地点</w:t>
            </w:r>
          </w:p>
        </w:tc>
        <w:tc>
          <w:tcPr>
            <w:tcW w:w="1465" w:type="pct"/>
            <w:vAlign w:val="center"/>
          </w:tcPr>
          <w:p w14:paraId="465346DC">
            <w:pPr>
              <w:jc w:val="center"/>
              <w:rPr>
                <w:rFonts w:asciiTheme="minorEastAsia" w:hAnsiTheme="minorEastAsia" w:eastAsiaTheme="minorEastAsia"/>
                <w:color w:val="auto"/>
                <w:sz w:val="24"/>
                <w:highlight w:val="none"/>
              </w:rPr>
            </w:pPr>
          </w:p>
        </w:tc>
        <w:tc>
          <w:tcPr>
            <w:tcW w:w="1510" w:type="pct"/>
            <w:vAlign w:val="center"/>
          </w:tcPr>
          <w:p w14:paraId="3451F342">
            <w:pPr>
              <w:jc w:val="center"/>
              <w:rPr>
                <w:rFonts w:asciiTheme="minorEastAsia" w:hAnsiTheme="minorEastAsia" w:eastAsiaTheme="minorEastAsia"/>
                <w:color w:val="auto"/>
                <w:sz w:val="24"/>
                <w:highlight w:val="none"/>
              </w:rPr>
            </w:pPr>
          </w:p>
        </w:tc>
        <w:tc>
          <w:tcPr>
            <w:tcW w:w="475" w:type="pct"/>
            <w:vAlign w:val="center"/>
          </w:tcPr>
          <w:p w14:paraId="4E06C111">
            <w:pPr>
              <w:jc w:val="center"/>
              <w:rPr>
                <w:rFonts w:asciiTheme="minorEastAsia" w:hAnsiTheme="minorEastAsia" w:eastAsiaTheme="minorEastAsia"/>
                <w:color w:val="auto"/>
                <w:sz w:val="24"/>
                <w:highlight w:val="none"/>
              </w:rPr>
            </w:pPr>
          </w:p>
        </w:tc>
      </w:tr>
      <w:tr w14:paraId="60487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D160D9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0BE4F9CA">
            <w:pPr>
              <w:jc w:val="center"/>
              <w:rPr>
                <w:rFonts w:ascii="宋体" w:hAnsi="宋体" w:eastAsia="宋体"/>
                <w:color w:val="auto"/>
                <w:sz w:val="24"/>
                <w:highlight w:val="none"/>
              </w:rPr>
            </w:pPr>
            <w:r>
              <w:rPr>
                <w:rFonts w:hint="eastAsia" w:ascii="宋体" w:hAnsi="宋体" w:eastAsia="宋体"/>
                <w:color w:val="auto"/>
                <w:sz w:val="24"/>
                <w:highlight w:val="none"/>
              </w:rPr>
              <w:t>供货及安装期限</w:t>
            </w:r>
          </w:p>
        </w:tc>
        <w:tc>
          <w:tcPr>
            <w:tcW w:w="1465" w:type="pct"/>
            <w:vAlign w:val="center"/>
          </w:tcPr>
          <w:p w14:paraId="13DA4509">
            <w:pPr>
              <w:jc w:val="center"/>
              <w:rPr>
                <w:rFonts w:asciiTheme="minorEastAsia" w:hAnsiTheme="minorEastAsia" w:eastAsiaTheme="minorEastAsia"/>
                <w:color w:val="auto"/>
                <w:sz w:val="24"/>
                <w:highlight w:val="none"/>
              </w:rPr>
            </w:pPr>
          </w:p>
        </w:tc>
        <w:tc>
          <w:tcPr>
            <w:tcW w:w="1510" w:type="pct"/>
            <w:vAlign w:val="center"/>
          </w:tcPr>
          <w:p w14:paraId="14884059">
            <w:pPr>
              <w:pStyle w:val="51"/>
              <w:jc w:val="center"/>
              <w:rPr>
                <w:rFonts w:asciiTheme="minorEastAsia" w:hAnsiTheme="minorEastAsia" w:eastAsiaTheme="minorEastAsia"/>
                <w:color w:val="auto"/>
                <w:highlight w:val="none"/>
              </w:rPr>
            </w:pPr>
          </w:p>
        </w:tc>
        <w:tc>
          <w:tcPr>
            <w:tcW w:w="475" w:type="pct"/>
            <w:vAlign w:val="center"/>
          </w:tcPr>
          <w:p w14:paraId="637032A7">
            <w:pPr>
              <w:jc w:val="center"/>
              <w:rPr>
                <w:rFonts w:asciiTheme="minorEastAsia" w:hAnsiTheme="minorEastAsia" w:eastAsiaTheme="minorEastAsia"/>
                <w:color w:val="auto"/>
                <w:sz w:val="24"/>
                <w:highlight w:val="none"/>
              </w:rPr>
            </w:pPr>
          </w:p>
        </w:tc>
      </w:tr>
      <w:tr w14:paraId="56C15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4F9103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124" w:type="pct"/>
            <w:vAlign w:val="center"/>
          </w:tcPr>
          <w:p w14:paraId="63516FEB">
            <w:pPr>
              <w:jc w:val="center"/>
              <w:rPr>
                <w:rFonts w:ascii="宋体" w:hAnsi="宋体" w:eastAsia="宋体"/>
                <w:color w:val="auto"/>
                <w:sz w:val="24"/>
                <w:highlight w:val="none"/>
              </w:rPr>
            </w:pPr>
            <w:r>
              <w:rPr>
                <w:rFonts w:hint="eastAsia" w:ascii="宋体" w:hAnsi="宋体" w:eastAsia="宋体"/>
                <w:color w:val="auto"/>
                <w:sz w:val="24"/>
                <w:highlight w:val="none"/>
              </w:rPr>
              <w:t>免费质保期</w:t>
            </w:r>
          </w:p>
        </w:tc>
        <w:tc>
          <w:tcPr>
            <w:tcW w:w="1465" w:type="pct"/>
            <w:vAlign w:val="center"/>
          </w:tcPr>
          <w:p w14:paraId="7D93D9B8">
            <w:pPr>
              <w:jc w:val="center"/>
              <w:rPr>
                <w:rFonts w:asciiTheme="minorEastAsia" w:hAnsiTheme="minorEastAsia" w:eastAsiaTheme="minorEastAsia"/>
                <w:color w:val="auto"/>
                <w:sz w:val="24"/>
                <w:highlight w:val="none"/>
              </w:rPr>
            </w:pPr>
          </w:p>
        </w:tc>
        <w:tc>
          <w:tcPr>
            <w:tcW w:w="1510" w:type="pct"/>
            <w:vAlign w:val="center"/>
          </w:tcPr>
          <w:p w14:paraId="0E421BCA">
            <w:pPr>
              <w:jc w:val="center"/>
              <w:rPr>
                <w:rFonts w:asciiTheme="minorEastAsia" w:hAnsiTheme="minorEastAsia" w:eastAsiaTheme="minorEastAsia"/>
                <w:color w:val="auto"/>
                <w:sz w:val="24"/>
                <w:highlight w:val="none"/>
              </w:rPr>
            </w:pPr>
          </w:p>
        </w:tc>
        <w:tc>
          <w:tcPr>
            <w:tcW w:w="475" w:type="pct"/>
            <w:vAlign w:val="center"/>
          </w:tcPr>
          <w:p w14:paraId="369EF4EE">
            <w:pPr>
              <w:jc w:val="center"/>
              <w:rPr>
                <w:rFonts w:asciiTheme="minorEastAsia" w:hAnsiTheme="minorEastAsia" w:eastAsiaTheme="minorEastAsia"/>
                <w:color w:val="auto"/>
                <w:sz w:val="24"/>
                <w:highlight w:val="none"/>
              </w:rPr>
            </w:pPr>
          </w:p>
        </w:tc>
      </w:tr>
      <w:tr w14:paraId="66F5F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DC8EB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71929B76">
            <w:pPr>
              <w:jc w:val="center"/>
              <w:rPr>
                <w:rFonts w:ascii="宋体" w:hAnsi="宋体" w:eastAsia="宋体"/>
                <w:color w:val="auto"/>
                <w:sz w:val="24"/>
                <w:highlight w:val="none"/>
              </w:rPr>
            </w:pPr>
          </w:p>
        </w:tc>
        <w:tc>
          <w:tcPr>
            <w:tcW w:w="1465" w:type="pct"/>
            <w:vAlign w:val="center"/>
          </w:tcPr>
          <w:p w14:paraId="05607E67">
            <w:pPr>
              <w:jc w:val="center"/>
              <w:rPr>
                <w:rFonts w:asciiTheme="minorEastAsia" w:hAnsiTheme="minorEastAsia" w:eastAsiaTheme="minorEastAsia"/>
                <w:color w:val="auto"/>
                <w:sz w:val="24"/>
                <w:highlight w:val="none"/>
              </w:rPr>
            </w:pPr>
          </w:p>
        </w:tc>
        <w:tc>
          <w:tcPr>
            <w:tcW w:w="1510" w:type="pct"/>
            <w:vAlign w:val="center"/>
          </w:tcPr>
          <w:p w14:paraId="33130A6B">
            <w:pPr>
              <w:jc w:val="center"/>
              <w:rPr>
                <w:rFonts w:asciiTheme="minorEastAsia" w:hAnsiTheme="minorEastAsia" w:eastAsiaTheme="minorEastAsia"/>
                <w:color w:val="auto"/>
                <w:sz w:val="24"/>
                <w:highlight w:val="none"/>
              </w:rPr>
            </w:pPr>
          </w:p>
        </w:tc>
        <w:tc>
          <w:tcPr>
            <w:tcW w:w="475" w:type="pct"/>
            <w:vAlign w:val="center"/>
          </w:tcPr>
          <w:p w14:paraId="22AC22C6">
            <w:pPr>
              <w:jc w:val="center"/>
              <w:rPr>
                <w:rFonts w:asciiTheme="minorEastAsia" w:hAnsiTheme="minorEastAsia" w:eastAsiaTheme="minorEastAsia"/>
                <w:color w:val="auto"/>
                <w:sz w:val="24"/>
                <w:highlight w:val="none"/>
              </w:rPr>
            </w:pPr>
          </w:p>
        </w:tc>
      </w:tr>
    </w:tbl>
    <w:p w14:paraId="2FC26D16">
      <w:pPr>
        <w:spacing w:line="360" w:lineRule="auto"/>
        <w:ind w:firstLine="435"/>
        <w:outlineLvl w:val="2"/>
        <w:rPr>
          <w:rFonts w:asciiTheme="minorEastAsia" w:hAnsiTheme="minorEastAsia" w:eastAsiaTheme="minorEastAsia"/>
          <w:b/>
          <w:color w:val="auto"/>
          <w:sz w:val="24"/>
          <w:highlight w:val="none"/>
        </w:rPr>
      </w:pPr>
      <w:bookmarkStart w:id="215" w:name="_Toc23445"/>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bookmarkEnd w:id="215"/>
    </w:p>
    <w:tbl>
      <w:tblPr>
        <w:tblStyle w:val="2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14:paraId="40FC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00AF40FB">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2D699A9B">
            <w:pPr>
              <w:pStyle w:val="12"/>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2EA62662">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招标文件规定的技术参数及要求</w:t>
            </w:r>
          </w:p>
        </w:tc>
        <w:tc>
          <w:tcPr>
            <w:tcW w:w="1456" w:type="pct"/>
            <w:vAlign w:val="center"/>
          </w:tcPr>
          <w:p w14:paraId="2D27B6D9">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776F5A45">
            <w:pPr>
              <w:pStyle w:val="12"/>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0E2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55C58FF">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63B3DBD6">
            <w:pPr>
              <w:jc w:val="center"/>
              <w:rPr>
                <w:rFonts w:asciiTheme="minorEastAsia" w:hAnsiTheme="minorEastAsia" w:eastAsiaTheme="minorEastAsia"/>
                <w:color w:val="auto"/>
                <w:sz w:val="24"/>
                <w:highlight w:val="none"/>
              </w:rPr>
            </w:pPr>
          </w:p>
        </w:tc>
        <w:tc>
          <w:tcPr>
            <w:tcW w:w="1680" w:type="pct"/>
            <w:vAlign w:val="center"/>
          </w:tcPr>
          <w:p w14:paraId="11B61ECE">
            <w:pPr>
              <w:jc w:val="center"/>
              <w:rPr>
                <w:rFonts w:asciiTheme="minorEastAsia" w:hAnsiTheme="minorEastAsia" w:eastAsiaTheme="minorEastAsia"/>
                <w:color w:val="auto"/>
                <w:sz w:val="24"/>
                <w:highlight w:val="none"/>
              </w:rPr>
            </w:pPr>
          </w:p>
        </w:tc>
        <w:tc>
          <w:tcPr>
            <w:tcW w:w="1456" w:type="pct"/>
            <w:vAlign w:val="center"/>
          </w:tcPr>
          <w:p w14:paraId="2A81A73A">
            <w:pPr>
              <w:jc w:val="center"/>
              <w:rPr>
                <w:rFonts w:asciiTheme="minorEastAsia" w:hAnsiTheme="minorEastAsia" w:eastAsiaTheme="minorEastAsia"/>
                <w:color w:val="auto"/>
                <w:sz w:val="24"/>
                <w:highlight w:val="none"/>
              </w:rPr>
            </w:pPr>
          </w:p>
        </w:tc>
        <w:tc>
          <w:tcPr>
            <w:tcW w:w="502" w:type="pct"/>
            <w:vAlign w:val="center"/>
          </w:tcPr>
          <w:p w14:paraId="62BD3450">
            <w:pPr>
              <w:jc w:val="center"/>
              <w:rPr>
                <w:rFonts w:asciiTheme="minorEastAsia" w:hAnsiTheme="minorEastAsia" w:eastAsiaTheme="minorEastAsia"/>
                <w:color w:val="auto"/>
                <w:sz w:val="24"/>
                <w:highlight w:val="none"/>
              </w:rPr>
            </w:pPr>
          </w:p>
        </w:tc>
      </w:tr>
      <w:tr w14:paraId="7379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A8AF829">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29AD169B">
            <w:pPr>
              <w:jc w:val="center"/>
              <w:rPr>
                <w:rFonts w:asciiTheme="minorEastAsia" w:hAnsiTheme="minorEastAsia" w:eastAsiaTheme="minorEastAsia"/>
                <w:color w:val="auto"/>
                <w:sz w:val="24"/>
                <w:highlight w:val="none"/>
              </w:rPr>
            </w:pPr>
          </w:p>
        </w:tc>
        <w:tc>
          <w:tcPr>
            <w:tcW w:w="1680" w:type="pct"/>
            <w:vAlign w:val="center"/>
          </w:tcPr>
          <w:p w14:paraId="2DED9E84">
            <w:pPr>
              <w:jc w:val="center"/>
              <w:rPr>
                <w:rFonts w:asciiTheme="minorEastAsia" w:hAnsiTheme="minorEastAsia" w:eastAsiaTheme="minorEastAsia"/>
                <w:color w:val="auto"/>
                <w:sz w:val="24"/>
                <w:highlight w:val="none"/>
              </w:rPr>
            </w:pPr>
          </w:p>
        </w:tc>
        <w:tc>
          <w:tcPr>
            <w:tcW w:w="1456" w:type="pct"/>
            <w:vAlign w:val="center"/>
          </w:tcPr>
          <w:p w14:paraId="411F3E68">
            <w:pPr>
              <w:jc w:val="center"/>
              <w:rPr>
                <w:rFonts w:asciiTheme="minorEastAsia" w:hAnsiTheme="minorEastAsia" w:eastAsiaTheme="minorEastAsia"/>
                <w:color w:val="auto"/>
                <w:sz w:val="24"/>
                <w:highlight w:val="none"/>
              </w:rPr>
            </w:pPr>
          </w:p>
        </w:tc>
        <w:tc>
          <w:tcPr>
            <w:tcW w:w="502" w:type="pct"/>
            <w:vAlign w:val="center"/>
          </w:tcPr>
          <w:p w14:paraId="23169102">
            <w:pPr>
              <w:jc w:val="center"/>
              <w:rPr>
                <w:rFonts w:asciiTheme="minorEastAsia" w:hAnsiTheme="minorEastAsia" w:eastAsiaTheme="minorEastAsia"/>
                <w:color w:val="auto"/>
                <w:sz w:val="24"/>
                <w:highlight w:val="none"/>
              </w:rPr>
            </w:pPr>
          </w:p>
        </w:tc>
      </w:tr>
      <w:tr w14:paraId="566E0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5C3CBB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401040E0">
            <w:pPr>
              <w:jc w:val="center"/>
              <w:rPr>
                <w:rFonts w:asciiTheme="minorEastAsia" w:hAnsiTheme="minorEastAsia" w:eastAsiaTheme="minorEastAsia"/>
                <w:color w:val="auto"/>
                <w:sz w:val="24"/>
                <w:highlight w:val="none"/>
              </w:rPr>
            </w:pPr>
          </w:p>
        </w:tc>
        <w:tc>
          <w:tcPr>
            <w:tcW w:w="1680" w:type="pct"/>
            <w:vAlign w:val="center"/>
          </w:tcPr>
          <w:p w14:paraId="410FA5A0">
            <w:pPr>
              <w:jc w:val="center"/>
              <w:rPr>
                <w:rFonts w:asciiTheme="minorEastAsia" w:hAnsiTheme="minorEastAsia" w:eastAsiaTheme="minorEastAsia"/>
                <w:color w:val="auto"/>
                <w:sz w:val="24"/>
                <w:highlight w:val="none"/>
              </w:rPr>
            </w:pPr>
          </w:p>
        </w:tc>
        <w:tc>
          <w:tcPr>
            <w:tcW w:w="1456" w:type="pct"/>
            <w:vAlign w:val="center"/>
          </w:tcPr>
          <w:p w14:paraId="79158BE1">
            <w:pPr>
              <w:pStyle w:val="51"/>
              <w:jc w:val="center"/>
              <w:rPr>
                <w:rFonts w:asciiTheme="minorEastAsia" w:hAnsiTheme="minorEastAsia" w:eastAsiaTheme="minorEastAsia"/>
                <w:color w:val="auto"/>
                <w:highlight w:val="none"/>
              </w:rPr>
            </w:pPr>
          </w:p>
        </w:tc>
        <w:tc>
          <w:tcPr>
            <w:tcW w:w="502" w:type="pct"/>
            <w:vAlign w:val="center"/>
          </w:tcPr>
          <w:p w14:paraId="51CD182D">
            <w:pPr>
              <w:jc w:val="center"/>
              <w:rPr>
                <w:rFonts w:asciiTheme="minorEastAsia" w:hAnsiTheme="minorEastAsia" w:eastAsiaTheme="minorEastAsia"/>
                <w:color w:val="auto"/>
                <w:sz w:val="24"/>
                <w:highlight w:val="none"/>
              </w:rPr>
            </w:pPr>
          </w:p>
        </w:tc>
      </w:tr>
      <w:tr w14:paraId="5E611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2740B3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0ECA98CD">
            <w:pPr>
              <w:jc w:val="center"/>
              <w:rPr>
                <w:rFonts w:asciiTheme="minorEastAsia" w:hAnsiTheme="minorEastAsia" w:eastAsiaTheme="minorEastAsia"/>
                <w:color w:val="auto"/>
                <w:sz w:val="24"/>
                <w:highlight w:val="none"/>
              </w:rPr>
            </w:pPr>
          </w:p>
        </w:tc>
        <w:tc>
          <w:tcPr>
            <w:tcW w:w="1680" w:type="pct"/>
            <w:vAlign w:val="center"/>
          </w:tcPr>
          <w:p w14:paraId="4235117A">
            <w:pPr>
              <w:jc w:val="center"/>
              <w:rPr>
                <w:rFonts w:asciiTheme="minorEastAsia" w:hAnsiTheme="minorEastAsia" w:eastAsiaTheme="minorEastAsia"/>
                <w:color w:val="auto"/>
                <w:sz w:val="24"/>
                <w:highlight w:val="none"/>
              </w:rPr>
            </w:pPr>
          </w:p>
        </w:tc>
        <w:tc>
          <w:tcPr>
            <w:tcW w:w="1456" w:type="pct"/>
            <w:vAlign w:val="center"/>
          </w:tcPr>
          <w:p w14:paraId="5A9E69F4">
            <w:pPr>
              <w:pStyle w:val="51"/>
              <w:jc w:val="center"/>
              <w:rPr>
                <w:rFonts w:asciiTheme="minorEastAsia" w:hAnsiTheme="minorEastAsia" w:eastAsiaTheme="minorEastAsia"/>
                <w:color w:val="auto"/>
                <w:highlight w:val="none"/>
              </w:rPr>
            </w:pPr>
          </w:p>
        </w:tc>
        <w:tc>
          <w:tcPr>
            <w:tcW w:w="502" w:type="pct"/>
            <w:vAlign w:val="center"/>
          </w:tcPr>
          <w:p w14:paraId="62CE2BB3">
            <w:pPr>
              <w:jc w:val="center"/>
              <w:rPr>
                <w:rFonts w:asciiTheme="minorEastAsia" w:hAnsiTheme="minorEastAsia" w:eastAsiaTheme="minorEastAsia"/>
                <w:color w:val="auto"/>
                <w:sz w:val="24"/>
                <w:highlight w:val="none"/>
              </w:rPr>
            </w:pPr>
          </w:p>
        </w:tc>
      </w:tr>
      <w:tr w14:paraId="23AFD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478674A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1AEF0F50">
            <w:pPr>
              <w:jc w:val="center"/>
              <w:rPr>
                <w:rFonts w:asciiTheme="minorEastAsia" w:hAnsiTheme="minorEastAsia" w:eastAsiaTheme="minorEastAsia"/>
                <w:color w:val="auto"/>
                <w:sz w:val="24"/>
                <w:highlight w:val="none"/>
              </w:rPr>
            </w:pPr>
          </w:p>
        </w:tc>
        <w:tc>
          <w:tcPr>
            <w:tcW w:w="1680" w:type="pct"/>
            <w:vAlign w:val="center"/>
          </w:tcPr>
          <w:p w14:paraId="6E85071B">
            <w:pPr>
              <w:jc w:val="center"/>
              <w:rPr>
                <w:rFonts w:asciiTheme="minorEastAsia" w:hAnsiTheme="minorEastAsia" w:eastAsiaTheme="minorEastAsia"/>
                <w:color w:val="auto"/>
                <w:sz w:val="24"/>
                <w:highlight w:val="none"/>
              </w:rPr>
            </w:pPr>
          </w:p>
        </w:tc>
        <w:tc>
          <w:tcPr>
            <w:tcW w:w="1456" w:type="pct"/>
            <w:vAlign w:val="center"/>
          </w:tcPr>
          <w:p w14:paraId="2F6648C5">
            <w:pPr>
              <w:jc w:val="center"/>
              <w:rPr>
                <w:rFonts w:asciiTheme="minorEastAsia" w:hAnsiTheme="minorEastAsia" w:eastAsiaTheme="minorEastAsia"/>
                <w:color w:val="auto"/>
                <w:sz w:val="24"/>
                <w:highlight w:val="none"/>
              </w:rPr>
            </w:pPr>
          </w:p>
        </w:tc>
        <w:tc>
          <w:tcPr>
            <w:tcW w:w="502" w:type="pct"/>
            <w:vAlign w:val="center"/>
          </w:tcPr>
          <w:p w14:paraId="22E3CC90">
            <w:pPr>
              <w:jc w:val="center"/>
              <w:rPr>
                <w:rFonts w:asciiTheme="minorEastAsia" w:hAnsiTheme="minorEastAsia" w:eastAsiaTheme="minorEastAsia"/>
                <w:color w:val="auto"/>
                <w:sz w:val="24"/>
                <w:highlight w:val="none"/>
              </w:rPr>
            </w:pPr>
          </w:p>
        </w:tc>
      </w:tr>
    </w:tbl>
    <w:p w14:paraId="25FDEC3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A6B6792">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180D7F4F">
      <w:pPr>
        <w:pStyle w:val="13"/>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06F065E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216" w:name="_Toc31244"/>
      <w:bookmarkStart w:id="217" w:name="_Toc15519"/>
      <w:bookmarkStart w:id="218" w:name="_Toc23599"/>
      <w:bookmarkStart w:id="219" w:name="_Toc9573"/>
      <w:bookmarkStart w:id="220" w:name="_Toc21214"/>
      <w:bookmarkStart w:id="221" w:name="OLE_LINK14"/>
      <w:bookmarkStart w:id="222" w:name="OLE_LINK13"/>
      <w:r>
        <w:rPr>
          <w:rFonts w:hint="eastAsia" w:asciiTheme="minorEastAsia" w:hAnsiTheme="minorEastAsia" w:eastAsiaTheme="minorEastAsia"/>
          <w:b/>
          <w:color w:val="auto"/>
          <w:sz w:val="24"/>
          <w:highlight w:val="none"/>
          <w:lang w:val="en-US" w:eastAsia="zh-CN"/>
        </w:rPr>
        <w:t>七、中小企业声明函</w:t>
      </w:r>
      <w:bookmarkEnd w:id="216"/>
      <w:bookmarkEnd w:id="217"/>
      <w:bookmarkEnd w:id="218"/>
      <w:bookmarkEnd w:id="219"/>
      <w:bookmarkEnd w:id="220"/>
    </w:p>
    <w:p w14:paraId="745ACDA4">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本项目不适用</w:t>
      </w:r>
    </w:p>
    <w:bookmarkEnd w:id="221"/>
    <w:bookmarkEnd w:id="222"/>
    <w:p w14:paraId="430C678E">
      <w:pPr>
        <w:rPr>
          <w:rFonts w:hint="eastAsia" w:asciiTheme="minorEastAsia" w:hAnsiTheme="minorEastAsia" w:eastAsiaTheme="minorEastAsia"/>
          <w:b/>
          <w:bCs/>
          <w:color w:val="auto"/>
          <w:szCs w:val="24"/>
          <w:highlight w:val="none"/>
        </w:rPr>
      </w:pPr>
    </w:p>
    <w:p w14:paraId="6BC85EE4">
      <w:pPr>
        <w:rPr>
          <w:rFonts w:hint="eastAsia" w:asciiTheme="minorEastAsia" w:hAnsiTheme="minorEastAsia" w:eastAsiaTheme="minorEastAsia"/>
          <w:b/>
          <w:bCs/>
          <w:color w:val="auto"/>
          <w:szCs w:val="24"/>
          <w:highlight w:val="none"/>
        </w:rPr>
      </w:pPr>
    </w:p>
    <w:p w14:paraId="45669DE5">
      <w:pPr>
        <w:rPr>
          <w:rFonts w:hint="eastAsia" w:asciiTheme="minorEastAsia" w:hAnsiTheme="minorEastAsia" w:eastAsiaTheme="minorEastAsia"/>
          <w:b/>
          <w:bCs/>
          <w:color w:val="auto"/>
          <w:szCs w:val="24"/>
          <w:highlight w:val="none"/>
        </w:rPr>
      </w:pPr>
    </w:p>
    <w:p w14:paraId="052CBD7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heme="minorEastAsia" w:hAnsiTheme="minorEastAsia" w:eastAsiaTheme="minorEastAsia"/>
          <w:b/>
          <w:color w:val="auto"/>
          <w:sz w:val="24"/>
          <w:highlight w:val="none"/>
          <w:lang w:val="en-US" w:eastAsia="zh-CN"/>
        </w:rPr>
      </w:pPr>
      <w:bookmarkStart w:id="223" w:name="_Toc24563"/>
      <w:bookmarkStart w:id="224" w:name="_Toc20597"/>
      <w:bookmarkStart w:id="225" w:name="_Toc16713"/>
      <w:bookmarkStart w:id="226" w:name="_Toc18994"/>
      <w:bookmarkStart w:id="227" w:name="_Toc27060"/>
      <w:r>
        <w:rPr>
          <w:rFonts w:hint="eastAsia" w:asciiTheme="minorEastAsia" w:hAnsiTheme="minorEastAsia" w:eastAsiaTheme="minorEastAsia"/>
          <w:b/>
          <w:color w:val="auto"/>
          <w:sz w:val="24"/>
          <w:highlight w:val="none"/>
          <w:lang w:val="en-US" w:eastAsia="zh-CN"/>
        </w:rPr>
        <w:t>八、残疾人福利性单位声明函</w:t>
      </w:r>
      <w:bookmarkEnd w:id="223"/>
      <w:bookmarkEnd w:id="224"/>
      <w:bookmarkEnd w:id="225"/>
      <w:bookmarkEnd w:id="226"/>
      <w:bookmarkEnd w:id="227"/>
    </w:p>
    <w:p w14:paraId="59E42948">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本项目不适用</w:t>
      </w:r>
    </w:p>
    <w:p w14:paraId="22933CBC">
      <w:pPr>
        <w:widowControl/>
        <w:jc w:val="left"/>
        <w:rPr>
          <w:rFonts w:asciiTheme="minorEastAsia" w:hAnsiTheme="minorEastAsia" w:eastAsiaTheme="minorEastAsia"/>
          <w:color w:val="auto"/>
          <w:sz w:val="24"/>
          <w:highlight w:val="none"/>
        </w:rPr>
      </w:pPr>
    </w:p>
    <w:p w14:paraId="6E18F999">
      <w:pPr>
        <w:widowControl/>
        <w:jc w:val="left"/>
        <w:rPr>
          <w:rFonts w:asciiTheme="minorEastAsia" w:hAnsiTheme="minorEastAsia" w:eastAsiaTheme="minorEastAsia"/>
          <w:color w:val="auto"/>
          <w:sz w:val="24"/>
          <w:highlight w:val="none"/>
        </w:rPr>
      </w:pPr>
    </w:p>
    <w:p w14:paraId="619E339C">
      <w:pPr>
        <w:widowControl/>
        <w:jc w:val="left"/>
        <w:rPr>
          <w:rFonts w:asciiTheme="minorEastAsia" w:hAnsiTheme="minorEastAsia" w:eastAsiaTheme="minorEastAsia"/>
          <w:color w:val="auto"/>
          <w:sz w:val="24"/>
          <w:highlight w:val="none"/>
        </w:rPr>
      </w:pPr>
    </w:p>
    <w:p w14:paraId="637C3DFD">
      <w:pPr>
        <w:widowControl/>
        <w:jc w:val="left"/>
        <w:rPr>
          <w:rFonts w:asciiTheme="minorEastAsia" w:hAnsiTheme="minorEastAsia" w:eastAsiaTheme="minorEastAsia"/>
          <w:color w:val="auto"/>
          <w:sz w:val="24"/>
          <w:highlight w:val="none"/>
        </w:rPr>
      </w:pPr>
    </w:p>
    <w:p w14:paraId="01FA9EC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宋体" w:hAnsi="宋体" w:eastAsia="宋体" w:cs="@仿宋_GB2312"/>
          <w:b/>
          <w:color w:val="auto"/>
          <w:sz w:val="24"/>
          <w:szCs w:val="20"/>
          <w:highlight w:val="none"/>
        </w:rPr>
      </w:pPr>
      <w:bookmarkStart w:id="228" w:name="_Toc893"/>
      <w:bookmarkStart w:id="229" w:name="_Toc19349"/>
      <w:bookmarkStart w:id="230" w:name="_Toc11280"/>
      <w:bookmarkStart w:id="231" w:name="_Toc457768004"/>
      <w:bookmarkStart w:id="232" w:name="_Toc300210382"/>
      <w:bookmarkStart w:id="233" w:name="_Toc520299348"/>
      <w:bookmarkStart w:id="234" w:name="_Toc25813"/>
      <w:bookmarkStart w:id="235" w:name="_Toc26536"/>
      <w:bookmarkStart w:id="236" w:name="_Hlk11701496"/>
      <w:r>
        <w:rPr>
          <w:rFonts w:hint="eastAsia" w:asciiTheme="minorEastAsia" w:hAnsiTheme="minorEastAsia" w:eastAsiaTheme="minorEastAsia"/>
          <w:b/>
          <w:color w:val="auto"/>
          <w:sz w:val="24"/>
          <w:highlight w:val="none"/>
          <w:lang w:val="en-US" w:eastAsia="zh-CN"/>
        </w:rPr>
        <w:t>九、</w:t>
      </w:r>
      <w:r>
        <w:rPr>
          <w:rFonts w:hint="eastAsia" w:ascii="宋体" w:hAnsi="宋体" w:eastAsia="宋体" w:cs="@仿宋_GB2312"/>
          <w:b/>
          <w:color w:val="auto"/>
          <w:sz w:val="24"/>
          <w:szCs w:val="20"/>
          <w:highlight w:val="none"/>
        </w:rPr>
        <w:t>关于符合本国产品标准的声明函</w:t>
      </w:r>
      <w:bookmarkEnd w:id="228"/>
      <w:bookmarkEnd w:id="229"/>
      <w:bookmarkEnd w:id="230"/>
    </w:p>
    <w:p w14:paraId="2371FD04">
      <w:pPr>
        <w:pStyle w:val="1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i w:val="0"/>
          <w:iCs w:val="0"/>
          <w:caps w:val="0"/>
          <w:color w:val="auto"/>
          <w:spacing w:val="0"/>
          <w:sz w:val="24"/>
          <w:szCs w:val="24"/>
          <w:highlight w:val="none"/>
          <w:u w:val="none"/>
          <w:shd w:val="clear" w:color="auto" w:fill="FFFFFF"/>
          <w:vertAlign w:val="baseline"/>
        </w:rPr>
      </w:pPr>
    </w:p>
    <w:p w14:paraId="6937856A">
      <w:pPr>
        <w:pStyle w:val="8"/>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本项目不适用</w:t>
      </w:r>
    </w:p>
    <w:p w14:paraId="2558B7A4">
      <w:pPr>
        <w:pStyle w:val="22"/>
        <w:rPr>
          <w:rFonts w:hint="eastAsia" w:asciiTheme="minorEastAsia" w:hAnsiTheme="minorEastAsia" w:eastAsiaTheme="minorEastAsia"/>
          <w:b/>
          <w:color w:val="auto"/>
          <w:sz w:val="24"/>
          <w:highlight w:val="none"/>
          <w:lang w:val="en-US" w:eastAsia="zh-CN"/>
        </w:rPr>
      </w:pPr>
    </w:p>
    <w:p w14:paraId="1DCD7B87">
      <w:pPr>
        <w:pStyle w:val="22"/>
        <w:rPr>
          <w:rFonts w:hint="eastAsia" w:asciiTheme="minorEastAsia" w:hAnsiTheme="minorEastAsia" w:eastAsiaTheme="minorEastAsia"/>
          <w:b/>
          <w:color w:val="auto"/>
          <w:sz w:val="24"/>
          <w:highlight w:val="none"/>
          <w:lang w:val="en-US" w:eastAsia="zh-CN"/>
        </w:rPr>
      </w:pPr>
    </w:p>
    <w:p w14:paraId="7ADD9048">
      <w:pPr>
        <w:pStyle w:val="22"/>
        <w:rPr>
          <w:rFonts w:hint="eastAsia" w:asciiTheme="minorEastAsia" w:hAnsiTheme="minorEastAsia" w:eastAsiaTheme="minorEastAsia"/>
          <w:b/>
          <w:color w:val="auto"/>
          <w:sz w:val="24"/>
          <w:highlight w:val="none"/>
          <w:lang w:val="en-US" w:eastAsia="zh-CN"/>
        </w:rPr>
      </w:pPr>
    </w:p>
    <w:p w14:paraId="74321B09">
      <w:pPr>
        <w:pStyle w:val="22"/>
        <w:rPr>
          <w:rFonts w:hint="eastAsia" w:asciiTheme="minorEastAsia" w:hAnsiTheme="minorEastAsia" w:eastAsiaTheme="minorEastAsia"/>
          <w:b/>
          <w:color w:val="auto"/>
          <w:sz w:val="24"/>
          <w:highlight w:val="none"/>
          <w:lang w:val="en-US" w:eastAsia="zh-CN"/>
        </w:rPr>
      </w:pPr>
    </w:p>
    <w:p w14:paraId="725961B6">
      <w:pPr>
        <w:pStyle w:val="22"/>
        <w:rPr>
          <w:rFonts w:hint="eastAsia" w:asciiTheme="minorEastAsia" w:hAnsiTheme="minorEastAsia" w:eastAsiaTheme="minorEastAsia"/>
          <w:b/>
          <w:color w:val="auto"/>
          <w:sz w:val="24"/>
          <w:highlight w:val="none"/>
          <w:lang w:val="en-US" w:eastAsia="zh-CN"/>
        </w:rPr>
      </w:pPr>
    </w:p>
    <w:p w14:paraId="4757A611">
      <w:pPr>
        <w:pStyle w:val="22"/>
        <w:rPr>
          <w:rFonts w:hint="eastAsia" w:asciiTheme="minorEastAsia" w:hAnsiTheme="minorEastAsia" w:eastAsiaTheme="minorEastAsia"/>
          <w:b/>
          <w:color w:val="auto"/>
          <w:sz w:val="24"/>
          <w:highlight w:val="none"/>
          <w:lang w:val="en-US" w:eastAsia="zh-CN"/>
        </w:rPr>
      </w:pPr>
    </w:p>
    <w:p w14:paraId="55CE3FBB">
      <w:pPr>
        <w:pStyle w:val="22"/>
        <w:rPr>
          <w:rFonts w:hint="eastAsia" w:asciiTheme="minorEastAsia" w:hAnsiTheme="minorEastAsia" w:eastAsiaTheme="minorEastAsia"/>
          <w:b/>
          <w:color w:val="auto"/>
          <w:sz w:val="24"/>
          <w:highlight w:val="none"/>
          <w:lang w:val="en-US" w:eastAsia="zh-CN"/>
        </w:rPr>
      </w:pPr>
    </w:p>
    <w:p w14:paraId="3123D93E">
      <w:pPr>
        <w:pStyle w:val="22"/>
        <w:rPr>
          <w:rFonts w:hint="eastAsia" w:asciiTheme="minorEastAsia" w:hAnsiTheme="minorEastAsia" w:eastAsiaTheme="minorEastAsia"/>
          <w:b/>
          <w:color w:val="auto"/>
          <w:sz w:val="24"/>
          <w:highlight w:val="none"/>
          <w:lang w:val="en-US" w:eastAsia="zh-CN"/>
        </w:rPr>
      </w:pPr>
    </w:p>
    <w:p w14:paraId="02291A01">
      <w:pPr>
        <w:pStyle w:val="22"/>
        <w:rPr>
          <w:rFonts w:hint="eastAsia" w:asciiTheme="minorEastAsia" w:hAnsiTheme="minorEastAsia" w:eastAsiaTheme="minorEastAsia"/>
          <w:b/>
          <w:color w:val="auto"/>
          <w:sz w:val="24"/>
          <w:highlight w:val="none"/>
          <w:lang w:val="en-US" w:eastAsia="zh-CN"/>
        </w:rPr>
      </w:pPr>
    </w:p>
    <w:p w14:paraId="64A2156E">
      <w:pPr>
        <w:pStyle w:val="22"/>
        <w:rPr>
          <w:rFonts w:hint="eastAsia" w:asciiTheme="minorEastAsia" w:hAnsiTheme="minorEastAsia" w:eastAsiaTheme="minorEastAsia"/>
          <w:b/>
          <w:color w:val="auto"/>
          <w:sz w:val="24"/>
          <w:highlight w:val="none"/>
          <w:lang w:val="en-US" w:eastAsia="zh-CN"/>
        </w:rPr>
      </w:pPr>
    </w:p>
    <w:p w14:paraId="04358E27">
      <w:pPr>
        <w:pStyle w:val="22"/>
        <w:rPr>
          <w:rFonts w:hint="eastAsia" w:asciiTheme="minorEastAsia" w:hAnsiTheme="minorEastAsia" w:eastAsiaTheme="minorEastAsia"/>
          <w:b/>
          <w:color w:val="auto"/>
          <w:sz w:val="24"/>
          <w:highlight w:val="none"/>
          <w:lang w:val="en-US" w:eastAsia="zh-CN"/>
        </w:rPr>
      </w:pPr>
    </w:p>
    <w:p w14:paraId="30597600">
      <w:pPr>
        <w:pStyle w:val="22"/>
        <w:rPr>
          <w:rFonts w:hint="eastAsia" w:asciiTheme="minorEastAsia" w:hAnsiTheme="minorEastAsia" w:eastAsiaTheme="minorEastAsia"/>
          <w:b/>
          <w:color w:val="auto"/>
          <w:sz w:val="24"/>
          <w:highlight w:val="none"/>
          <w:lang w:val="en-US" w:eastAsia="zh-CN"/>
        </w:rPr>
      </w:pPr>
    </w:p>
    <w:p w14:paraId="1052667C">
      <w:pPr>
        <w:pStyle w:val="22"/>
        <w:ind w:left="0" w:leftChars="0" w:firstLine="0" w:firstLineChars="0"/>
        <w:rPr>
          <w:rFonts w:hint="eastAsia" w:asciiTheme="minorEastAsia" w:hAnsiTheme="minorEastAsia" w:eastAsiaTheme="minorEastAsia"/>
          <w:b/>
          <w:color w:val="auto"/>
          <w:sz w:val="24"/>
          <w:highlight w:val="none"/>
          <w:lang w:val="en-US" w:eastAsia="zh-CN"/>
        </w:rPr>
      </w:pPr>
    </w:p>
    <w:p w14:paraId="2B1E28EC">
      <w:pPr>
        <w:spacing w:line="240" w:lineRule="auto"/>
        <w:jc w:val="left"/>
        <w:outlineLvl w:val="9"/>
        <w:rPr>
          <w:rFonts w:hint="eastAsia" w:asciiTheme="minorEastAsia" w:hAnsiTheme="minorEastAsia" w:eastAsiaTheme="minorEastAsia"/>
          <w:b/>
          <w:color w:val="auto"/>
          <w:sz w:val="24"/>
          <w:highlight w:val="none"/>
          <w:lang w:val="en-US" w:eastAsia="zh-CN"/>
        </w:rPr>
      </w:pPr>
      <w:bookmarkStart w:id="237" w:name="_Toc17932"/>
      <w:bookmarkStart w:id="238" w:name="_Toc10245"/>
      <w:bookmarkStart w:id="239" w:name="_Toc24588"/>
      <w:r>
        <w:rPr>
          <w:rFonts w:hint="eastAsia" w:asciiTheme="minorEastAsia" w:hAnsiTheme="minorEastAsia" w:eastAsiaTheme="minorEastAsia"/>
          <w:b/>
          <w:color w:val="auto"/>
          <w:sz w:val="24"/>
          <w:highlight w:val="none"/>
          <w:lang w:val="en-US" w:eastAsia="zh-CN"/>
        </w:rPr>
        <w:br w:type="page"/>
      </w:r>
    </w:p>
    <w:p w14:paraId="40DF3B3A">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w:t>
      </w:r>
      <w:bookmarkEnd w:id="231"/>
      <w:bookmarkEnd w:id="232"/>
      <w:bookmarkEnd w:id="233"/>
      <w:r>
        <w:rPr>
          <w:rFonts w:hint="eastAsia" w:asciiTheme="minorEastAsia" w:hAnsiTheme="minorEastAsia" w:eastAsiaTheme="minorEastAsia"/>
          <w:b/>
          <w:color w:val="auto"/>
          <w:sz w:val="24"/>
          <w:highlight w:val="none"/>
          <w:lang w:val="en-US" w:eastAsia="zh-CN"/>
        </w:rPr>
        <w:t>诚信履约承诺函</w:t>
      </w:r>
      <w:bookmarkEnd w:id="234"/>
      <w:bookmarkEnd w:id="235"/>
      <w:bookmarkEnd w:id="237"/>
      <w:bookmarkEnd w:id="238"/>
      <w:bookmarkEnd w:id="239"/>
    </w:p>
    <w:p w14:paraId="0E258856">
      <w:pPr>
        <w:spacing w:line="360" w:lineRule="auto"/>
        <w:rPr>
          <w:rFonts w:asciiTheme="minorEastAsia" w:hAnsiTheme="minorEastAsia" w:eastAsiaTheme="minorEastAsia"/>
          <w:b/>
          <w:bCs/>
          <w:color w:val="auto"/>
          <w:sz w:val="24"/>
          <w:highlight w:val="none"/>
        </w:rPr>
      </w:pPr>
    </w:p>
    <w:p w14:paraId="5D73717C">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27EDFBFB">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w:t>
      </w:r>
      <w:r>
        <w:rPr>
          <w:rFonts w:hint="eastAsia" w:asciiTheme="minorEastAsia" w:hAnsiTheme="minorEastAsia" w:eastAsiaTheme="minorEastAsia"/>
          <w:bCs/>
          <w:color w:val="auto"/>
          <w:sz w:val="24"/>
          <w:highlight w:val="none"/>
          <w:lang w:val="en-US" w:eastAsia="zh-CN"/>
        </w:rPr>
        <w:t>民法典</w:t>
      </w:r>
      <w:r>
        <w:rPr>
          <w:rFonts w:hint="eastAsia" w:asciiTheme="minorEastAsia" w:hAnsiTheme="minorEastAsia" w:eastAsiaTheme="minorEastAsia"/>
          <w:bCs/>
          <w:color w:val="auto"/>
          <w:sz w:val="24"/>
          <w:highlight w:val="none"/>
        </w:rPr>
        <w:t>》及本项目采购文件中关于合同签订及履约的相关规定，不出现以下情形：</w:t>
      </w:r>
    </w:p>
    <w:p w14:paraId="46406100">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（1）中标或者成交后无正当理由拒不与采购人签订采购合同；</w:t>
      </w:r>
    </w:p>
    <w:p w14:paraId="51B3477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（2）未按照采购文件确定的事项签订采购合同；</w:t>
      </w:r>
    </w:p>
    <w:p w14:paraId="4296A2D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（3）将采购合同转包；</w:t>
      </w:r>
    </w:p>
    <w:p w14:paraId="672494C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0240121A">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（5）擅自变更、中止或者终止采购合同。</w:t>
      </w:r>
    </w:p>
    <w:p w14:paraId="32AAE4B2">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w:t>
      </w:r>
      <w:r>
        <w:rPr>
          <w:rFonts w:hint="eastAsia" w:asciiTheme="minorEastAsia" w:hAnsiTheme="minorEastAsia" w:eastAsiaTheme="minorEastAsia"/>
          <w:bCs/>
          <w:color w:val="auto"/>
          <w:sz w:val="24"/>
          <w:highlight w:val="none"/>
          <w:lang w:val="en-US" w:eastAsia="zh-CN"/>
        </w:rPr>
        <w:t>采购人组织的</w:t>
      </w:r>
      <w:r>
        <w:rPr>
          <w:rFonts w:hint="eastAsia" w:asciiTheme="minorEastAsia" w:hAnsiTheme="minorEastAsia" w:eastAsiaTheme="minorEastAsia"/>
          <w:bCs/>
          <w:color w:val="auto"/>
          <w:sz w:val="24"/>
          <w:highlight w:val="none"/>
        </w:rPr>
        <w:t>采购活动，有违法所得的，并处没收违法所得，情节严重的，由工商行政管理机关吊销营业执照；构成犯罪的，依法追究刑事责任。</w:t>
      </w:r>
    </w:p>
    <w:p w14:paraId="030B2D9C">
      <w:pPr>
        <w:spacing w:line="360" w:lineRule="auto"/>
        <w:rPr>
          <w:rFonts w:asciiTheme="minorEastAsia" w:hAnsiTheme="minorEastAsia" w:eastAsiaTheme="minorEastAsia"/>
          <w:bCs/>
          <w:color w:val="auto"/>
          <w:sz w:val="24"/>
          <w:highlight w:val="none"/>
        </w:rPr>
      </w:pPr>
    </w:p>
    <w:p w14:paraId="3FC54976">
      <w:pPr>
        <w:spacing w:line="360" w:lineRule="auto"/>
        <w:rPr>
          <w:rFonts w:asciiTheme="minorEastAsia" w:hAnsiTheme="minorEastAsia" w:eastAsiaTheme="minorEastAsia"/>
          <w:bCs/>
          <w:color w:val="auto"/>
          <w:sz w:val="24"/>
          <w:highlight w:val="none"/>
        </w:rPr>
      </w:pPr>
    </w:p>
    <w:p w14:paraId="032B6DC0">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219D177E">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45FE8DAB">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236"/>
    <w:p w14:paraId="0E2B6030">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40" w:name="_Toc9205"/>
      <w:bookmarkStart w:id="241" w:name="_Toc2683"/>
      <w:bookmarkStart w:id="242" w:name="_Toc32633"/>
      <w:bookmarkStart w:id="243" w:name="_Toc31218"/>
      <w:bookmarkStart w:id="244" w:name="_Toc25564"/>
      <w:r>
        <w:rPr>
          <w:rFonts w:hint="eastAsia" w:asciiTheme="minorEastAsia" w:hAnsiTheme="minorEastAsia" w:eastAsiaTheme="minorEastAsia"/>
          <w:b/>
          <w:color w:val="auto"/>
          <w:sz w:val="24"/>
          <w:highlight w:val="none"/>
          <w:lang w:val="en-US" w:eastAsia="zh-CN"/>
        </w:rPr>
        <w:t>十一、其他相关证明材料</w:t>
      </w:r>
      <w:bookmarkEnd w:id="240"/>
      <w:bookmarkEnd w:id="241"/>
      <w:bookmarkEnd w:id="242"/>
      <w:bookmarkEnd w:id="243"/>
      <w:bookmarkEnd w:id="244"/>
    </w:p>
    <w:p w14:paraId="48C537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732DA80E">
      <w:pPr>
        <w:spacing w:line="360" w:lineRule="auto"/>
        <w:ind w:firstLine="480" w:firstLineChars="200"/>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如无行贿犯罪记录承诺函、投标保证金缴纳证明材料、技术参数及业绩证明材料等。</w:t>
      </w:r>
    </w:p>
    <w:p w14:paraId="0EF54B81">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6D0C074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1BAB6A4B">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4E44E95B">
      <w:pPr>
        <w:spacing w:line="360" w:lineRule="auto"/>
        <w:jc w:val="center"/>
        <w:outlineLvl w:val="0"/>
        <w:rPr>
          <w:rFonts w:ascii="宋体" w:hAnsi="宋体" w:eastAsia="宋体"/>
          <w:b/>
          <w:bCs/>
          <w:color w:val="auto"/>
          <w:sz w:val="28"/>
          <w:highlight w:val="none"/>
        </w:rPr>
      </w:pPr>
      <w:bookmarkStart w:id="245" w:name="_Toc30549"/>
      <w:bookmarkStart w:id="246" w:name="_Toc6435"/>
      <w:bookmarkStart w:id="247" w:name="_Toc1725"/>
      <w:bookmarkStart w:id="248" w:name="_Toc14973"/>
      <w:bookmarkStart w:id="249" w:name="_Toc17931"/>
      <w:bookmarkStart w:id="250" w:name="_Toc23702"/>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45"/>
      <w:bookmarkEnd w:id="246"/>
      <w:bookmarkEnd w:id="247"/>
      <w:bookmarkEnd w:id="248"/>
      <w:bookmarkEnd w:id="249"/>
      <w:bookmarkEnd w:id="250"/>
    </w:p>
    <w:p w14:paraId="7A40B900">
      <w:pPr>
        <w:spacing w:line="360" w:lineRule="auto"/>
        <w:jc w:val="center"/>
        <w:outlineLvl w:val="1"/>
        <w:rPr>
          <w:rFonts w:ascii="仿宋" w:hAnsi="仿宋" w:eastAsia="仿宋" w:cs="仿宋"/>
          <w:b/>
          <w:bCs/>
          <w:color w:val="auto"/>
          <w:sz w:val="32"/>
          <w:szCs w:val="44"/>
          <w:highlight w:val="none"/>
        </w:rPr>
      </w:pPr>
      <w:bookmarkStart w:id="251" w:name="_Toc27159"/>
      <w:bookmarkStart w:id="252" w:name="_Toc31623"/>
      <w:bookmarkStart w:id="253" w:name="_Toc23250"/>
      <w:bookmarkStart w:id="254" w:name="_Toc31642"/>
      <w:bookmarkStart w:id="255" w:name="_Toc27489"/>
      <w:r>
        <w:rPr>
          <w:rFonts w:hint="eastAsia" w:ascii="仿宋" w:hAnsi="仿宋" w:eastAsia="仿宋" w:cs="仿宋"/>
          <w:b/>
          <w:bCs/>
          <w:color w:val="auto"/>
          <w:sz w:val="32"/>
          <w:szCs w:val="44"/>
          <w:highlight w:val="none"/>
        </w:rPr>
        <w:t>询问函范本</w:t>
      </w:r>
      <w:bookmarkEnd w:id="251"/>
      <w:bookmarkEnd w:id="252"/>
      <w:bookmarkEnd w:id="253"/>
      <w:bookmarkEnd w:id="254"/>
      <w:bookmarkEnd w:id="255"/>
    </w:p>
    <w:p w14:paraId="6CE43A10">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2AF82789">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828A08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3123B7C">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56" w:name="_Toc13899"/>
      <w:r>
        <w:rPr>
          <w:rFonts w:hint="eastAsia" w:cs="仿宋" w:asciiTheme="minorEastAsia" w:hAnsiTheme="minorEastAsia" w:eastAsiaTheme="minorEastAsia"/>
          <w:color w:val="auto"/>
          <w:sz w:val="24"/>
          <w:szCs w:val="24"/>
          <w:highlight w:val="none"/>
        </w:rPr>
        <w:t>一、(事项一)</w:t>
      </w:r>
      <w:bookmarkEnd w:id="256"/>
    </w:p>
    <w:p w14:paraId="1819F101">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75CF52F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7131742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BFB1D19">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57" w:name="_Toc3352"/>
      <w:r>
        <w:rPr>
          <w:rFonts w:hint="eastAsia" w:cs="仿宋" w:asciiTheme="minorEastAsia" w:hAnsiTheme="minorEastAsia" w:eastAsiaTheme="minorEastAsia"/>
          <w:color w:val="auto"/>
          <w:sz w:val="24"/>
          <w:szCs w:val="24"/>
          <w:highlight w:val="none"/>
        </w:rPr>
        <w:t>二、(事项二)</w:t>
      </w:r>
      <w:bookmarkEnd w:id="257"/>
    </w:p>
    <w:p w14:paraId="0B8BB9E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D5B281D">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4C1AC0F0">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67B9DFB">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BE75B5B">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71388629">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0199CB6E">
      <w:pPr>
        <w:jc w:val="center"/>
        <w:outlineLvl w:val="1"/>
        <w:rPr>
          <w:rFonts w:ascii="仿宋" w:hAnsi="仿宋" w:eastAsia="仿宋" w:cs="仿宋"/>
          <w:b/>
          <w:bCs/>
          <w:color w:val="auto"/>
          <w:sz w:val="32"/>
          <w:szCs w:val="44"/>
          <w:highlight w:val="none"/>
        </w:rPr>
      </w:pPr>
      <w:bookmarkStart w:id="258" w:name="_Toc3245"/>
      <w:bookmarkStart w:id="259" w:name="_Toc1575"/>
      <w:bookmarkStart w:id="260" w:name="_Toc485"/>
      <w:bookmarkStart w:id="261" w:name="_Toc13627"/>
      <w:bookmarkStart w:id="262" w:name="_Toc19895"/>
      <w:r>
        <w:rPr>
          <w:rFonts w:hint="eastAsia" w:ascii="仿宋" w:hAnsi="仿宋" w:eastAsia="仿宋" w:cs="仿宋"/>
          <w:b/>
          <w:bCs/>
          <w:color w:val="auto"/>
          <w:sz w:val="32"/>
          <w:szCs w:val="44"/>
          <w:highlight w:val="none"/>
        </w:rPr>
        <w:t>质疑函范本</w:t>
      </w:r>
      <w:bookmarkEnd w:id="258"/>
      <w:bookmarkEnd w:id="259"/>
      <w:bookmarkEnd w:id="260"/>
      <w:bookmarkEnd w:id="261"/>
      <w:bookmarkEnd w:id="262"/>
    </w:p>
    <w:p w14:paraId="5906BD0D">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263" w:name="_Toc21381"/>
      <w:r>
        <w:rPr>
          <w:rFonts w:hint="eastAsia" w:cs="仿宋" w:asciiTheme="minorEastAsia" w:hAnsiTheme="minorEastAsia" w:eastAsiaTheme="minorEastAsia"/>
          <w:b/>
          <w:bCs/>
          <w:color w:val="auto"/>
          <w:sz w:val="24"/>
          <w:szCs w:val="24"/>
          <w:highlight w:val="none"/>
        </w:rPr>
        <w:t>一、质疑供应商基本信息</w:t>
      </w:r>
      <w:bookmarkEnd w:id="263"/>
    </w:p>
    <w:p w14:paraId="6804775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0D9EA64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E5CB7F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4B1510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0E96A2A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562081D1">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4D320F33">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64" w:name="_Toc28415"/>
      <w:r>
        <w:rPr>
          <w:rFonts w:hint="eastAsia" w:cs="仿宋" w:asciiTheme="minorEastAsia" w:hAnsiTheme="minorEastAsia" w:eastAsiaTheme="minorEastAsia"/>
          <w:b/>
          <w:bCs/>
          <w:color w:val="auto"/>
          <w:sz w:val="24"/>
          <w:szCs w:val="24"/>
          <w:highlight w:val="none"/>
        </w:rPr>
        <w:t>二、质疑项目基本情况</w:t>
      </w:r>
      <w:bookmarkEnd w:id="264"/>
    </w:p>
    <w:p w14:paraId="2860C14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502647A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5DBDEA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2D0895B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50ED8362">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65" w:name="_Toc19014"/>
      <w:r>
        <w:rPr>
          <w:rFonts w:hint="eastAsia" w:cs="仿宋" w:asciiTheme="minorEastAsia" w:hAnsiTheme="minorEastAsia" w:eastAsiaTheme="minorEastAsia"/>
          <w:b/>
          <w:bCs/>
          <w:color w:val="auto"/>
          <w:sz w:val="24"/>
          <w:szCs w:val="24"/>
          <w:highlight w:val="none"/>
        </w:rPr>
        <w:t>三、质疑事项具体内容</w:t>
      </w:r>
      <w:bookmarkEnd w:id="265"/>
    </w:p>
    <w:p w14:paraId="7A46C70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68D20E3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0C02678">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0E2259F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B034B4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7785DD7F">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62F223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44CD7DF7">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66" w:name="_Toc17919"/>
      <w:r>
        <w:rPr>
          <w:rFonts w:hint="eastAsia" w:cs="仿宋" w:asciiTheme="minorEastAsia" w:hAnsiTheme="minorEastAsia" w:eastAsiaTheme="minorEastAsia"/>
          <w:b/>
          <w:bCs/>
          <w:color w:val="auto"/>
          <w:sz w:val="24"/>
          <w:szCs w:val="24"/>
          <w:highlight w:val="none"/>
        </w:rPr>
        <w:t>四、与质疑事项相关的质疑请求</w:t>
      </w:r>
      <w:bookmarkEnd w:id="266"/>
    </w:p>
    <w:p w14:paraId="18CD4FC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5373188">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066F4DAB">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4D174E90">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1CC46BFA">
      <w:pPr>
        <w:outlineLvl w:val="0"/>
        <w:rPr>
          <w:rFonts w:asciiTheme="minorEastAsia" w:hAnsiTheme="minorEastAsia" w:eastAsiaTheme="minorEastAsia"/>
          <w:b/>
          <w:color w:val="auto"/>
          <w:sz w:val="28"/>
          <w:szCs w:val="32"/>
          <w:highlight w:val="none"/>
        </w:rPr>
      </w:pPr>
      <w:bookmarkStart w:id="267" w:name="_Toc9754"/>
      <w:bookmarkStart w:id="268" w:name="_Toc15531"/>
      <w:bookmarkStart w:id="269" w:name="_Toc26836"/>
      <w:bookmarkStart w:id="270" w:name="_Toc4084"/>
      <w:bookmarkStart w:id="271" w:name="_Toc2094"/>
      <w:bookmarkStart w:id="272" w:name="_Toc28081"/>
      <w:bookmarkStart w:id="273" w:name="_Toc10244"/>
      <w:r>
        <w:rPr>
          <w:rFonts w:hint="eastAsia" w:asciiTheme="minorEastAsia" w:hAnsiTheme="minorEastAsia" w:eastAsiaTheme="minorEastAsia"/>
          <w:b/>
          <w:color w:val="auto"/>
          <w:sz w:val="28"/>
          <w:szCs w:val="32"/>
          <w:highlight w:val="none"/>
        </w:rPr>
        <w:t>质疑函制作说明：</w:t>
      </w:r>
      <w:bookmarkEnd w:id="267"/>
      <w:bookmarkEnd w:id="268"/>
      <w:bookmarkEnd w:id="269"/>
      <w:bookmarkEnd w:id="270"/>
      <w:bookmarkEnd w:id="271"/>
      <w:bookmarkEnd w:id="272"/>
      <w:bookmarkEnd w:id="273"/>
    </w:p>
    <w:p w14:paraId="72184C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1FEB506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658EA3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33684A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42446CC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186B40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B3C87">
    <w:pPr>
      <w:pStyle w:val="15"/>
      <w:jc w:val="center"/>
      <w:rPr>
        <w:rFonts w:asciiTheme="minorEastAsia" w:hAnsiTheme="minorEastAsia" w:eastAsiaTheme="minorEastAsia"/>
        <w:sz w:val="21"/>
        <w:szCs w:val="21"/>
      </w:rPr>
    </w:pPr>
    <w:r>
      <w:rPr>
        <w:rFonts w:ascii="Times New Roman" w:hAnsi="Times New Roman" w:eastAsia="宋体"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3243580" y="9914255"/>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4F355C">
                          <w:pPr>
                            <w:snapToGrid w:val="0"/>
                            <w:jc w:val="left"/>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&#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LNJWO7QAAAABQEAAA8AAAAAAAAAAQAgAAAAIgAAAGRy&#10;cy9kb3ducmV2LnhtbFBLAQIUABQAAAAIAIdO4kB+p/XgRgIAAHsEAAAOAAAAAAAAAAEAIAAAAB8B&#10;AABkcnMvZTJvRG9jLnhtbFBLBQYAAAAABgAGAFkBAADXBQAAAAA=&#10;">
              <v:fill on="f" focussize="0,0"/>
              <v:stroke on="f" weight="0.5pt"/>
              <v:imagedata o:title=""/>
              <o:lock v:ext="edit" aspectratio="f"/>
              <v:textbox inset="0mm,0mm,0mm,0mm" style="mso-fit-shape-to-text:t;">
                <w:txbxContent>
                  <w:p w14:paraId="454F355C">
                    <w:pPr>
                      <w:snapToGrid w:val="0"/>
                      <w:jc w:val="left"/>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37FE3">
    <w:pPr>
      <w:pStyle w:val="1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F25B2D">
                          <w:pPr>
                            <w:pStyle w:val="15"/>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15F25B2D">
                    <w:pPr>
                      <w:pStyle w:val="15"/>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58</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71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2B497">
    <w:pPr>
      <w:pStyle w:val="16"/>
      <w:jc w:val="center"/>
      <w:rPr>
        <w:rFonts w:asciiTheme="minorEastAsia" w:hAnsiTheme="minorEastAsia" w:eastAsiaTheme="minorEastAsia"/>
      </w:rPr>
    </w:pPr>
    <w:r>
      <w:rPr>
        <w:rFonts w:hint="eastAsia" w:asciiTheme="minorEastAsia" w:hAnsiTheme="minorEastAsia" w:eastAsiaTheme="minorEastAsia"/>
        <w:lang w:val="en-US" w:eastAsia="zh-CN"/>
      </w:rPr>
      <w:t>宿州市立医院儿童电子支气管镜采购项目                                                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2532E">
    <w:pPr>
      <w:pStyle w:val="16"/>
      <w:jc w:val="center"/>
      <w:rPr>
        <w:rFonts w:hint="eastAsia"/>
      </w:rPr>
    </w:pPr>
    <w:r>
      <w:rPr>
        <w:rFonts w:hint="eastAsia" w:asciiTheme="minorEastAsia" w:hAnsiTheme="minorEastAsia" w:eastAsiaTheme="minorEastAsia"/>
        <w:lang w:val="en-US" w:eastAsia="zh-CN"/>
      </w:rPr>
      <w:t>宿州市立医院儿童电子支气管镜采购项目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7A0F6431"/>
    <w:multiLevelType w:val="singleLevel"/>
    <w:tmpl w:val="7A0F6431"/>
    <w:lvl w:ilvl="0" w:tentative="0">
      <w:start w:val="1"/>
      <w:numFmt w:val="decimal"/>
      <w:suff w:val="space"/>
      <w:lvlText w:val="%1."/>
      <w:lvlJc w:val="left"/>
    </w:lvl>
  </w:abstractNum>
  <w:num w:numId="1">
    <w:abstractNumId w:val="6"/>
  </w:num>
  <w:num w:numId="2">
    <w:abstractNumId w:val="1"/>
  </w:num>
  <w:num w:numId="3">
    <w:abstractNumId w:val="5"/>
  </w:num>
  <w:num w:numId="4">
    <w:abstractNumId w:val="3"/>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5F65"/>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176"/>
    <w:rsid w:val="00A9176A"/>
    <w:rsid w:val="00A91CA2"/>
    <w:rsid w:val="00A92FB8"/>
    <w:rsid w:val="00A948F1"/>
    <w:rsid w:val="00A95215"/>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1942"/>
    <w:rsid w:val="00FE348D"/>
    <w:rsid w:val="00FE51C8"/>
    <w:rsid w:val="00FE53B6"/>
    <w:rsid w:val="00FE72A6"/>
    <w:rsid w:val="00FF0ABF"/>
    <w:rsid w:val="00FF0DA7"/>
    <w:rsid w:val="00FF44E0"/>
    <w:rsid w:val="00FF4CB6"/>
    <w:rsid w:val="00FF5834"/>
    <w:rsid w:val="00FF6C72"/>
    <w:rsid w:val="0116357F"/>
    <w:rsid w:val="017B1BF9"/>
    <w:rsid w:val="01C87E6A"/>
    <w:rsid w:val="01E93A1B"/>
    <w:rsid w:val="0214602E"/>
    <w:rsid w:val="02F706AB"/>
    <w:rsid w:val="03486B27"/>
    <w:rsid w:val="035148F2"/>
    <w:rsid w:val="039A317B"/>
    <w:rsid w:val="040A094E"/>
    <w:rsid w:val="0430257D"/>
    <w:rsid w:val="04800E71"/>
    <w:rsid w:val="056F201D"/>
    <w:rsid w:val="05B4696C"/>
    <w:rsid w:val="05B664D4"/>
    <w:rsid w:val="064B485A"/>
    <w:rsid w:val="068C65C4"/>
    <w:rsid w:val="07076C01"/>
    <w:rsid w:val="071C12AC"/>
    <w:rsid w:val="071D160C"/>
    <w:rsid w:val="076A41F5"/>
    <w:rsid w:val="07A934B3"/>
    <w:rsid w:val="07EB6287"/>
    <w:rsid w:val="0806421B"/>
    <w:rsid w:val="081203E6"/>
    <w:rsid w:val="0980799C"/>
    <w:rsid w:val="09944B8E"/>
    <w:rsid w:val="09DA06B8"/>
    <w:rsid w:val="0A6A18DB"/>
    <w:rsid w:val="0A975B48"/>
    <w:rsid w:val="0AEF3828"/>
    <w:rsid w:val="0B0F2CD6"/>
    <w:rsid w:val="0B406381"/>
    <w:rsid w:val="0BB452AA"/>
    <w:rsid w:val="0BBB665B"/>
    <w:rsid w:val="0C9A18AF"/>
    <w:rsid w:val="0D6D36A0"/>
    <w:rsid w:val="0ED13BCA"/>
    <w:rsid w:val="0ED6011D"/>
    <w:rsid w:val="0EEA6FC1"/>
    <w:rsid w:val="0F1F2E38"/>
    <w:rsid w:val="0F790928"/>
    <w:rsid w:val="0FE3448F"/>
    <w:rsid w:val="100C4DB5"/>
    <w:rsid w:val="105F3DEA"/>
    <w:rsid w:val="10A122E9"/>
    <w:rsid w:val="10CD72BB"/>
    <w:rsid w:val="11B60016"/>
    <w:rsid w:val="12197477"/>
    <w:rsid w:val="131B5CD3"/>
    <w:rsid w:val="13776448"/>
    <w:rsid w:val="1414458E"/>
    <w:rsid w:val="1466407E"/>
    <w:rsid w:val="14834E28"/>
    <w:rsid w:val="148E7D65"/>
    <w:rsid w:val="14EA3C75"/>
    <w:rsid w:val="15231BF9"/>
    <w:rsid w:val="15270FA2"/>
    <w:rsid w:val="15C4546D"/>
    <w:rsid w:val="15D93FBE"/>
    <w:rsid w:val="16884C04"/>
    <w:rsid w:val="194D2597"/>
    <w:rsid w:val="1956724E"/>
    <w:rsid w:val="1A064976"/>
    <w:rsid w:val="1A065B3D"/>
    <w:rsid w:val="1A3B68AA"/>
    <w:rsid w:val="1A3E1C1E"/>
    <w:rsid w:val="1A584F56"/>
    <w:rsid w:val="1AF43A34"/>
    <w:rsid w:val="1B0937E5"/>
    <w:rsid w:val="1B4209E2"/>
    <w:rsid w:val="1B6F4F40"/>
    <w:rsid w:val="1C141836"/>
    <w:rsid w:val="1C2563C6"/>
    <w:rsid w:val="1C76537D"/>
    <w:rsid w:val="1C8E6A60"/>
    <w:rsid w:val="1DBE2A6A"/>
    <w:rsid w:val="1E223F72"/>
    <w:rsid w:val="1E6B6A14"/>
    <w:rsid w:val="20335D4D"/>
    <w:rsid w:val="20550D9A"/>
    <w:rsid w:val="20FA313A"/>
    <w:rsid w:val="21372E35"/>
    <w:rsid w:val="218E2416"/>
    <w:rsid w:val="21D72D6C"/>
    <w:rsid w:val="226915FE"/>
    <w:rsid w:val="229273EC"/>
    <w:rsid w:val="231221EE"/>
    <w:rsid w:val="23BC656D"/>
    <w:rsid w:val="241804A5"/>
    <w:rsid w:val="24B97929"/>
    <w:rsid w:val="24D632D7"/>
    <w:rsid w:val="27D65DBA"/>
    <w:rsid w:val="285F40CA"/>
    <w:rsid w:val="289E1AF0"/>
    <w:rsid w:val="28C01ECB"/>
    <w:rsid w:val="29B9024C"/>
    <w:rsid w:val="29BF71E3"/>
    <w:rsid w:val="29C619FE"/>
    <w:rsid w:val="29D6387F"/>
    <w:rsid w:val="2A127B63"/>
    <w:rsid w:val="2A451A6C"/>
    <w:rsid w:val="2A8F294D"/>
    <w:rsid w:val="2AAA4765"/>
    <w:rsid w:val="2AC21606"/>
    <w:rsid w:val="2AD63D42"/>
    <w:rsid w:val="2B7E7608"/>
    <w:rsid w:val="2B7F04E9"/>
    <w:rsid w:val="2B8B554A"/>
    <w:rsid w:val="2B8E0EAF"/>
    <w:rsid w:val="2D496D68"/>
    <w:rsid w:val="2E7A48DE"/>
    <w:rsid w:val="2EBA5177"/>
    <w:rsid w:val="2EC35DF5"/>
    <w:rsid w:val="2EDC3ED8"/>
    <w:rsid w:val="2F104B00"/>
    <w:rsid w:val="2F6351B4"/>
    <w:rsid w:val="2FC86126"/>
    <w:rsid w:val="2FCF199E"/>
    <w:rsid w:val="30483E83"/>
    <w:rsid w:val="308B1BCC"/>
    <w:rsid w:val="30A6152A"/>
    <w:rsid w:val="30BF3991"/>
    <w:rsid w:val="30C40F02"/>
    <w:rsid w:val="3111619A"/>
    <w:rsid w:val="319775DB"/>
    <w:rsid w:val="31B139DC"/>
    <w:rsid w:val="31F369F1"/>
    <w:rsid w:val="32497AF3"/>
    <w:rsid w:val="333F235D"/>
    <w:rsid w:val="338D4C23"/>
    <w:rsid w:val="34000F51"/>
    <w:rsid w:val="34237707"/>
    <w:rsid w:val="343C0775"/>
    <w:rsid w:val="356C50EC"/>
    <w:rsid w:val="36137E45"/>
    <w:rsid w:val="36376E0A"/>
    <w:rsid w:val="3700166C"/>
    <w:rsid w:val="375853E2"/>
    <w:rsid w:val="379A1012"/>
    <w:rsid w:val="383F33F0"/>
    <w:rsid w:val="38694EE9"/>
    <w:rsid w:val="388622E8"/>
    <w:rsid w:val="38B96BA9"/>
    <w:rsid w:val="3A656329"/>
    <w:rsid w:val="3A6818FA"/>
    <w:rsid w:val="3AC82B97"/>
    <w:rsid w:val="3B354B7F"/>
    <w:rsid w:val="3B365CC9"/>
    <w:rsid w:val="3B9A7B88"/>
    <w:rsid w:val="3C2F336B"/>
    <w:rsid w:val="3C63797F"/>
    <w:rsid w:val="3D2C7AC8"/>
    <w:rsid w:val="3D855D12"/>
    <w:rsid w:val="3D8B42FF"/>
    <w:rsid w:val="3DE86C4C"/>
    <w:rsid w:val="3DF36A6E"/>
    <w:rsid w:val="3EBA1EE9"/>
    <w:rsid w:val="3EE25B29"/>
    <w:rsid w:val="3F792F1E"/>
    <w:rsid w:val="40125DC6"/>
    <w:rsid w:val="407327EF"/>
    <w:rsid w:val="40824826"/>
    <w:rsid w:val="40890521"/>
    <w:rsid w:val="40E63923"/>
    <w:rsid w:val="42C57F36"/>
    <w:rsid w:val="43805C0B"/>
    <w:rsid w:val="43A91E5B"/>
    <w:rsid w:val="4489089B"/>
    <w:rsid w:val="449E0D39"/>
    <w:rsid w:val="454B2248"/>
    <w:rsid w:val="45E32B26"/>
    <w:rsid w:val="460B738D"/>
    <w:rsid w:val="463A3650"/>
    <w:rsid w:val="46461627"/>
    <w:rsid w:val="469F0116"/>
    <w:rsid w:val="475259B7"/>
    <w:rsid w:val="475E66C8"/>
    <w:rsid w:val="488302AE"/>
    <w:rsid w:val="48831CF9"/>
    <w:rsid w:val="49024C9C"/>
    <w:rsid w:val="49B1408D"/>
    <w:rsid w:val="4A7D4FD2"/>
    <w:rsid w:val="4A913C9A"/>
    <w:rsid w:val="4B1F70AC"/>
    <w:rsid w:val="4B240F94"/>
    <w:rsid w:val="4BA44F44"/>
    <w:rsid w:val="4C0832E5"/>
    <w:rsid w:val="4C3C565C"/>
    <w:rsid w:val="4C621D61"/>
    <w:rsid w:val="4CCC79C7"/>
    <w:rsid w:val="4D735EAE"/>
    <w:rsid w:val="4D7555C7"/>
    <w:rsid w:val="4E9E5ADF"/>
    <w:rsid w:val="4EAE6DA0"/>
    <w:rsid w:val="4FC52689"/>
    <w:rsid w:val="4FE617D9"/>
    <w:rsid w:val="5016514B"/>
    <w:rsid w:val="50392EA6"/>
    <w:rsid w:val="50A3063C"/>
    <w:rsid w:val="50BD4DF3"/>
    <w:rsid w:val="50FC1A26"/>
    <w:rsid w:val="51723664"/>
    <w:rsid w:val="51CB1C78"/>
    <w:rsid w:val="51FD6A51"/>
    <w:rsid w:val="5204701C"/>
    <w:rsid w:val="526B680A"/>
    <w:rsid w:val="52836F71"/>
    <w:rsid w:val="52A66D10"/>
    <w:rsid w:val="52D26B02"/>
    <w:rsid w:val="541A5D30"/>
    <w:rsid w:val="55C1559C"/>
    <w:rsid w:val="55F068CD"/>
    <w:rsid w:val="566C3136"/>
    <w:rsid w:val="568D04F2"/>
    <w:rsid w:val="575A4616"/>
    <w:rsid w:val="58A512BE"/>
    <w:rsid w:val="58DA0F15"/>
    <w:rsid w:val="59172716"/>
    <w:rsid w:val="5A526582"/>
    <w:rsid w:val="5A5F5C77"/>
    <w:rsid w:val="5A711A0D"/>
    <w:rsid w:val="5B1613E4"/>
    <w:rsid w:val="5B78003B"/>
    <w:rsid w:val="5B7C1C32"/>
    <w:rsid w:val="5BC11A60"/>
    <w:rsid w:val="5C7A4D54"/>
    <w:rsid w:val="5CD23B73"/>
    <w:rsid w:val="5D95302A"/>
    <w:rsid w:val="5EC63DAB"/>
    <w:rsid w:val="5F127819"/>
    <w:rsid w:val="5FBE7195"/>
    <w:rsid w:val="60350ED3"/>
    <w:rsid w:val="60B72AEE"/>
    <w:rsid w:val="61025188"/>
    <w:rsid w:val="61057D5F"/>
    <w:rsid w:val="610B647E"/>
    <w:rsid w:val="6126068F"/>
    <w:rsid w:val="61391790"/>
    <w:rsid w:val="614D4977"/>
    <w:rsid w:val="61837D97"/>
    <w:rsid w:val="61F21F72"/>
    <w:rsid w:val="623D4BDA"/>
    <w:rsid w:val="62CC39A0"/>
    <w:rsid w:val="62FD1A73"/>
    <w:rsid w:val="63241849"/>
    <w:rsid w:val="63B35A26"/>
    <w:rsid w:val="63C60FC0"/>
    <w:rsid w:val="64BA3D7A"/>
    <w:rsid w:val="64F179BC"/>
    <w:rsid w:val="665704D3"/>
    <w:rsid w:val="6796514D"/>
    <w:rsid w:val="67BD2A93"/>
    <w:rsid w:val="67BE05FC"/>
    <w:rsid w:val="67C065A4"/>
    <w:rsid w:val="67D359C9"/>
    <w:rsid w:val="68042537"/>
    <w:rsid w:val="68FE36DD"/>
    <w:rsid w:val="694806C9"/>
    <w:rsid w:val="694E60FC"/>
    <w:rsid w:val="69E95A08"/>
    <w:rsid w:val="6A256904"/>
    <w:rsid w:val="6B565B22"/>
    <w:rsid w:val="6B656832"/>
    <w:rsid w:val="6C057A85"/>
    <w:rsid w:val="6C675CE6"/>
    <w:rsid w:val="6D1E6DEE"/>
    <w:rsid w:val="6D4F4321"/>
    <w:rsid w:val="6DF41B82"/>
    <w:rsid w:val="6DFF7360"/>
    <w:rsid w:val="6E7A5F73"/>
    <w:rsid w:val="6E873A42"/>
    <w:rsid w:val="6E9841F1"/>
    <w:rsid w:val="6EE90F9D"/>
    <w:rsid w:val="6FD74228"/>
    <w:rsid w:val="7021106F"/>
    <w:rsid w:val="702B2AB8"/>
    <w:rsid w:val="71633091"/>
    <w:rsid w:val="717127EF"/>
    <w:rsid w:val="71C37714"/>
    <w:rsid w:val="73081CA5"/>
    <w:rsid w:val="73644164"/>
    <w:rsid w:val="73EC62E2"/>
    <w:rsid w:val="74201F7D"/>
    <w:rsid w:val="7487762D"/>
    <w:rsid w:val="74C33AA4"/>
    <w:rsid w:val="75210D7A"/>
    <w:rsid w:val="75385498"/>
    <w:rsid w:val="75EF084A"/>
    <w:rsid w:val="75F37776"/>
    <w:rsid w:val="76BC207F"/>
    <w:rsid w:val="76EB4904"/>
    <w:rsid w:val="774E15A1"/>
    <w:rsid w:val="77645DCD"/>
    <w:rsid w:val="777378F5"/>
    <w:rsid w:val="777A2D3C"/>
    <w:rsid w:val="77EA751B"/>
    <w:rsid w:val="78474930"/>
    <w:rsid w:val="78C17140"/>
    <w:rsid w:val="79074B81"/>
    <w:rsid w:val="794F0939"/>
    <w:rsid w:val="79AF0FCA"/>
    <w:rsid w:val="7AF9279C"/>
    <w:rsid w:val="7CC51958"/>
    <w:rsid w:val="7CD53DF9"/>
    <w:rsid w:val="7CEE73C0"/>
    <w:rsid w:val="7D097C86"/>
    <w:rsid w:val="7D906BEF"/>
    <w:rsid w:val="7E070AE2"/>
    <w:rsid w:val="7E2936C3"/>
    <w:rsid w:val="7E6411B9"/>
    <w:rsid w:val="7FA4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58"/>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60"/>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5"/>
    <w:autoRedefine/>
    <w:qFormat/>
    <w:uiPriority w:val="0"/>
    <w:pPr>
      <w:keepNext/>
      <w:keepLines/>
      <w:spacing w:before="280" w:after="290" w:line="376" w:lineRule="auto"/>
      <w:outlineLvl w:val="3"/>
    </w:pPr>
    <w:rPr>
      <w:b/>
      <w:bCs/>
      <w:sz w:val="28"/>
      <w:szCs w:val="28"/>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57"/>
    <w:autoRedefine/>
    <w:qFormat/>
    <w:uiPriority w:val="0"/>
    <w:pPr>
      <w:jc w:val="left"/>
    </w:pPr>
    <w:rPr>
      <w:rFonts w:ascii="Arial" w:hAnsi="Arial" w:eastAsia="黑体" w:cs="Arial"/>
    </w:rPr>
  </w:style>
  <w:style w:type="paragraph" w:styleId="8">
    <w:name w:val="Body Text"/>
    <w:basedOn w:val="1"/>
    <w:autoRedefine/>
    <w:qFormat/>
    <w:uiPriority w:val="0"/>
    <w:pPr>
      <w:spacing w:after="120"/>
    </w:pPr>
    <w:rPr>
      <w:rFonts w:ascii="@微软简标宋" w:hAnsi="@微软简标宋" w:eastAsia="@微软简标宋" w:cs="@微软简标宋"/>
      <w:szCs w:val="24"/>
      <w:lang w:val="zh-CN"/>
    </w:rPr>
  </w:style>
  <w:style w:type="paragraph" w:styleId="9">
    <w:name w:val="Body Text Indent"/>
    <w:basedOn w:val="1"/>
    <w:next w:val="10"/>
    <w:autoRedefine/>
    <w:qFormat/>
    <w:uiPriority w:val="0"/>
    <w:pPr>
      <w:spacing w:after="120"/>
      <w:ind w:left="420" w:leftChars="200"/>
    </w:pPr>
  </w:style>
  <w:style w:type="paragraph" w:styleId="10">
    <w:name w:val="envelope return"/>
    <w:basedOn w:val="1"/>
    <w:qFormat/>
    <w:uiPriority w:val="0"/>
    <w:pPr>
      <w:snapToGrid w:val="0"/>
    </w:pPr>
    <w:rPr>
      <w:rFonts w:ascii="Arial" w:hAnsi="Arial" w:cs="Arial"/>
      <w:sz w:val="21"/>
      <w:szCs w:val="24"/>
    </w:rPr>
  </w:style>
  <w:style w:type="paragraph" w:styleId="11">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2">
    <w:name w:val="Plain Text"/>
    <w:basedOn w:val="1"/>
    <w:link w:val="47"/>
    <w:autoRedefine/>
    <w:qFormat/>
    <w:uiPriority w:val="99"/>
    <w:rPr>
      <w:rFonts w:ascii="宋体" w:hAnsi="Courier New" w:eastAsiaTheme="minorEastAsia" w:cstheme="minorBidi"/>
      <w:szCs w:val="22"/>
    </w:rPr>
  </w:style>
  <w:style w:type="paragraph" w:styleId="13">
    <w:name w:val="Date"/>
    <w:basedOn w:val="1"/>
    <w:next w:val="1"/>
    <w:link w:val="54"/>
    <w:autoRedefine/>
    <w:qFormat/>
    <w:uiPriority w:val="0"/>
    <w:rPr>
      <w:rFonts w:ascii="Arial" w:hAnsi="Arial" w:eastAsia="宋体" w:cs="Arial"/>
      <w:b/>
      <w:sz w:val="28"/>
    </w:rPr>
  </w:style>
  <w:style w:type="paragraph" w:styleId="14">
    <w:name w:val="Balloon Text"/>
    <w:basedOn w:val="1"/>
    <w:link w:val="41"/>
    <w:autoRedefine/>
    <w:semiHidden/>
    <w:unhideWhenUsed/>
    <w:qFormat/>
    <w:uiPriority w:val="99"/>
    <w:rPr>
      <w:sz w:val="18"/>
      <w:szCs w:val="18"/>
    </w:rPr>
  </w:style>
  <w:style w:type="paragraph" w:styleId="15">
    <w:name w:val="footer"/>
    <w:basedOn w:val="1"/>
    <w:link w:val="46"/>
    <w:autoRedefine/>
    <w:unhideWhenUsed/>
    <w:qFormat/>
    <w:uiPriority w:val="99"/>
    <w:pPr>
      <w:tabs>
        <w:tab w:val="center" w:pos="4153"/>
        <w:tab w:val="right" w:pos="8306"/>
      </w:tabs>
      <w:snapToGrid w:val="0"/>
      <w:jc w:val="left"/>
    </w:pPr>
    <w:rPr>
      <w:sz w:val="18"/>
      <w:szCs w:val="18"/>
    </w:rPr>
  </w:style>
  <w:style w:type="paragraph" w:styleId="16">
    <w:name w:val="header"/>
    <w:basedOn w:val="1"/>
    <w:link w:val="4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8">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9">
    <w:name w:val="Normal (Web)"/>
    <w:basedOn w:val="1"/>
    <w:autoRedefine/>
    <w:qFormat/>
    <w:uiPriority w:val="0"/>
    <w:pPr>
      <w:spacing w:before="100" w:beforeAutospacing="1" w:after="100" w:afterAutospacing="1"/>
      <w:jc w:val="left"/>
    </w:pPr>
    <w:rPr>
      <w:rFonts w:cs="Times New Roman"/>
      <w:kern w:val="0"/>
      <w:sz w:val="24"/>
    </w:rPr>
  </w:style>
  <w:style w:type="paragraph" w:styleId="20">
    <w:name w:val="index 1"/>
    <w:basedOn w:val="1"/>
    <w:next w:val="1"/>
    <w:autoRedefine/>
    <w:qFormat/>
    <w:uiPriority w:val="0"/>
    <w:pPr>
      <w:jc w:val="center"/>
    </w:pPr>
    <w:rPr>
      <w:rFonts w:ascii="Arial" w:hAnsi="Arial" w:eastAsia="Arial" w:cs="Arial"/>
      <w:b/>
      <w:bCs/>
      <w:sz w:val="28"/>
    </w:rPr>
  </w:style>
  <w:style w:type="paragraph" w:styleId="21">
    <w:name w:val="annotation subject"/>
    <w:basedOn w:val="7"/>
    <w:next w:val="7"/>
    <w:link w:val="68"/>
    <w:autoRedefine/>
    <w:semiHidden/>
    <w:unhideWhenUsed/>
    <w:qFormat/>
    <w:uiPriority w:val="99"/>
    <w:rPr>
      <w:rFonts w:ascii="@仿宋_GB2312" w:hAnsi="@仿宋_GB2312" w:eastAsia="@仿宋_GB2312" w:cs="@仿宋_GB2312"/>
      <w:b/>
      <w:bCs/>
    </w:rPr>
  </w:style>
  <w:style w:type="paragraph" w:styleId="22">
    <w:name w:val="Body Text First Indent"/>
    <w:basedOn w:val="8"/>
    <w:autoRedefine/>
    <w:unhideWhenUsed/>
    <w:qFormat/>
    <w:uiPriority w:val="99"/>
    <w:pPr>
      <w:ind w:firstLine="420" w:firstLineChars="100"/>
    </w:pPr>
  </w:style>
  <w:style w:type="paragraph" w:styleId="23">
    <w:name w:val="Body Text First Indent 2"/>
    <w:basedOn w:val="9"/>
    <w:qFormat/>
    <w:uiPriority w:val="0"/>
    <w:pPr>
      <w:spacing w:after="120" w:afterLines="0" w:line="240" w:lineRule="auto"/>
      <w:ind w:left="420" w:leftChars="200" w:firstLine="420" w:firstLineChars="200"/>
    </w:pPr>
  </w:style>
  <w:style w:type="table" w:styleId="25">
    <w:name w:val="Table Grid"/>
    <w:basedOn w:val="24"/>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autoRedefine/>
    <w:qFormat/>
    <w:uiPriority w:val="0"/>
    <w:rPr>
      <w:b/>
      <w:bCs/>
    </w:rPr>
  </w:style>
  <w:style w:type="character" w:styleId="28">
    <w:name w:val="FollowedHyperlink"/>
    <w:basedOn w:val="26"/>
    <w:semiHidden/>
    <w:unhideWhenUsed/>
    <w:qFormat/>
    <w:uiPriority w:val="99"/>
    <w:rPr>
      <w:color w:val="333333"/>
      <w:u w:val="none"/>
    </w:rPr>
  </w:style>
  <w:style w:type="character" w:styleId="29">
    <w:name w:val="Emphasis"/>
    <w:basedOn w:val="26"/>
    <w:qFormat/>
    <w:uiPriority w:val="0"/>
    <w:rPr>
      <w:i/>
    </w:rPr>
  </w:style>
  <w:style w:type="character" w:styleId="30">
    <w:name w:val="HTML Definition"/>
    <w:basedOn w:val="26"/>
    <w:semiHidden/>
    <w:unhideWhenUsed/>
    <w:qFormat/>
    <w:uiPriority w:val="99"/>
  </w:style>
  <w:style w:type="character" w:styleId="31">
    <w:name w:val="HTML Typewriter"/>
    <w:basedOn w:val="26"/>
    <w:semiHidden/>
    <w:unhideWhenUsed/>
    <w:qFormat/>
    <w:uiPriority w:val="99"/>
    <w:rPr>
      <w:rFonts w:hint="default" w:ascii="monospace" w:hAnsi="monospace" w:eastAsia="monospace" w:cs="monospace"/>
      <w:sz w:val="20"/>
    </w:rPr>
  </w:style>
  <w:style w:type="character" w:styleId="32">
    <w:name w:val="HTML Acronym"/>
    <w:basedOn w:val="26"/>
    <w:semiHidden/>
    <w:unhideWhenUsed/>
    <w:qFormat/>
    <w:uiPriority w:val="99"/>
  </w:style>
  <w:style w:type="character" w:styleId="33">
    <w:name w:val="HTML Variable"/>
    <w:basedOn w:val="26"/>
    <w:semiHidden/>
    <w:unhideWhenUsed/>
    <w:qFormat/>
    <w:uiPriority w:val="99"/>
  </w:style>
  <w:style w:type="character" w:styleId="34">
    <w:name w:val="Hyperlink"/>
    <w:basedOn w:val="26"/>
    <w:autoRedefine/>
    <w:unhideWhenUsed/>
    <w:qFormat/>
    <w:uiPriority w:val="99"/>
    <w:rPr>
      <w:color w:val="0000FF" w:themeColor="hyperlink"/>
      <w:u w:val="single"/>
      <w14:textFill>
        <w14:solidFill>
          <w14:schemeClr w14:val="hlink"/>
        </w14:solidFill>
      </w14:textFill>
    </w:rPr>
  </w:style>
  <w:style w:type="character" w:styleId="35">
    <w:name w:val="HTML Code"/>
    <w:basedOn w:val="26"/>
    <w:semiHidden/>
    <w:unhideWhenUsed/>
    <w:qFormat/>
    <w:uiPriority w:val="99"/>
    <w:rPr>
      <w:rFonts w:hint="default" w:ascii="monospace" w:hAnsi="monospace" w:eastAsia="monospace" w:cs="monospace"/>
      <w:sz w:val="20"/>
    </w:rPr>
  </w:style>
  <w:style w:type="character" w:styleId="36">
    <w:name w:val="annotation reference"/>
    <w:basedOn w:val="26"/>
    <w:autoRedefine/>
    <w:semiHidden/>
    <w:unhideWhenUsed/>
    <w:qFormat/>
    <w:uiPriority w:val="99"/>
    <w:rPr>
      <w:sz w:val="21"/>
      <w:szCs w:val="21"/>
    </w:rPr>
  </w:style>
  <w:style w:type="character" w:styleId="37">
    <w:name w:val="HTML Cite"/>
    <w:basedOn w:val="26"/>
    <w:semiHidden/>
    <w:unhideWhenUsed/>
    <w:qFormat/>
    <w:uiPriority w:val="99"/>
  </w:style>
  <w:style w:type="character" w:styleId="38">
    <w:name w:val="HTML Keyboard"/>
    <w:basedOn w:val="26"/>
    <w:semiHidden/>
    <w:unhideWhenUsed/>
    <w:qFormat/>
    <w:uiPriority w:val="99"/>
    <w:rPr>
      <w:rFonts w:hint="default" w:ascii="monospace" w:hAnsi="monospace" w:eastAsia="monospace" w:cs="monospace"/>
      <w:sz w:val="20"/>
    </w:rPr>
  </w:style>
  <w:style w:type="character" w:styleId="39">
    <w:name w:val="HTML Sample"/>
    <w:basedOn w:val="26"/>
    <w:semiHidden/>
    <w:unhideWhenUsed/>
    <w:qFormat/>
    <w:uiPriority w:val="99"/>
    <w:rPr>
      <w:rFonts w:ascii="monospace" w:hAnsi="monospace" w:eastAsia="monospace" w:cs="monospace"/>
    </w:rPr>
  </w:style>
  <w:style w:type="paragraph" w:customStyle="1" w:styleId="40">
    <w:name w:val="正文格式"/>
    <w:basedOn w:val="1"/>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character" w:customStyle="1" w:styleId="41">
    <w:name w:val="批注框文本 Char"/>
    <w:basedOn w:val="26"/>
    <w:link w:val="14"/>
    <w:autoRedefine/>
    <w:semiHidden/>
    <w:qFormat/>
    <w:uiPriority w:val="99"/>
    <w:rPr>
      <w:rFonts w:ascii="@仿宋_GB2312" w:hAnsi="@仿宋_GB2312" w:eastAsia="@仿宋_GB2312" w:cs="@仿宋_GB2312"/>
      <w:sz w:val="18"/>
      <w:szCs w:val="18"/>
    </w:rPr>
  </w:style>
  <w:style w:type="paragraph" w:customStyle="1" w:styleId="42">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43">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44">
    <w:name w:val="D&amp;L"/>
    <w:basedOn w:val="16"/>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45">
    <w:name w:val="页眉 Char"/>
    <w:basedOn w:val="26"/>
    <w:link w:val="16"/>
    <w:autoRedefine/>
    <w:qFormat/>
    <w:uiPriority w:val="99"/>
    <w:rPr>
      <w:rFonts w:ascii="@仿宋_GB2312" w:hAnsi="@仿宋_GB2312" w:eastAsia="@仿宋_GB2312" w:cs="@仿宋_GB2312"/>
      <w:sz w:val="18"/>
      <w:szCs w:val="18"/>
    </w:rPr>
  </w:style>
  <w:style w:type="character" w:customStyle="1" w:styleId="46">
    <w:name w:val="页脚 Char"/>
    <w:basedOn w:val="26"/>
    <w:link w:val="15"/>
    <w:autoRedefine/>
    <w:qFormat/>
    <w:uiPriority w:val="99"/>
    <w:rPr>
      <w:rFonts w:ascii="@仿宋_GB2312" w:hAnsi="@仿宋_GB2312" w:eastAsia="@仿宋_GB2312" w:cs="@仿宋_GB2312"/>
      <w:sz w:val="18"/>
      <w:szCs w:val="18"/>
    </w:rPr>
  </w:style>
  <w:style w:type="character" w:customStyle="1" w:styleId="47">
    <w:name w:val="纯文本 Char"/>
    <w:link w:val="12"/>
    <w:autoRedefine/>
    <w:qFormat/>
    <w:uiPriority w:val="0"/>
    <w:rPr>
      <w:rFonts w:ascii="宋体" w:hAnsi="Courier New"/>
    </w:rPr>
  </w:style>
  <w:style w:type="character" w:customStyle="1" w:styleId="48">
    <w:name w:val="纯文本 字符1"/>
    <w:basedOn w:val="26"/>
    <w:autoRedefine/>
    <w:semiHidden/>
    <w:qFormat/>
    <w:uiPriority w:val="99"/>
    <w:rPr>
      <w:rFonts w:hAnsi="Courier New" w:cs="Courier New" w:asciiTheme="minorEastAsia"/>
      <w:szCs w:val="20"/>
    </w:rPr>
  </w:style>
  <w:style w:type="character" w:customStyle="1" w:styleId="49">
    <w:name w:val="未处理的提及1"/>
    <w:basedOn w:val="26"/>
    <w:autoRedefine/>
    <w:semiHidden/>
    <w:unhideWhenUsed/>
    <w:qFormat/>
    <w:uiPriority w:val="99"/>
    <w:rPr>
      <w:color w:val="605E5C"/>
      <w:shd w:val="clear" w:color="auto" w:fill="E1DFDD"/>
    </w:rPr>
  </w:style>
  <w:style w:type="paragraph" w:styleId="50">
    <w:name w:val="List Paragraph"/>
    <w:basedOn w:val="1"/>
    <w:autoRedefine/>
    <w:qFormat/>
    <w:uiPriority w:val="34"/>
    <w:pPr>
      <w:ind w:firstLine="420" w:firstLineChars="200"/>
    </w:pPr>
  </w:style>
  <w:style w:type="paragraph" w:customStyle="1" w:styleId="51">
    <w:name w:val="Char Char Char Char Char Char Char1 Char"/>
    <w:basedOn w:val="1"/>
    <w:autoRedefine/>
    <w:qFormat/>
    <w:uiPriority w:val="0"/>
    <w:rPr>
      <w:rFonts w:ascii="Arial" w:hAnsi="Arial" w:eastAsia="宋体" w:cs="Arial"/>
      <w:sz w:val="24"/>
    </w:rPr>
  </w:style>
  <w:style w:type="table" w:customStyle="1" w:styleId="52">
    <w:name w:val="网格表 1 浅色1"/>
    <w:basedOn w:val="24"/>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53">
    <w:name w:val="日期 字符"/>
    <w:basedOn w:val="26"/>
    <w:autoRedefine/>
    <w:semiHidden/>
    <w:qFormat/>
    <w:uiPriority w:val="99"/>
    <w:rPr>
      <w:rFonts w:ascii="@仿宋_GB2312" w:hAnsi="@仿宋_GB2312" w:eastAsia="@仿宋_GB2312" w:cs="@仿宋_GB2312"/>
      <w:szCs w:val="20"/>
    </w:rPr>
  </w:style>
  <w:style w:type="character" w:customStyle="1" w:styleId="54">
    <w:name w:val="日期 Char"/>
    <w:link w:val="13"/>
    <w:autoRedefine/>
    <w:qFormat/>
    <w:uiPriority w:val="0"/>
    <w:rPr>
      <w:rFonts w:ascii="Arial" w:hAnsi="Arial" w:eastAsia="宋体" w:cs="Arial"/>
      <w:b/>
      <w:sz w:val="28"/>
      <w:szCs w:val="20"/>
    </w:rPr>
  </w:style>
  <w:style w:type="character" w:customStyle="1" w:styleId="55">
    <w:name w:val="纯文本 Char1"/>
    <w:autoRedefine/>
    <w:qFormat/>
    <w:locked/>
    <w:uiPriority w:val="99"/>
    <w:rPr>
      <w:rFonts w:ascii="Arial" w:hAnsi="Arial" w:eastAsia="Arial"/>
      <w:kern w:val="2"/>
      <w:sz w:val="21"/>
      <w:lang w:val="en-US" w:eastAsia="zh-CN" w:bidi="ar-SA"/>
    </w:rPr>
  </w:style>
  <w:style w:type="character" w:customStyle="1" w:styleId="56">
    <w:name w:val="批注文字 Char"/>
    <w:basedOn w:val="26"/>
    <w:autoRedefine/>
    <w:semiHidden/>
    <w:qFormat/>
    <w:uiPriority w:val="99"/>
    <w:rPr>
      <w:rFonts w:ascii="@仿宋_GB2312" w:hAnsi="@仿宋_GB2312" w:eastAsia="@仿宋_GB2312" w:cs="@仿宋_GB2312"/>
      <w:szCs w:val="20"/>
    </w:rPr>
  </w:style>
  <w:style w:type="character" w:customStyle="1" w:styleId="57">
    <w:name w:val="批注文字 Char1"/>
    <w:link w:val="7"/>
    <w:autoRedefine/>
    <w:qFormat/>
    <w:uiPriority w:val="0"/>
    <w:rPr>
      <w:rFonts w:ascii="Arial" w:hAnsi="Arial" w:eastAsia="黑体" w:cs="Arial"/>
      <w:szCs w:val="20"/>
    </w:rPr>
  </w:style>
  <w:style w:type="character" w:customStyle="1" w:styleId="58">
    <w:name w:val="标题 1 Char"/>
    <w:basedOn w:val="26"/>
    <w:link w:val="2"/>
    <w:autoRedefine/>
    <w:qFormat/>
    <w:uiPriority w:val="9"/>
    <w:rPr>
      <w:rFonts w:ascii="@仿宋_GB2312" w:hAnsi="@仿宋_GB2312" w:eastAsia="@仿宋_GB2312" w:cs="@仿宋_GB2312"/>
      <w:b/>
      <w:bCs/>
      <w:kern w:val="44"/>
      <w:sz w:val="44"/>
      <w:szCs w:val="44"/>
    </w:rPr>
  </w:style>
  <w:style w:type="paragraph" w:customStyle="1" w:styleId="59">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0">
    <w:name w:val="标题 3 Char"/>
    <w:basedOn w:val="26"/>
    <w:link w:val="4"/>
    <w:autoRedefine/>
    <w:semiHidden/>
    <w:qFormat/>
    <w:uiPriority w:val="9"/>
    <w:rPr>
      <w:rFonts w:ascii="@仿宋_GB2312" w:hAnsi="@仿宋_GB2312" w:eastAsia="@仿宋_GB2312" w:cs="@仿宋_GB2312"/>
      <w:b/>
      <w:bCs/>
      <w:sz w:val="32"/>
      <w:szCs w:val="32"/>
    </w:rPr>
  </w:style>
  <w:style w:type="character" w:customStyle="1" w:styleId="61">
    <w:name w:val="fontstyle01"/>
    <w:basedOn w:val="26"/>
    <w:autoRedefine/>
    <w:qFormat/>
    <w:uiPriority w:val="0"/>
    <w:rPr>
      <w:rFonts w:hint="eastAsia" w:ascii="宋体" w:hAnsi="宋体" w:eastAsia="宋体"/>
      <w:color w:val="000000"/>
      <w:sz w:val="22"/>
      <w:szCs w:val="22"/>
    </w:rPr>
  </w:style>
  <w:style w:type="character" w:customStyle="1" w:styleId="62">
    <w:name w:val="fontstyle21"/>
    <w:basedOn w:val="26"/>
    <w:autoRedefine/>
    <w:qFormat/>
    <w:uiPriority w:val="0"/>
    <w:rPr>
      <w:rFonts w:hint="default" w:ascii="TimesNewRomanPSMT" w:hAnsi="TimesNewRomanPSMT"/>
      <w:color w:val="000000"/>
      <w:sz w:val="22"/>
      <w:szCs w:val="22"/>
    </w:rPr>
  </w:style>
  <w:style w:type="character" w:customStyle="1" w:styleId="63">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64">
    <w:name w:val="标题 4 字符"/>
    <w:basedOn w:val="26"/>
    <w:autoRedefine/>
    <w:semiHidden/>
    <w:qFormat/>
    <w:uiPriority w:val="9"/>
    <w:rPr>
      <w:rFonts w:asciiTheme="majorHAnsi" w:hAnsiTheme="majorHAnsi" w:eastAsiaTheme="majorEastAsia" w:cstheme="majorBidi"/>
      <w:b/>
      <w:bCs/>
      <w:sz w:val="28"/>
      <w:szCs w:val="28"/>
    </w:rPr>
  </w:style>
  <w:style w:type="character" w:customStyle="1" w:styleId="65">
    <w:name w:val="标题 4 Char1"/>
    <w:link w:val="5"/>
    <w:autoRedefine/>
    <w:qFormat/>
    <w:uiPriority w:val="0"/>
    <w:rPr>
      <w:rFonts w:ascii="@仿宋_GB2312" w:hAnsi="@仿宋_GB2312" w:eastAsia="@仿宋_GB2312" w:cs="@仿宋_GB2312"/>
      <w:b/>
      <w:bCs/>
      <w:sz w:val="28"/>
      <w:szCs w:val="28"/>
    </w:rPr>
  </w:style>
  <w:style w:type="character" w:customStyle="1" w:styleId="66">
    <w:name w:val="标题 4 Char"/>
    <w:autoRedefine/>
    <w:qFormat/>
    <w:uiPriority w:val="0"/>
    <w:rPr>
      <w:rFonts w:ascii="Arial" w:hAnsi="Arial" w:eastAsia="Arial"/>
      <w:b/>
      <w:bCs/>
      <w:kern w:val="2"/>
      <w:sz w:val="28"/>
      <w:szCs w:val="28"/>
      <w:lang w:val="en-US" w:eastAsia="zh-CN" w:bidi="ar-SA"/>
    </w:rPr>
  </w:style>
  <w:style w:type="table" w:customStyle="1" w:styleId="67">
    <w:name w:val="网格型1"/>
    <w:basedOn w:val="24"/>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8">
    <w:name w:val="批注主题 Char"/>
    <w:basedOn w:val="57"/>
    <w:link w:val="21"/>
    <w:autoRedefine/>
    <w:semiHidden/>
    <w:qFormat/>
    <w:uiPriority w:val="99"/>
    <w:rPr>
      <w:rFonts w:ascii="@仿宋_GB2312" w:hAnsi="@仿宋_GB2312" w:eastAsia="@仿宋_GB2312" w:cs="@仿宋_GB2312"/>
      <w:b/>
      <w:bCs/>
      <w:szCs w:val="20"/>
    </w:rPr>
  </w:style>
  <w:style w:type="table" w:customStyle="1" w:styleId="69">
    <w:name w:val="Table Normal"/>
    <w:autoRedefine/>
    <w:semiHidden/>
    <w:unhideWhenUsed/>
    <w:qFormat/>
    <w:uiPriority w:val="0"/>
    <w:tblPr>
      <w:tblCellMar>
        <w:top w:w="0" w:type="dxa"/>
        <w:left w:w="0" w:type="dxa"/>
        <w:bottom w:w="0" w:type="dxa"/>
        <w:right w:w="0" w:type="dxa"/>
      </w:tblCellMar>
    </w:tblPr>
  </w:style>
  <w:style w:type="paragraph" w:customStyle="1" w:styleId="70">
    <w:name w:val="Table Text"/>
    <w:basedOn w:val="1"/>
    <w:autoRedefine/>
    <w:semiHidden/>
    <w:qFormat/>
    <w:uiPriority w:val="0"/>
    <w:rPr>
      <w:rFonts w:ascii="Arial" w:hAnsi="Arial" w:eastAsia="Arial" w:cs="Arial"/>
      <w:sz w:val="21"/>
      <w:szCs w:val="21"/>
      <w:lang w:val="en-US" w:eastAsia="en-US" w:bidi="ar-SA"/>
    </w:rPr>
  </w:style>
  <w:style w:type="paragraph" w:customStyle="1" w:styleId="71">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2">
    <w:name w:val="列出段落1"/>
    <w:basedOn w:val="1"/>
    <w:autoRedefine/>
    <w:qFormat/>
    <w:uiPriority w:val="0"/>
    <w:pPr>
      <w:ind w:firstLine="420" w:firstLineChars="200"/>
    </w:pPr>
    <w:rPr>
      <w:szCs w:val="21"/>
    </w:rPr>
  </w:style>
  <w:style w:type="paragraph" w:customStyle="1" w:styleId="73">
    <w:name w:val="GW-正文"/>
    <w:basedOn w:val="1"/>
    <w:qFormat/>
    <w:uiPriority w:val="0"/>
    <w:pPr>
      <w:spacing w:line="360" w:lineRule="auto"/>
      <w:ind w:firstLine="200" w:firstLineChars="200"/>
      <w:contextualSpacing/>
    </w:pPr>
    <w:rPr>
      <w:rFonts w:ascii="Times New Roman" w:hAnsi="Times New Roman"/>
      <w:kern w:val="0"/>
      <w:sz w:val="20"/>
      <w:szCs w:val="24"/>
      <w:lang w:val="zh-CN"/>
    </w:rPr>
  </w:style>
  <w:style w:type="character" w:customStyle="1" w:styleId="74">
    <w:name w:val="标题 2 Char Char"/>
    <w:qFormat/>
    <w:uiPriority w:val="0"/>
    <w:rPr>
      <w:rFonts w:ascii="Arial" w:hAnsi="Arial" w:eastAsia="黑体" w:cs="Times New Roman"/>
      <w:b/>
      <w:bCs/>
      <w:kern w:val="2"/>
      <w:sz w:val="32"/>
      <w:szCs w:val="32"/>
      <w:lang w:val="en-US" w:eastAsia="zh-CN" w:bidi="ar-SA"/>
    </w:rPr>
  </w:style>
  <w:style w:type="character" w:customStyle="1" w:styleId="75">
    <w:name w:val="last-child"/>
    <w:basedOn w:val="26"/>
    <w:qFormat/>
    <w:uiPriority w:val="0"/>
  </w:style>
  <w:style w:type="character" w:customStyle="1" w:styleId="76">
    <w:name w:val="hover15"/>
    <w:basedOn w:val="26"/>
    <w:qFormat/>
    <w:uiPriority w:val="0"/>
    <w:rPr>
      <w:color w:val="FFFFFF"/>
    </w:rPr>
  </w:style>
  <w:style w:type="character" w:customStyle="1" w:styleId="77">
    <w:name w:val="hover16"/>
    <w:basedOn w:val="26"/>
    <w:qFormat/>
    <w:uiPriority w:val="0"/>
    <w:rPr>
      <w:color w:val="5FB878"/>
    </w:rPr>
  </w:style>
  <w:style w:type="character" w:customStyle="1" w:styleId="78">
    <w:name w:val="hover17"/>
    <w:basedOn w:val="26"/>
    <w:qFormat/>
    <w:uiPriority w:val="0"/>
    <w:rPr>
      <w:color w:val="5FB878"/>
    </w:rPr>
  </w:style>
  <w:style w:type="character" w:customStyle="1" w:styleId="79">
    <w:name w:val="layui-laydate-preview"/>
    <w:basedOn w:val="26"/>
    <w:qFormat/>
    <w:uiPriority w:val="0"/>
  </w:style>
  <w:style w:type="character" w:customStyle="1" w:styleId="80">
    <w:name w:val="layui-laypage-curr"/>
    <w:basedOn w:val="26"/>
    <w:qFormat/>
    <w:uiPriority w:val="0"/>
  </w:style>
  <w:style w:type="character" w:customStyle="1" w:styleId="81">
    <w:name w:val="first-child1"/>
    <w:basedOn w:val="26"/>
    <w:qFormat/>
    <w:uiPriority w:val="0"/>
  </w:style>
  <w:style w:type="character" w:customStyle="1" w:styleId="82">
    <w:name w:val="layui-this4"/>
    <w:basedOn w:val="26"/>
    <w:qFormat/>
    <w:uiPriority w:val="0"/>
    <w:rPr>
      <w:bdr w:val="single" w:color="EEEEEE" w:sz="4"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65</Pages>
  <Words>10406</Words>
  <Characters>11412</Characters>
  <Lines>244</Lines>
  <Paragraphs>68</Paragraphs>
  <TotalTime>8</TotalTime>
  <ScaleCrop>false</ScaleCrop>
  <LinksUpToDate>false</LinksUpToDate>
  <CharactersWithSpaces>11632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曹智</cp:lastModifiedBy>
  <cp:lastPrinted>2026-08-06T01:34:00Z</cp:lastPrinted>
  <dcterms:modified xsi:type="dcterms:W3CDTF">2026-08-28T03:20:26Z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080AA90A93C249828492A18240C82E17_13</vt:lpwstr>
  </property>
  <property fmtid="{D5CDD505-2E9C-101B-9397-08002B2CF9AE}" pid="4" name="KSOTemplateDocerSaveRecord">
    <vt:lpwstr>eyJoZGlkIjoiZjI4YTM0ZTA3YTU4ZDM4NDU1N2VjMTE1M2JlNmNjMDkiLCJ1c2VySWQiOiIxMjE1NTYxNyJ9</vt:lpwstr>
  </property>
</Properties>
</file>