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28208C8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宿州市立医院动态心电记录盒（Holter）采购项目</w:t>
      </w:r>
    </w:p>
    <w:p w14:paraId="20B9F3B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w:t>
      </w:r>
      <w:bookmarkEnd w:id="0"/>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326335A">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eastAsia="zh-CN"/>
        </w:rPr>
      </w:pPr>
      <w:r>
        <w:rPr>
          <w:rFonts w:hint="eastAsia" w:ascii="宋体" w:hAnsi="宋体" w:eastAsia="宋体"/>
          <w:b/>
          <w:color w:val="auto"/>
          <w:spacing w:val="20"/>
          <w:kern w:val="0"/>
          <w:sz w:val="28"/>
          <w:szCs w:val="28"/>
          <w:highlight w:val="none"/>
        </w:rPr>
        <w:t>项目名称：</w:t>
      </w:r>
      <w:r>
        <w:rPr>
          <w:rFonts w:hint="eastAsia" w:ascii="宋体" w:hAnsi="宋体" w:eastAsia="宋体"/>
          <w:b/>
          <w:color w:val="auto"/>
          <w:spacing w:val="20"/>
          <w:kern w:val="0"/>
          <w:sz w:val="28"/>
          <w:szCs w:val="28"/>
          <w:highlight w:val="none"/>
          <w:u w:val="single"/>
          <w:lang w:val="en-US" w:eastAsia="zh-CN"/>
        </w:rPr>
        <w:t xml:space="preserve">宿州市立医院动态心电记录盒（Holter）采购项目  </w:t>
      </w:r>
    </w:p>
    <w:p w14:paraId="3295737D">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项目编号：</w:t>
      </w:r>
      <w:r>
        <w:rPr>
          <w:rFonts w:hint="eastAsia" w:ascii="宋体" w:hAnsi="宋体" w:eastAsia="宋体"/>
          <w:b/>
          <w:color w:val="auto"/>
          <w:spacing w:val="20"/>
          <w:kern w:val="0"/>
          <w:sz w:val="28"/>
          <w:szCs w:val="28"/>
          <w:highlight w:val="none"/>
          <w:u w:val="single"/>
          <w:lang w:val="en-US" w:eastAsia="zh-CN"/>
        </w:rPr>
        <w:t xml:space="preserve"> ******** </w:t>
      </w:r>
    </w:p>
    <w:p w14:paraId="348D8AEC">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采 购 人：</w:t>
      </w:r>
      <w:r>
        <w:rPr>
          <w:rFonts w:hint="eastAsia" w:ascii="宋体" w:hAnsi="宋体" w:eastAsia="宋体"/>
          <w:b/>
          <w:color w:val="auto"/>
          <w:spacing w:val="20"/>
          <w:kern w:val="0"/>
          <w:sz w:val="28"/>
          <w:szCs w:val="28"/>
          <w:highlight w:val="none"/>
          <w:u w:val="single"/>
          <w:lang w:val="en-US" w:eastAsia="zh-CN"/>
        </w:rPr>
        <w:t xml:space="preserve"> 安徽省宿州市立医院 </w:t>
      </w:r>
    </w:p>
    <w:p w14:paraId="1CCBBF19">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rPr>
      </w:pPr>
      <w:r>
        <w:rPr>
          <w:rFonts w:hint="eastAsia" w:ascii="宋体" w:hAnsi="宋体" w:eastAsia="宋体"/>
          <w:b/>
          <w:color w:val="auto"/>
          <w:spacing w:val="20"/>
          <w:kern w:val="0"/>
          <w:sz w:val="28"/>
          <w:szCs w:val="28"/>
          <w:highlight w:val="none"/>
        </w:rPr>
        <w:t>采购代理机构：</w:t>
      </w:r>
      <w:r>
        <w:rPr>
          <w:rFonts w:hint="eastAsia" w:ascii="宋体" w:hAnsi="宋体" w:eastAsia="宋体"/>
          <w:b/>
          <w:color w:val="auto"/>
          <w:spacing w:val="20"/>
          <w:kern w:val="0"/>
          <w:sz w:val="28"/>
          <w:szCs w:val="28"/>
          <w:highlight w:val="none"/>
          <w:u w:val="single"/>
          <w:lang w:val="en-US" w:eastAsia="zh-CN"/>
        </w:rPr>
        <w:t xml:space="preserve"> 安徽中技工程咨询有限公司 </w:t>
      </w:r>
    </w:p>
    <w:p w14:paraId="5681EA1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5BFF3AC">
      <w:pPr>
        <w:tabs>
          <w:tab w:val="left" w:pos="2410"/>
        </w:tabs>
        <w:autoSpaceDE w:val="0"/>
        <w:autoSpaceDN w:val="0"/>
        <w:adjustRightInd w:val="0"/>
        <w:snapToGrid w:val="0"/>
        <w:spacing w:line="360" w:lineRule="auto"/>
        <w:jc w:val="center"/>
        <w:rPr>
          <w:rFonts w:hint="eastAsia" w:ascii="宋体" w:hAnsi="宋体" w:eastAsia="宋体"/>
          <w:b/>
          <w:color w:val="auto"/>
          <w:sz w:val="32"/>
          <w:szCs w:val="18"/>
          <w:highlight w:val="none"/>
        </w:rPr>
      </w:pP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2026</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rPr>
        <w:t>年</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 xml:space="preserve">08 </w:t>
      </w:r>
      <w:r>
        <w:rPr>
          <w:rFonts w:hint="eastAsia" w:ascii="宋体" w:hAnsi="宋体" w:eastAsia="宋体"/>
          <w:b/>
          <w:color w:val="auto"/>
          <w:sz w:val="32"/>
          <w:szCs w:val="18"/>
          <w:highlight w:val="none"/>
        </w:rPr>
        <w:t>月</w:t>
      </w: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6"/>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_Toc23443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38C6091F">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_Toc31935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_Toc31935 \h </w:instrText>
      </w:r>
      <w:r>
        <w:rPr>
          <w:color w:val="auto"/>
          <w:highlight w:val="none"/>
        </w:rPr>
        <w:fldChar w:fldCharType="separate"/>
      </w:r>
      <w:r>
        <w:rPr>
          <w:color w:val="auto"/>
          <w:highlight w:val="none"/>
        </w:rPr>
        <w:t>6</w:t>
      </w:r>
      <w:r>
        <w:rPr>
          <w:color w:val="auto"/>
          <w:highlight w:val="none"/>
        </w:rPr>
        <w:fldChar w:fldCharType="end"/>
      </w:r>
      <w:r>
        <w:rPr>
          <w:rFonts w:asciiTheme="minorEastAsia" w:hAnsiTheme="minorEastAsia" w:eastAsiaTheme="minorEastAsia"/>
          <w:color w:val="auto"/>
          <w:szCs w:val="24"/>
          <w:highlight w:val="none"/>
        </w:rPr>
        <w:fldChar w:fldCharType="end"/>
      </w:r>
    </w:p>
    <w:p w14:paraId="540DF2B9">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_Toc10891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21</w:t>
      </w:r>
      <w:r>
        <w:rPr>
          <w:color w:val="auto"/>
          <w:highlight w:val="none"/>
        </w:rPr>
        <w:fldChar w:fldCharType="end"/>
      </w:r>
      <w:r>
        <w:rPr>
          <w:rFonts w:asciiTheme="minorEastAsia" w:hAnsiTheme="minorEastAsia" w:eastAsiaTheme="minorEastAsia"/>
          <w:color w:val="auto"/>
          <w:szCs w:val="24"/>
          <w:highlight w:val="none"/>
        </w:rPr>
        <w:fldChar w:fldCharType="end"/>
      </w:r>
    </w:p>
    <w:p w14:paraId="2309FF48">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_Toc16417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25</w:t>
      </w:r>
      <w:r>
        <w:rPr>
          <w:color w:val="auto"/>
          <w:highlight w:val="none"/>
        </w:rPr>
        <w:fldChar w:fldCharType="end"/>
      </w:r>
      <w:r>
        <w:rPr>
          <w:rFonts w:asciiTheme="minorEastAsia" w:hAnsiTheme="minorEastAsia" w:eastAsiaTheme="minorEastAsia"/>
          <w:color w:val="auto"/>
          <w:szCs w:val="24"/>
          <w:highlight w:val="none"/>
        </w:rPr>
        <w:fldChar w:fldCharType="end"/>
      </w:r>
    </w:p>
    <w:p w14:paraId="59DCF857">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_Toc4682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采购合同</w:t>
      </w:r>
      <w:r>
        <w:rPr>
          <w:color w:val="auto"/>
          <w:highlight w:val="none"/>
        </w:rPr>
        <w:tab/>
      </w:r>
      <w:r>
        <w:rPr>
          <w:color w:val="auto"/>
          <w:highlight w:val="none"/>
        </w:rPr>
        <w:fldChar w:fldCharType="begin"/>
      </w:r>
      <w:r>
        <w:rPr>
          <w:color w:val="auto"/>
          <w:highlight w:val="none"/>
        </w:rPr>
        <w:instrText xml:space="preserve"> PAGEREF _Toc4682 \h </w:instrText>
      </w:r>
      <w:r>
        <w:rPr>
          <w:color w:val="auto"/>
          <w:highlight w:val="none"/>
        </w:rPr>
        <w:fldChar w:fldCharType="separate"/>
      </w:r>
      <w:r>
        <w:rPr>
          <w:color w:val="auto"/>
          <w:highlight w:val="none"/>
        </w:rPr>
        <w:t>34</w:t>
      </w:r>
      <w:r>
        <w:rPr>
          <w:color w:val="auto"/>
          <w:highlight w:val="none"/>
        </w:rPr>
        <w:fldChar w:fldCharType="end"/>
      </w:r>
      <w:r>
        <w:rPr>
          <w:rFonts w:asciiTheme="minorEastAsia" w:hAnsiTheme="minorEastAsia" w:eastAsiaTheme="minorEastAsia"/>
          <w:color w:val="auto"/>
          <w:szCs w:val="24"/>
          <w:highlight w:val="none"/>
        </w:rPr>
        <w:fldChar w:fldCharType="end"/>
      </w:r>
    </w:p>
    <w:p w14:paraId="3A96B3E5">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_Toc22492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_Toc22492 \h </w:instrText>
      </w:r>
      <w:r>
        <w:rPr>
          <w:color w:val="auto"/>
          <w:highlight w:val="none"/>
        </w:rPr>
        <w:fldChar w:fldCharType="separate"/>
      </w:r>
      <w:r>
        <w:rPr>
          <w:color w:val="auto"/>
          <w:highlight w:val="none"/>
        </w:rPr>
        <w:t>53</w:t>
      </w:r>
      <w:r>
        <w:rPr>
          <w:color w:val="auto"/>
          <w:highlight w:val="none"/>
        </w:rPr>
        <w:fldChar w:fldCharType="end"/>
      </w:r>
      <w:r>
        <w:rPr>
          <w:rFonts w:asciiTheme="minorEastAsia" w:hAnsiTheme="minorEastAsia" w:eastAsiaTheme="minorEastAsia"/>
          <w:color w:val="auto"/>
          <w:szCs w:val="24"/>
          <w:highlight w:val="none"/>
        </w:rPr>
        <w:fldChar w:fldCharType="end"/>
      </w:r>
    </w:p>
    <w:p w14:paraId="5E839302">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eastAsiaTheme="minorEastAsia"/>
          <w:color w:val="auto"/>
          <w:szCs w:val="24"/>
          <w:highlight w:val="none"/>
        </w:rPr>
        <w:fldChar w:fldCharType="end"/>
      </w:r>
    </w:p>
    <w:p w14:paraId="1FCBC0B8">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1176B55F">
      <w:pP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br w:type="page"/>
      </w:r>
    </w:p>
    <w:p w14:paraId="5720CCCC">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CF39A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p>
    <w:p w14:paraId="5CDF36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宿州市立医院动态心电记录盒（Holter）采购项目</w:t>
      </w:r>
      <w:r>
        <w:rPr>
          <w:rFonts w:ascii="宋体" w:hAnsi="宋体" w:eastAsia="宋体"/>
          <w:color w:val="auto"/>
          <w:sz w:val="24"/>
          <w:szCs w:val="18"/>
          <w:highlight w:val="none"/>
          <w:u w:val="single"/>
        </w:rPr>
        <w:t xml:space="preserve">         </w:t>
      </w:r>
    </w:p>
    <w:p w14:paraId="0286646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435000元/30台</w:t>
      </w:r>
      <w:r>
        <w:rPr>
          <w:rFonts w:ascii="宋体" w:hAnsi="宋体" w:eastAsia="宋体"/>
          <w:color w:val="auto"/>
          <w:sz w:val="24"/>
          <w:szCs w:val="18"/>
          <w:highlight w:val="none"/>
          <w:u w:val="single"/>
        </w:rPr>
        <w:t xml:space="preserve">         </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435000元/30台</w:t>
      </w:r>
      <w:r>
        <w:rPr>
          <w:rFonts w:ascii="宋体" w:hAnsi="宋体" w:eastAsia="宋体"/>
          <w:color w:val="auto"/>
          <w:sz w:val="24"/>
          <w:szCs w:val="18"/>
          <w:highlight w:val="none"/>
          <w:u w:val="single"/>
        </w:rPr>
        <w:t xml:space="preserve">          </w:t>
      </w:r>
    </w:p>
    <w:p w14:paraId="1FF7CDA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采购30台</w:t>
      </w:r>
      <w:r>
        <w:rPr>
          <w:rFonts w:hint="eastAsia" w:ascii="宋体" w:hAnsi="宋体" w:eastAsia="宋体"/>
          <w:color w:val="auto"/>
          <w:sz w:val="24"/>
          <w:szCs w:val="18"/>
          <w:highlight w:val="none"/>
          <w:u w:val="single"/>
          <w:lang w:eastAsia="zh-CN"/>
        </w:rPr>
        <w:t>动态心电记录盒（Holter），</w:t>
      </w:r>
      <w:r>
        <w:rPr>
          <w:rFonts w:hint="eastAsia" w:ascii="宋体" w:hAnsi="宋体" w:eastAsia="宋体"/>
          <w:color w:val="auto"/>
          <w:sz w:val="24"/>
          <w:szCs w:val="18"/>
          <w:highlight w:val="none"/>
          <w:u w:val="single"/>
          <w:lang w:val="en-US" w:eastAsia="zh-CN"/>
        </w:rPr>
        <w:t>详见第三章 采购需求。</w:t>
      </w:r>
      <w:r>
        <w:rPr>
          <w:rFonts w:ascii="宋体" w:hAnsi="宋体" w:eastAsia="宋体"/>
          <w:color w:val="auto"/>
          <w:sz w:val="24"/>
          <w:szCs w:val="18"/>
          <w:highlight w:val="none"/>
          <w:u w:val="single"/>
        </w:rPr>
        <w:t xml:space="preserve">        </w:t>
      </w:r>
    </w:p>
    <w:p w14:paraId="1A0D76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合同签订后30日内</w:t>
      </w:r>
      <w:r>
        <w:rPr>
          <w:rFonts w:hint="eastAsia" w:ascii="宋体" w:hAnsi="宋体" w:eastAsia="宋体"/>
          <w:color w:val="auto"/>
          <w:sz w:val="24"/>
          <w:szCs w:val="18"/>
          <w:highlight w:val="none"/>
          <w:u w:val="single"/>
          <w:lang w:val="en-US" w:eastAsia="zh-CN"/>
        </w:rPr>
        <w:t>完成供货、安装及调试</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60D53DFB">
      <w:pPr>
        <w:spacing w:line="360" w:lineRule="auto"/>
        <w:ind w:firstLine="435"/>
        <w:rPr>
          <w:rFonts w:hint="eastAsia"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2B336F4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2.本项目的特定资格要求：</w:t>
      </w:r>
    </w:p>
    <w:p w14:paraId="0DA8474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如是依法纳入医疗器械管理的投标产品须满足以下条件：</w:t>
      </w:r>
    </w:p>
    <w:p w14:paraId="1884F3E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（1）中国境内（不含港、澳、台地区）制造商参与投标时，应具有投标产品相应有效的医疗器械生产许可证（适用第二类和第三类医疗器械）。</w:t>
      </w:r>
    </w:p>
    <w:p w14:paraId="071A030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（2）投标人应具有投标产品相应有效的医疗器械经营许可证（适用第三类医疗器械）或医疗器械经营备案凭证（适用第二类医疗器械）。</w:t>
      </w:r>
    </w:p>
    <w:p w14:paraId="0B1BBE3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由采购人或者采购代理机构现场核查投标人信用情况）</w:t>
      </w:r>
    </w:p>
    <w:p w14:paraId="037205D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注：“有效”是指“情形”规定的程度、起止期间处于有效状态。</w:t>
      </w:r>
    </w:p>
    <w:p w14:paraId="3C4AAEE9">
      <w:pPr>
        <w:spacing w:line="360" w:lineRule="auto"/>
        <w:ind w:firstLine="435"/>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372AB798">
      <w:pPr>
        <w:spacing w:line="360" w:lineRule="auto"/>
        <w:ind w:firstLine="540"/>
        <w:rPr>
          <w:rFonts w:hint="eastAsia" w:ascii="宋体" w:hAnsi="宋体" w:eastAsia="宋体" w:cs="宋体"/>
          <w:color w:val="auto"/>
          <w:sz w:val="24"/>
          <w:szCs w:val="24"/>
          <w:highlight w:val="none"/>
          <w:u w:val="single"/>
          <w:lang w:val="en-US" w:eastAsia="zh-CN"/>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宋体" w:hAnsi="宋体" w:eastAsia="宋体" w:cs="宋体"/>
          <w:color w:val="auto"/>
          <w:sz w:val="24"/>
          <w:szCs w:val="24"/>
          <w:highlight w:val="none"/>
          <w:u w:val="single"/>
          <w:lang w:val="en-US" w:eastAsia="zh-CN"/>
        </w:rPr>
        <w:t>自公告发布之日至2026年 月 日09:00</w:t>
      </w:r>
    </w:p>
    <w:p w14:paraId="3A609FE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bookmarkStart w:id="9" w:name="_Toc19726"/>
      <w:r>
        <w:rPr>
          <w:rFonts w:hint="eastAsia" w:asciiTheme="minorEastAsia" w:hAnsiTheme="minorEastAsia" w:eastAsiaTheme="minorEastAsia" w:cstheme="minorEastAsia"/>
          <w:color w:val="auto"/>
          <w:sz w:val="24"/>
          <w:szCs w:val="24"/>
          <w:highlight w:val="none"/>
          <w:u w:val="none"/>
        </w:rPr>
        <w:t>地点：网上获取。</w:t>
      </w:r>
    </w:p>
    <w:p w14:paraId="065D6C4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 xml:space="preserve">方式：（1）凡有意参加投标者，在招标文件获取时间范围内均可在宿州市公共资源交易中心新版交易系统会员端登录地址（网址：http://60.171.247.212:8111/TPBidder/memberLogin）交易平台登录处进行用户登记，登记为供应商后使用CA锁登录进入宿州市公共资源交易系统，进入系统—》招标公告列表—》筛选项目类型为“采购”—》选中相应项目公告—》点击“文件下载”下载获取招标文件，也可以通过输入标段包编号，在关键字中搜索，找到需要投标的标段。（详细操作流程：详见本公告附件《投标单位操作手册7.1.40.5版本》），并请随时关注网站答疑澄清。（用户登记操作及审核联系电话：0557-3030327） </w:t>
      </w:r>
    </w:p>
    <w:p w14:paraId="010C310A">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（2）请在招标文件获取时间范围内下载获取招标文件，逾期系统将自动关闭，无法下载招标文件。</w:t>
      </w:r>
    </w:p>
    <w:p w14:paraId="4286E9C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（3）潜在投标人应合理安排时间，尽量避开开标前等可能存在的高峰期。</w:t>
      </w:r>
    </w:p>
    <w:p w14:paraId="3D37B71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none"/>
        </w:rPr>
        <w:t>售价：每套人民币0元整，招标文件售后不退。</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6EC81AB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rPr>
      </w:pPr>
      <w:bookmarkStart w:id="10" w:name="_Toc5082"/>
      <w:r>
        <w:rPr>
          <w:rFonts w:hint="eastAsia" w:ascii="宋体" w:hAnsi="宋体" w:eastAsia="宋体" w:cs="宋体"/>
          <w:color w:val="auto"/>
          <w:sz w:val="24"/>
          <w:szCs w:val="24"/>
          <w:highlight w:val="none"/>
          <w:lang w:val="zh-CN" w:eastAsia="zh-CN"/>
        </w:rPr>
        <w:t>截止时间：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lang w:val="zh-CN"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lang w:val="zh-CN" w:eastAsia="zh-CN"/>
        </w:rPr>
        <w:t>点</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lang w:val="zh-CN" w:eastAsia="zh-CN"/>
        </w:rPr>
        <w:t>分（北京时间）</w:t>
      </w:r>
    </w:p>
    <w:p w14:paraId="58F59A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地点：宿州市公共资源交易中心第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室，因本项目实行全流程电子化交易，供应商原则上不到现场参与交易活动，将通过在线视频直播。供应商可通过登录宿州市公共资源交易网（http://ggzyjy.ahsz.gov.cn/szfront/）点击进入不见面开标大厅观看开标直播。具体操作详见公告附件或宿州市公共资源交易网上的关于《宿州不见面开标大厅操作视频及常见问题》的操作指南。</w:t>
      </w:r>
    </w:p>
    <w:p w14:paraId="2519072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注：本项目通过宿州不见面开标大厅直播，无直播二维码。</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8807"/>
      <w:bookmarkStart w:id="14" w:name="_Toc35393795"/>
      <w:bookmarkStart w:id="15" w:name="_Toc35393626"/>
      <w:r>
        <w:rPr>
          <w:rFonts w:hint="eastAsia" w:ascii="宋体" w:hAnsi="宋体" w:eastAsia="宋体"/>
          <w:b/>
          <w:bCs/>
          <w:color w:val="auto"/>
          <w:sz w:val="24"/>
          <w:szCs w:val="18"/>
          <w:highlight w:val="none"/>
        </w:rPr>
        <w:t>六、其他补充事宜</w:t>
      </w:r>
      <w:bookmarkEnd w:id="13"/>
      <w:bookmarkEnd w:id="14"/>
      <w:bookmarkEnd w:id="15"/>
    </w:p>
    <w:bookmarkEnd w:id="12"/>
    <w:p w14:paraId="7E9218CF">
      <w:pPr>
        <w:spacing w:line="360" w:lineRule="auto"/>
        <w:ind w:firstLine="480" w:firstLineChars="200"/>
        <w:rPr>
          <w:rFonts w:hint="eastAsia" w:ascii="宋体" w:hAnsi="宋体" w:eastAsia="宋体" w:cs="宋体"/>
          <w:color w:val="auto"/>
          <w:sz w:val="24"/>
          <w:szCs w:val="24"/>
          <w:highlight w:val="none"/>
          <w:lang w:val="en-US" w:eastAsia="zh-CN"/>
        </w:rPr>
      </w:pPr>
      <w:bookmarkStart w:id="16" w:name="_Toc7265"/>
      <w:bookmarkStart w:id="17" w:name="_Toc3854"/>
      <w:r>
        <w:rPr>
          <w:rFonts w:hint="eastAsia" w:ascii="宋体" w:hAnsi="宋体" w:eastAsia="宋体" w:cs="宋体"/>
          <w:color w:val="auto"/>
          <w:sz w:val="24"/>
          <w:szCs w:val="24"/>
          <w:highlight w:val="none"/>
          <w:lang w:val="en-US" w:eastAsia="zh-CN"/>
        </w:rPr>
        <w:t>1、本招标项目电子投标文件的解密采用远程方式进行，投标人须在规定的时间内对其加密的电子投标文件进行解密，请提前登录系统，按《不见面开标大厅-投标人操作手册》提供的方法操作。解密时间不超过开始解密时间 30 分钟，若超过 30 分钟视为解密失败，按无效处理</w:t>
      </w:r>
    </w:p>
    <w:p w14:paraId="19D3063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2、本招标项目的询标、澄清等程序均采用远程方式进行，请各投标人在评审结束前不要离开电脑，按《投标人操作手册》提供的方法操作，询标响应时间不超过询标发起后 15 分钟，若超过 15 分钟，视为放弃解释权力，评委按不利于投标人解释处理。</w:t>
      </w:r>
    </w:p>
    <w:p w14:paraId="6F083814">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投标人自身原因导致解密失败的，风险由投标人自行承担。因投标人没有及时登录系统、未完成远程网上解密、询标、澄清等环节导致无法接受评审委员会评审等情形的风险，由投标人自行承担。</w:t>
      </w:r>
    </w:p>
    <w:p w14:paraId="1A07881E">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53387FF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3862CC25">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称：安徽省宿州市立医院</w:t>
      </w:r>
    </w:p>
    <w:p w14:paraId="460FE42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址：宿州市汴阳三路616号</w:t>
      </w:r>
    </w:p>
    <w:p w14:paraId="266381C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 系 人：王老师</w:t>
      </w:r>
    </w:p>
    <w:p w14:paraId="7F24F912">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联系方式：15155780921</w:t>
      </w:r>
    </w:p>
    <w:p w14:paraId="60545BE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6E78C70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称：安徽中技工程咨询有限公司</w:t>
      </w:r>
    </w:p>
    <w:p w14:paraId="52363A3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址：安徽省合肥市高新区长宁社区服务中心合肥软件园一期A3栋A3-613室</w:t>
      </w:r>
    </w:p>
    <w:p w14:paraId="795E74D2">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项目联系人：王俊烈、李少明</w:t>
      </w:r>
    </w:p>
    <w:p w14:paraId="59470A4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话：17755795622、15656186680</w:t>
      </w:r>
    </w:p>
    <w:p w14:paraId="6D4B7F7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3.采购监督管理部门信息</w:t>
      </w:r>
    </w:p>
    <w:p w14:paraId="0C4BADD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w:t>
      </w:r>
      <w:r>
        <w:rPr>
          <w:rFonts w:hint="default" w:ascii="宋体" w:hAnsi="宋体" w:eastAsia="宋体" w:cs="宋体"/>
          <w:color w:val="auto"/>
          <w:sz w:val="24"/>
          <w:szCs w:val="24"/>
          <w:highlight w:val="none"/>
          <w:lang w:val="en-US" w:eastAsia="zh-CN"/>
        </w:rPr>
        <w:t>宿州市卫生健康委员会</w:t>
      </w:r>
      <w:r>
        <w:rPr>
          <w:rFonts w:hint="eastAsia" w:ascii="宋体" w:hAnsi="宋体" w:eastAsia="宋体" w:cs="宋体"/>
          <w:color w:val="auto"/>
          <w:sz w:val="24"/>
          <w:szCs w:val="24"/>
          <w:highlight w:val="none"/>
          <w:lang w:val="en-US" w:eastAsia="zh-CN"/>
        </w:rPr>
        <w:t>     </w:t>
      </w:r>
    </w:p>
    <w:p w14:paraId="206A7615">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default" w:ascii="宋体" w:hAnsi="宋体" w:eastAsia="宋体" w:cs="宋体"/>
          <w:color w:val="auto"/>
          <w:sz w:val="24"/>
          <w:szCs w:val="24"/>
          <w:highlight w:val="none"/>
          <w:lang w:val="en-US" w:eastAsia="zh-CN"/>
        </w:rPr>
        <w:t>安徽省宿州市埇桥区银河一路 530 号</w:t>
      </w:r>
      <w:r>
        <w:rPr>
          <w:rFonts w:hint="eastAsia" w:ascii="宋体" w:hAnsi="宋体" w:eastAsia="宋体" w:cs="宋体"/>
          <w:color w:val="auto"/>
          <w:sz w:val="24"/>
          <w:szCs w:val="24"/>
          <w:highlight w:val="none"/>
          <w:lang w:val="en-US" w:eastAsia="zh-CN"/>
        </w:rPr>
        <w:t> </w:t>
      </w:r>
    </w:p>
    <w:p w14:paraId="6E44BB6D">
      <w:pPr>
        <w:spacing w:line="360" w:lineRule="auto"/>
        <w:ind w:firstLine="480" w:firstLineChars="200"/>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联系方式：</w:t>
      </w:r>
      <w:r>
        <w:rPr>
          <w:rFonts w:hint="default" w:ascii="宋体" w:hAnsi="宋体" w:eastAsia="宋体" w:cs="宋体"/>
          <w:color w:val="auto"/>
          <w:sz w:val="24"/>
          <w:szCs w:val="24"/>
          <w:highlight w:val="none"/>
          <w:lang w:val="en-US" w:eastAsia="zh-CN"/>
        </w:rPr>
        <w:t>0557-3040047</w:t>
      </w: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3114"/>
      <w:bookmarkStart w:id="20"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1"/>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1"/>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0769FA36">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p w14:paraId="1C503B22">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lang w:val="en-US" w:eastAsia="zh-CN"/>
              </w:rPr>
              <w:t>评标委员会</w:t>
            </w:r>
            <w:r>
              <w:rPr>
                <w:rFonts w:hint="eastAsia" w:ascii="宋体" w:hAnsi="宋体" w:eastAsia="宋体"/>
                <w:b w:val="0"/>
                <w:bCs w:val="0"/>
                <w:color w:val="auto"/>
                <w:sz w:val="24"/>
                <w:highlight w:val="none"/>
              </w:rPr>
              <w:t>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280D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6DA97B">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17.3</w:t>
            </w:r>
          </w:p>
        </w:tc>
        <w:tc>
          <w:tcPr>
            <w:tcW w:w="1174" w:type="pct"/>
            <w:vAlign w:val="center"/>
          </w:tcPr>
          <w:p w14:paraId="3CDDD684">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报价扣除</w:t>
            </w:r>
          </w:p>
        </w:tc>
        <w:tc>
          <w:tcPr>
            <w:tcW w:w="3244" w:type="pct"/>
            <w:vAlign w:val="center"/>
          </w:tcPr>
          <w:p w14:paraId="37F673B8">
            <w:pPr>
              <w:keepNext w:val="0"/>
              <w:keepLines w:val="0"/>
              <w:widowControl/>
              <w:suppressLineNumbers w:val="0"/>
              <w:jc w:val="left"/>
              <w:rPr>
                <w:rFonts w:hint="eastAsia" w:ascii="宋体" w:hAnsi="宋体" w:eastAsia="宋体"/>
                <w:b w:val="0"/>
                <w:bCs w:val="0"/>
                <w:color w:val="auto"/>
                <w:sz w:val="24"/>
                <w:szCs w:val="24"/>
                <w:highlight w:val="none"/>
                <w:u w:val="none"/>
                <w:lang w:eastAsia="zh-CN"/>
              </w:rPr>
            </w:pPr>
            <w:r>
              <w:rPr>
                <w:rFonts w:hint="eastAsia" w:ascii="宋体" w:hAnsi="宋体" w:eastAsia="宋体" w:cs="宋体"/>
                <w:color w:val="auto"/>
                <w:kern w:val="0"/>
                <w:sz w:val="24"/>
                <w:szCs w:val="24"/>
                <w:highlight w:val="none"/>
                <w:lang w:val="en-US" w:eastAsia="zh-CN" w:bidi="ar"/>
              </w:rPr>
              <w:t>本项目不适用</w:t>
            </w:r>
          </w:p>
        </w:tc>
      </w:tr>
      <w:tr w14:paraId="0785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4D5DDD">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74" w:type="pct"/>
            <w:vAlign w:val="center"/>
          </w:tcPr>
          <w:p w14:paraId="6B3CB69C">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本国产品价格扣</w:t>
            </w:r>
          </w:p>
          <w:p w14:paraId="27F87F9D">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除</w:t>
            </w:r>
          </w:p>
        </w:tc>
        <w:tc>
          <w:tcPr>
            <w:tcW w:w="3244" w:type="pct"/>
            <w:vAlign w:val="center"/>
          </w:tcPr>
          <w:p w14:paraId="33DA1465">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u w:val="none"/>
                <w:lang w:eastAsia="zh-CN"/>
              </w:rPr>
            </w:pPr>
            <w:r>
              <w:rPr>
                <w:rFonts w:hint="eastAsia" w:ascii="宋体" w:hAnsi="宋体" w:eastAsia="宋体"/>
                <w:b w:val="0"/>
                <w:bCs w:val="0"/>
                <w:color w:val="auto"/>
                <w:sz w:val="24"/>
                <w:szCs w:val="24"/>
                <w:highlight w:val="none"/>
                <w:u w:val="none"/>
                <w:lang w:eastAsia="zh-CN"/>
              </w:rPr>
              <w:t>本项目不适用</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1-3个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A99AF53">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lang w:eastAsia="zh-CN"/>
              </w:rPr>
            </w:pPr>
            <w:r>
              <w:rPr>
                <w:rFonts w:hint="eastAsia" w:ascii="宋体" w:hAnsi="宋体" w:eastAsia="宋体"/>
                <w:b w:val="0"/>
                <w:bCs w:val="0"/>
                <w:color w:val="auto"/>
                <w:sz w:val="24"/>
                <w:szCs w:val="24"/>
                <w:highlight w:val="none"/>
                <w:lang w:eastAsia="zh-CN"/>
              </w:rPr>
              <w:t>中标（成交）供应商的评审总得分</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63D6A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p w14:paraId="661F44B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w:t>
            </w:r>
            <w:r>
              <w:rPr>
                <w:rFonts w:hint="eastAsia" w:asciiTheme="minorEastAsia" w:hAnsiTheme="minorEastAsia" w:eastAsiaTheme="minorEastAsia"/>
                <w:b w:val="0"/>
                <w:bCs w:val="0"/>
                <w:color w:val="auto"/>
                <w:kern w:val="2"/>
                <w:sz w:val="24"/>
                <w:szCs w:val="24"/>
                <w:highlight w:val="none"/>
                <w:u w:val="single"/>
                <w:lang w:val="en-US" w:eastAsia="zh-CN"/>
              </w:rPr>
              <w:t xml:space="preserve">     /       </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3E14DA02">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A1FE99C">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安徽省宿州市立医院 </w:t>
            </w:r>
            <w:r>
              <w:rPr>
                <w:rFonts w:hint="eastAsia" w:ascii="宋体" w:hAnsi="宋体" w:eastAsia="宋体"/>
                <w:bCs/>
                <w:color w:val="auto"/>
                <w:kern w:val="0"/>
                <w:sz w:val="24"/>
                <w:szCs w:val="28"/>
                <w:highlight w:val="none"/>
              </w:rPr>
              <w:t xml:space="preserve">              </w:t>
            </w:r>
          </w:p>
          <w:p w14:paraId="5470539E">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12126001040027226  </w:t>
            </w:r>
          </w:p>
          <w:p w14:paraId="6B3DC6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合同货物全部交货验收合格后，乙方提出申请后退还。 </w:t>
            </w:r>
          </w:p>
          <w:p w14:paraId="0E511A2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注： </w:t>
            </w:r>
          </w:p>
          <w:p w14:paraId="5F053A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（1）履约保证金因中标人原因导致交货期限延长的， </w:t>
            </w:r>
          </w:p>
          <w:p w14:paraId="10E826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其履约保证金有效期应相应延长。 </w:t>
            </w:r>
          </w:p>
          <w:p w14:paraId="0ED104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（2）发生下列之一者，则不予退还履约保证金： </w:t>
            </w:r>
          </w:p>
          <w:p w14:paraId="39760D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①中标人发生违约行为而完全终止合同； </w:t>
            </w:r>
          </w:p>
          <w:p w14:paraId="66835C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②中标人不履行实质性承诺。 </w:t>
            </w:r>
          </w:p>
          <w:p w14:paraId="6A515D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（3）履约保证金的退还或不予退还并不免除中标人对已交付合同货物的质量责任。</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72C265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5DB05C9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（1）采购人与成交供应商应当自发出成交通知书之日起30日内签订合同。</w:t>
            </w:r>
          </w:p>
          <w:p w14:paraId="62D5961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（2）采购人与成交供应商不得擅自变更合同。</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63EFF97">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本项目采购代理服务费：代理服务费按照按计委计价格[2002]1980号文件和发改委发改价格 [2011]534号文件规定标准的60%，计取收费的计算基数为代理项目的中标金额，由中标人支付；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成交供应商是否交纳采购代理服务费：☑是 □否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（1）供应商总报价中应考虑采购代理服务费；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（2）成交候选供应商被确定为成交供应商后，须在领取成交通知书之日起3个工作日内向</w:t>
            </w:r>
            <w:r>
              <w:rPr>
                <w:rFonts w:hint="eastAsia" w:ascii="宋体" w:hAnsi="宋体" w:eastAsia="宋体" w:cs="宋体"/>
                <w:color w:val="auto"/>
                <w:sz w:val="24"/>
                <w:szCs w:val="24"/>
                <w:highlight w:val="none"/>
                <w:lang w:eastAsia="zh-CN"/>
              </w:rPr>
              <w:t>安徽中技工程咨询有限公司</w:t>
            </w:r>
            <w:r>
              <w:rPr>
                <w:rFonts w:hint="eastAsia" w:ascii="宋体" w:hAnsi="宋体" w:eastAsia="宋体" w:cs="宋体"/>
                <w:color w:val="auto"/>
                <w:sz w:val="24"/>
                <w:szCs w:val="24"/>
                <w:highlight w:val="none"/>
              </w:rPr>
              <w:t>支付采购代理服务费。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（3）采购代理服务费以汇款形式支付；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（4）成交供应商须在以下账户交纳采购代理服务费：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账户名：</w:t>
            </w:r>
            <w:r>
              <w:rPr>
                <w:rFonts w:hint="eastAsia" w:ascii="宋体" w:hAnsi="宋体" w:eastAsia="宋体" w:cs="宋体"/>
                <w:color w:val="auto"/>
                <w:sz w:val="24"/>
                <w:szCs w:val="24"/>
                <w:highlight w:val="none"/>
                <w:lang w:eastAsia="zh-CN"/>
              </w:rPr>
              <w:t>安徽中技工程咨询有限公司</w:t>
            </w:r>
          </w:p>
          <w:p w14:paraId="001F4FF1">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eastAsia="zh-CN"/>
              </w:rPr>
              <w:t>交通银行合肥分行黄山路支行</w:t>
            </w:r>
          </w:p>
          <w:p w14:paraId="309F3075">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eastAsia="zh-CN"/>
              </w:rPr>
              <w:t>341314000018150070757</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0043393B">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auto"/>
                <w:kern w:val="0"/>
                <w:sz w:val="24"/>
                <w:szCs w:val="28"/>
                <w:highlight w:val="none"/>
                <w:u w:val="single"/>
              </w:rPr>
            </w:pPr>
            <w:r>
              <w:rPr>
                <w:rFonts w:hint="eastAsia" w:ascii="宋体" w:hAnsi="宋体" w:eastAsia="宋体" w:cs="宋体"/>
                <w:b w:val="0"/>
                <w:color w:val="auto"/>
                <w:sz w:val="24"/>
                <w:highlight w:val="none"/>
              </w:rPr>
              <w:t>递交方式：</w:t>
            </w:r>
            <w:r>
              <w:rPr>
                <w:rFonts w:hint="eastAsia" w:ascii="宋体" w:hAnsi="宋体" w:eastAsia="宋体" w:cs="宋体"/>
                <w:b w:val="0"/>
                <w:bCs w:val="0"/>
                <w:color w:val="auto"/>
                <w:kern w:val="0"/>
                <w:sz w:val="24"/>
                <w:szCs w:val="28"/>
                <w:highlight w:val="none"/>
                <w:u w:val="single"/>
              </w:rPr>
              <w:t>按采购公告载明的采购人或采购代理机构信息，向其提出。</w:t>
            </w:r>
            <w:r>
              <w:rPr>
                <w:rFonts w:hint="eastAsia" w:ascii="宋体" w:hAnsi="宋体" w:eastAsia="宋体" w:cs="宋体"/>
                <w:b w:val="0"/>
                <w:bCs w:val="0"/>
                <w:color w:val="auto"/>
                <w:kern w:val="0"/>
                <w:sz w:val="24"/>
                <w:szCs w:val="28"/>
                <w:highlight w:val="none"/>
                <w:u w:val="single"/>
                <w:lang w:val="en-US" w:eastAsia="zh-CN"/>
              </w:rPr>
              <w:t>也</w:t>
            </w:r>
            <w:r>
              <w:rPr>
                <w:rFonts w:hint="eastAsia" w:ascii="宋体" w:hAnsi="宋体" w:eastAsia="宋体" w:cs="宋体"/>
                <w:b w:val="0"/>
                <w:bCs w:val="0"/>
                <w:color w:val="auto"/>
                <w:kern w:val="0"/>
                <w:sz w:val="24"/>
                <w:szCs w:val="28"/>
                <w:highlight w:val="none"/>
                <w:u w:val="single"/>
              </w:rPr>
              <w:t>可登录电子交易系统</w:t>
            </w:r>
          </w:p>
          <w:p w14:paraId="6E991426">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8"/>
                <w:highlight w:val="none"/>
                <w:u w:val="single"/>
              </w:rPr>
              <w:t>http://60.171.247.212:8111/TPBidder/memberLogin 点击网上“质疑菜单”发起在线质疑，招标人或招标代理会在约定期限内做出答复。</w:t>
            </w:r>
          </w:p>
          <w:p w14:paraId="5AF7EFB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bCs w:val="0"/>
                <w:color w:val="auto"/>
                <w:kern w:val="0"/>
                <w:sz w:val="24"/>
                <w:szCs w:val="28"/>
                <w:highlight w:val="none"/>
                <w:u w:val="single"/>
              </w:rPr>
              <w:t xml:space="preserve"> </w:t>
            </w:r>
            <w:r>
              <w:rPr>
                <w:rFonts w:hint="eastAsia" w:ascii="宋体" w:hAnsi="宋体" w:eastAsia="宋体" w:cs="宋体"/>
                <w:b w:val="0"/>
                <w:bCs w:val="0"/>
                <w:color w:val="auto"/>
                <w:kern w:val="0"/>
                <w:sz w:val="24"/>
                <w:szCs w:val="28"/>
                <w:highlight w:val="none"/>
                <w:u w:val="single"/>
                <w:lang w:eastAsia="zh-CN"/>
              </w:rPr>
              <w:t>安徽中技工程咨询有限公司</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1"/>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718C588D">
            <w:pPr>
              <w:pStyle w:val="31"/>
              <w:widowControl w:val="0"/>
              <w:numPr>
                <w:ilvl w:val="0"/>
                <w:numId w:val="0"/>
              </w:numPr>
              <w:spacing w:before="0" w:beforeAutospacing="0" w:after="0" w:afterAutospacing="0" w:line="360" w:lineRule="auto"/>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7B39DDF4">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文件的各个组成文件应互为解释，互为说明；</w:t>
            </w:r>
          </w:p>
          <w:p w14:paraId="7C1A80E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55597C2D">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4E61A649">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（4）除谈判文件中有特别规定外，仅适用于谈判及响应文件提交阶段的规定，按竞争性谈判公告、谈判邀请、供应商须知、评审方法和标准、响应文件格式的先后顺序解释；</w:t>
            </w:r>
          </w:p>
          <w:p w14:paraId="75612FE7">
            <w:pPr>
              <w:pStyle w:val="31"/>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.3采购监督管理部门：</w:t>
      </w:r>
      <w:r>
        <w:rPr>
          <w:rFonts w:hint="eastAsia" w:ascii="宋体" w:hAnsi="宋体" w:eastAsia="宋体"/>
          <w:color w:val="auto"/>
          <w:sz w:val="24"/>
          <w:highlight w:val="none"/>
        </w:rPr>
        <w:t>各级人民政府指定的有关部门依法履行与采购活动有关的监督管理职责。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本项目的投标人须满足以下条件：</w:t>
      </w:r>
    </w:p>
    <w:p w14:paraId="3A9ACE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w:t>
      </w:r>
      <w:r>
        <w:rPr>
          <w:rFonts w:hint="eastAsia" w:ascii="宋体" w:hAnsi="宋体" w:eastAsia="宋体"/>
          <w:color w:val="auto"/>
          <w:sz w:val="24"/>
          <w:highlight w:val="none"/>
          <w:lang w:val="en-US" w:eastAsia="zh-CN"/>
        </w:rPr>
        <w:t>招标公告</w:t>
      </w:r>
      <w:r>
        <w:rPr>
          <w:rFonts w:ascii="宋体" w:hAnsi="宋体" w:eastAsia="宋体"/>
          <w:color w:val="auto"/>
          <w:sz w:val="24"/>
          <w:highlight w:val="none"/>
        </w:rPr>
        <w:t>供应商条件的规定，遵守本项目采购人本级和上级部门采购的有关规定。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271F1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在网</w:t>
      </w:r>
      <w:r>
        <w:rPr>
          <w:rFonts w:hint="eastAsia" w:asciiTheme="minorEastAsia" w:hAnsiTheme="minorEastAsia" w:eastAsiaTheme="minorEastAsia"/>
          <w:color w:val="auto"/>
          <w:sz w:val="24"/>
          <w:highlight w:val="none"/>
          <w:lang w:val="en-US" w:eastAsia="zh-CN"/>
        </w:rPr>
        <w:t>上</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63737D2B">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lang w:val="en-US" w:eastAsia="zh-CN"/>
        </w:rPr>
        <w:t>14.2</w:t>
      </w:r>
      <w:r>
        <w:rPr>
          <w:rFonts w:hint="eastAsia" w:ascii="宋体" w:hAnsi="宋体" w:eastAsia="宋体" w:cs="宋体"/>
          <w:color w:val="auto"/>
          <w:sz w:val="24"/>
          <w:szCs w:val="24"/>
          <w:highlight w:val="none"/>
        </w:rPr>
        <w:t>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DAD8C5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w:t>
      </w:r>
      <w:r>
        <w:rPr>
          <w:rFonts w:hint="eastAsia" w:ascii="宋体" w:hAnsi="宋体" w:eastAsia="宋体"/>
          <w:color w:val="auto"/>
          <w:sz w:val="24"/>
          <w:szCs w:val="18"/>
          <w:highlight w:val="none"/>
          <w:lang w:val="en-US" w:eastAsia="zh-CN"/>
        </w:rPr>
        <w:t>网</w:t>
      </w:r>
      <w:r>
        <w:rPr>
          <w:rFonts w:hint="eastAsia" w:ascii="宋体" w:hAnsi="宋体" w:eastAsia="宋体"/>
          <w:color w:val="auto"/>
          <w:sz w:val="24"/>
          <w:szCs w:val="18"/>
          <w:highlight w:val="none"/>
        </w:rPr>
        <w:t>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质疑供应商应按照《采购供应商质疑函范本》格式（详见招标文件）要求，在法定质疑期内以书面形式提出质疑，超出法定质疑期提交的质疑将被拒绝。针对同一采购程序环节的质疑应一次性提出。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54F2F63D">
      <w:pPr>
        <w:spacing w:line="360" w:lineRule="auto"/>
        <w:rPr>
          <w:rFonts w:ascii="宋体" w:hAnsi="宋体" w:eastAsia="宋体"/>
          <w:b/>
          <w:color w:val="auto"/>
          <w:sz w:val="24"/>
          <w:highlight w:val="none"/>
        </w:rPr>
      </w:pPr>
      <w:bookmarkStart w:id="31" w:name="_Toc2554"/>
      <w:bookmarkStart w:id="32" w:name="_Toc32151"/>
      <w:r>
        <w:rPr>
          <w:rFonts w:hint="eastAsia" w:ascii="宋体" w:hAnsi="宋体" w:eastAsia="宋体"/>
          <w:b/>
          <w:color w:val="auto"/>
          <w:sz w:val="24"/>
          <w:highlight w:val="none"/>
        </w:rPr>
        <w:t>前注：</w:t>
      </w:r>
    </w:p>
    <w:p w14:paraId="4FBFF3E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0B897484">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29EED18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15095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7182B5B">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CE414AD">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w:t>
      </w:r>
    </w:p>
    <w:p w14:paraId="2E0565C9">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b/>
          <w:bCs/>
          <w:color w:val="auto"/>
          <w:sz w:val="24"/>
          <w:szCs w:val="18"/>
          <w:highlight w:val="none"/>
          <w:lang w:val="en-US" w:eastAsia="zh-CN"/>
        </w:rPr>
        <w:t>5.投标产品具有相应有效的医疗器械注册证（适用第二类和第三类医疗器械）或备案凭证（适用第一类医疗器械）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p w14:paraId="1FDF67F4">
      <w:pPr>
        <w:spacing w:line="360" w:lineRule="auto"/>
        <w:ind w:firstLine="437"/>
        <w:outlineLvl w:val="1"/>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b/>
          <w:bCs/>
          <w:color w:val="auto"/>
          <w:sz w:val="24"/>
          <w:szCs w:val="18"/>
          <w:highlight w:val="none"/>
          <w:lang w:val="en-US" w:eastAsia="zh-CN"/>
        </w:rPr>
        <w:t>6.</w:t>
      </w:r>
      <w:r>
        <w:rPr>
          <w:rFonts w:hint="eastAsia" w:ascii="宋体" w:hAnsi="宋体" w:eastAsia="宋体" w:cs="宋体"/>
          <w:b/>
          <w:bCs/>
          <w:color w:val="auto"/>
          <w:kern w:val="0"/>
          <w:sz w:val="24"/>
          <w:szCs w:val="24"/>
          <w:highlight w:val="none"/>
          <w:lang w:val="en-US" w:eastAsia="zh-CN" w:bidi="ar"/>
        </w:rPr>
        <w:t>货物需求相关标识符号说明</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125"/>
        <w:gridCol w:w="5370"/>
      </w:tblGrid>
      <w:tr w14:paraId="0AFF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center"/>
          </w:tcPr>
          <w:p w14:paraId="61FA7759">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标识重要性</w:t>
            </w:r>
          </w:p>
        </w:tc>
        <w:tc>
          <w:tcPr>
            <w:tcW w:w="1125" w:type="dxa"/>
            <w:noWrap w:val="0"/>
            <w:vAlign w:val="center"/>
          </w:tcPr>
          <w:p w14:paraId="7458B9D0">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标识符号</w:t>
            </w:r>
          </w:p>
        </w:tc>
        <w:tc>
          <w:tcPr>
            <w:tcW w:w="5370" w:type="dxa"/>
            <w:noWrap w:val="0"/>
            <w:vAlign w:val="center"/>
          </w:tcPr>
          <w:p w14:paraId="068D7158">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代表意思</w:t>
            </w:r>
          </w:p>
        </w:tc>
      </w:tr>
      <w:tr w14:paraId="4BBA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747F8E9B">
            <w:pPr>
              <w:widowControl/>
              <w:jc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关键指标项</w:t>
            </w:r>
          </w:p>
        </w:tc>
        <w:tc>
          <w:tcPr>
            <w:tcW w:w="1125" w:type="dxa"/>
            <w:noWrap w:val="0"/>
            <w:vAlign w:val="center"/>
          </w:tcPr>
          <w:p w14:paraId="3DE801FC">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w:t>
            </w:r>
          </w:p>
        </w:tc>
        <w:tc>
          <w:tcPr>
            <w:tcW w:w="5370" w:type="dxa"/>
            <w:noWrap w:val="0"/>
            <w:vAlign w:val="center"/>
          </w:tcPr>
          <w:p w14:paraId="14130FFE">
            <w:pPr>
              <w:widowControl/>
              <w:jc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符合性审查项，未响应或负偏离的，将导致投标无效</w:t>
            </w:r>
          </w:p>
        </w:tc>
      </w:tr>
      <w:tr w14:paraId="063D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08022E07">
            <w:pPr>
              <w:widowControl/>
              <w:jc w:val="center"/>
              <w:rPr>
                <w:rFonts w:hint="eastAsia"/>
                <w:color w:val="auto"/>
                <w:highlight w:val="none"/>
              </w:rPr>
            </w:pPr>
            <w:r>
              <w:rPr>
                <w:rFonts w:hint="eastAsia" w:ascii="宋体" w:hAnsi="宋体" w:eastAsia="宋体" w:cs="宋体"/>
                <w:color w:val="auto"/>
                <w:kern w:val="0"/>
                <w:sz w:val="24"/>
                <w:szCs w:val="24"/>
                <w:highlight w:val="none"/>
                <w:lang w:bidi="ar"/>
              </w:rPr>
              <w:t>重要指标项</w:t>
            </w:r>
          </w:p>
        </w:tc>
        <w:tc>
          <w:tcPr>
            <w:tcW w:w="1125" w:type="dxa"/>
            <w:noWrap w:val="0"/>
            <w:vAlign w:val="center"/>
          </w:tcPr>
          <w:p w14:paraId="2A7577E2">
            <w:pPr>
              <w:widowControl/>
              <w:jc w:val="center"/>
              <w:rPr>
                <w:rFonts w:hint="eastAsia"/>
                <w:color w:val="auto"/>
                <w:highlight w:val="none"/>
              </w:rPr>
            </w:pPr>
            <w:r>
              <w:rPr>
                <w:rFonts w:hint="eastAsia"/>
                <w:color w:val="auto"/>
                <w:highlight w:val="none"/>
              </w:rPr>
              <w:t>*</w:t>
            </w:r>
          </w:p>
        </w:tc>
        <w:tc>
          <w:tcPr>
            <w:tcW w:w="5370" w:type="dxa"/>
            <w:noWrap w:val="0"/>
            <w:vAlign w:val="center"/>
          </w:tcPr>
          <w:p w14:paraId="52CBEB9E">
            <w:pPr>
              <w:widowControl/>
              <w:jc w:val="center"/>
              <w:rPr>
                <w:rFonts w:hint="eastAsia"/>
                <w:b w:val="0"/>
                <w:bCs w:val="0"/>
                <w:color w:val="auto"/>
                <w:highlight w:val="none"/>
              </w:rPr>
            </w:pPr>
            <w:r>
              <w:rPr>
                <w:rFonts w:hint="eastAsia" w:ascii="宋体" w:hAnsi="宋体" w:eastAsia="宋体" w:cs="宋体"/>
                <w:b w:val="0"/>
                <w:bCs w:val="0"/>
                <w:color w:val="auto"/>
                <w:kern w:val="0"/>
                <w:sz w:val="24"/>
                <w:szCs w:val="24"/>
                <w:highlight w:val="none"/>
                <w:lang w:bidi="ar"/>
              </w:rPr>
              <w:t>评分项，详见第四章评分细则</w:t>
            </w:r>
          </w:p>
        </w:tc>
      </w:tr>
      <w:tr w14:paraId="1433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027" w:type="dxa"/>
            <w:noWrap w:val="0"/>
            <w:vAlign w:val="center"/>
          </w:tcPr>
          <w:p w14:paraId="1AA77DBD">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无标识项</w:t>
            </w:r>
          </w:p>
        </w:tc>
        <w:tc>
          <w:tcPr>
            <w:tcW w:w="1125" w:type="dxa"/>
            <w:noWrap w:val="0"/>
            <w:vAlign w:val="center"/>
          </w:tcPr>
          <w:p w14:paraId="59D609A5">
            <w:pPr>
              <w:widowControl/>
              <w:jc w:val="center"/>
              <w:rPr>
                <w:rFonts w:hint="eastAsia" w:ascii="宋体" w:hAnsi="宋体" w:eastAsia="宋体" w:cs="宋体"/>
                <w:color w:val="auto"/>
                <w:kern w:val="0"/>
                <w:sz w:val="24"/>
                <w:szCs w:val="24"/>
                <w:highlight w:val="none"/>
                <w:lang w:bidi="ar"/>
              </w:rPr>
            </w:pPr>
          </w:p>
        </w:tc>
        <w:tc>
          <w:tcPr>
            <w:tcW w:w="5370" w:type="dxa"/>
            <w:noWrap w:val="0"/>
            <w:vAlign w:val="center"/>
          </w:tcPr>
          <w:p w14:paraId="2C7204C6">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评分项，详见评分细则。</w:t>
            </w:r>
          </w:p>
        </w:tc>
      </w:tr>
      <w:tr w14:paraId="1C76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noWrap w:val="0"/>
            <w:vAlign w:val="top"/>
          </w:tcPr>
          <w:p w14:paraId="372277A3">
            <w:pPr>
              <w:widowControl/>
              <w:jc w:val="left"/>
              <w:rPr>
                <w:rFonts w:hint="eastAsia"/>
                <w:color w:val="auto"/>
                <w:highlight w:val="none"/>
              </w:rPr>
            </w:pPr>
            <w:r>
              <w:rPr>
                <w:rFonts w:hint="eastAsia" w:ascii="宋体" w:hAnsi="宋体" w:eastAsia="宋体" w:cs="宋体"/>
                <w:b/>
                <w:bCs/>
                <w:color w:val="auto"/>
                <w:kern w:val="0"/>
                <w:sz w:val="24"/>
                <w:szCs w:val="24"/>
                <w:highlight w:val="none"/>
                <w:lang w:bidi="ar"/>
              </w:rPr>
              <w:t xml:space="preserve">注： </w:t>
            </w:r>
          </w:p>
          <w:p w14:paraId="7F36B833">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1）其中标注</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投标文件中提供能反映其所在条款的相关证明材料扫描件，证明材料包括：产品彩页、技术白皮书、产品说明书、检测/检验报告或“技术参数及要求”中要求的其他证明材料，提供其中之一即可，否则视为负偏离（为便于评审，建议投标人在投标文件中标明证明材料对应的页码，并对参数指标进行标注（如下划线、背景颜色等））。</w:t>
            </w:r>
          </w:p>
          <w:p w14:paraId="34510BBA">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2）</w:t>
            </w:r>
            <w:r>
              <w:rPr>
                <w:rFonts w:hint="eastAsia" w:ascii="宋体" w:hAnsi="宋体" w:eastAsia="宋体" w:cs="宋体"/>
                <w:b/>
                <w:bCs/>
                <w:color w:val="auto"/>
                <w:kern w:val="0"/>
                <w:sz w:val="24"/>
                <w:szCs w:val="24"/>
                <w:highlight w:val="none"/>
                <w:lang w:val="en-US" w:eastAsia="zh-CN" w:bidi="ar"/>
              </w:rPr>
              <w:t>其中</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无标识项</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的条款按照对应参数</w:t>
            </w:r>
            <w:r>
              <w:rPr>
                <w:rFonts w:hint="eastAsia" w:ascii="宋体" w:hAnsi="宋体" w:eastAsia="宋体" w:cs="宋体"/>
                <w:b/>
                <w:bCs/>
                <w:color w:val="auto"/>
                <w:kern w:val="0"/>
                <w:sz w:val="24"/>
                <w:szCs w:val="24"/>
                <w:highlight w:val="none"/>
                <w:lang w:val="en-US" w:eastAsia="zh-CN" w:bidi="ar"/>
              </w:rPr>
              <w:t>中</w:t>
            </w:r>
            <w:r>
              <w:rPr>
                <w:rFonts w:hint="eastAsia" w:ascii="宋体" w:hAnsi="宋体" w:eastAsia="宋体" w:cs="宋体"/>
                <w:b/>
                <w:bCs/>
                <w:color w:val="auto"/>
                <w:kern w:val="0"/>
                <w:sz w:val="24"/>
                <w:szCs w:val="24"/>
                <w:highlight w:val="none"/>
                <w:lang w:eastAsia="zh-CN" w:bidi="ar"/>
              </w:rPr>
              <w:t>的</w:t>
            </w:r>
            <w:r>
              <w:rPr>
                <w:rFonts w:hint="eastAsia" w:ascii="宋体" w:hAnsi="宋体" w:eastAsia="宋体" w:cs="宋体"/>
                <w:b/>
                <w:bCs/>
                <w:color w:val="auto"/>
                <w:kern w:val="0"/>
                <w:sz w:val="24"/>
                <w:szCs w:val="24"/>
                <w:highlight w:val="none"/>
                <w:lang w:bidi="ar"/>
              </w:rPr>
              <w:t>要求提供证明材料（未提供证明材料的不得分），若对应参数没有要求提供证明材料，投标人可以不提供证明材料，投标人须真实填写</w:t>
            </w:r>
            <w:r>
              <w:rPr>
                <w:rFonts w:hint="eastAsia" w:ascii="宋体" w:hAnsi="宋体" w:eastAsia="宋体" w:cs="宋体"/>
                <w:b/>
                <w:bCs/>
                <w:color w:val="auto"/>
                <w:kern w:val="0"/>
                <w:sz w:val="24"/>
                <w:szCs w:val="24"/>
                <w:highlight w:val="none"/>
                <w:lang w:eastAsia="zh-CN" w:bidi="ar"/>
              </w:rPr>
              <w:t>“技术响应表”</w:t>
            </w:r>
            <w:r>
              <w:rPr>
                <w:rFonts w:hint="eastAsia" w:ascii="宋体" w:hAnsi="宋体" w:eastAsia="宋体" w:cs="宋体"/>
                <w:b/>
                <w:bCs/>
                <w:color w:val="auto"/>
                <w:kern w:val="0"/>
                <w:sz w:val="24"/>
                <w:szCs w:val="24"/>
                <w:highlight w:val="none"/>
                <w:lang w:bidi="ar"/>
              </w:rPr>
              <w:t>，评标委员会按照“技术响应表”响应情况进行评审。</w:t>
            </w:r>
          </w:p>
          <w:p w14:paraId="3B3437CE">
            <w:pPr>
              <w:widowControl/>
              <w:spacing w:line="360" w:lineRule="auto"/>
              <w:jc w:val="left"/>
              <w:rPr>
                <w:rFonts w:hint="default"/>
                <w:color w:val="auto"/>
                <w:highlight w:val="none"/>
                <w:lang w:val="en-US"/>
              </w:rPr>
            </w:pPr>
            <w:r>
              <w:rPr>
                <w:rFonts w:hint="eastAsia" w:ascii="宋体" w:hAnsi="宋体" w:eastAsia="宋体" w:cs="宋体"/>
                <w:b/>
                <w:bCs/>
                <w:color w:val="auto"/>
                <w:kern w:val="0"/>
                <w:sz w:val="24"/>
                <w:szCs w:val="24"/>
                <w:highlight w:val="none"/>
                <w:lang w:val="en-US" w:eastAsia="zh-CN" w:bidi="ar"/>
              </w:rPr>
              <w:t>3</w:t>
            </w:r>
            <w:r>
              <w:rPr>
                <w:rFonts w:hint="eastAsia" w:ascii="宋体" w:hAnsi="宋体" w:eastAsia="宋体" w:cs="宋体"/>
                <w:b/>
                <w:bCs/>
                <w:color w:val="auto"/>
                <w:kern w:val="0"/>
                <w:sz w:val="24"/>
                <w:szCs w:val="24"/>
                <w:highlight w:val="none"/>
                <w:lang w:bidi="ar"/>
              </w:rPr>
              <w:t>）如某项标识同时存在一级标识和二级标识时，则以二级标识为最小单位计算条目数量；如某项标识同时存在二级标识和三级标识时，则以三级标识为最小单位计算条目数量</w:t>
            </w:r>
            <w:r>
              <w:rPr>
                <w:rFonts w:hint="eastAsia" w:ascii="宋体" w:hAnsi="宋体" w:eastAsia="宋体" w:cs="宋体"/>
                <w:b/>
                <w:bCs/>
                <w:color w:val="auto"/>
                <w:kern w:val="0"/>
                <w:sz w:val="24"/>
                <w:szCs w:val="24"/>
                <w:highlight w:val="none"/>
                <w:lang w:eastAsia="zh-CN" w:bidi="ar"/>
              </w:rPr>
              <w:t>，以此类推</w:t>
            </w:r>
            <w:r>
              <w:rPr>
                <w:rFonts w:hint="eastAsia" w:ascii="宋体" w:hAnsi="宋体" w:eastAsia="宋体" w:cs="宋体"/>
                <w:b/>
                <w:bCs/>
                <w:color w:val="auto"/>
                <w:kern w:val="0"/>
                <w:sz w:val="24"/>
                <w:szCs w:val="24"/>
                <w:highlight w:val="none"/>
                <w:lang w:bidi="ar"/>
              </w:rPr>
              <w:t>。</w:t>
            </w:r>
          </w:p>
        </w:tc>
      </w:tr>
    </w:tbl>
    <w:p w14:paraId="0E978DEC">
      <w:pPr>
        <w:spacing w:line="360" w:lineRule="auto"/>
        <w:ind w:firstLine="437"/>
        <w:outlineLvl w:val="9"/>
        <w:rPr>
          <w:rFonts w:hint="eastAsia" w:ascii="宋体" w:hAnsi="宋体" w:eastAsia="宋体"/>
          <w:b/>
          <w:color w:val="auto"/>
          <w:sz w:val="24"/>
          <w:szCs w:val="18"/>
          <w:highlight w:val="none"/>
        </w:rPr>
      </w:pPr>
    </w:p>
    <w:p w14:paraId="374C49B2">
      <w:pPr>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br w:type="page"/>
      </w:r>
    </w:p>
    <w:p w14:paraId="30B0ED33">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&lt;</w:t>
      </w:r>
      <w:r>
        <w:rPr>
          <w:rFonts w:hint="eastAsia" w:ascii="宋体" w:hAnsi="宋体" w:eastAsia="宋体"/>
          <w:b/>
          <w:color w:val="auto"/>
          <w:sz w:val="24"/>
          <w:szCs w:val="18"/>
          <w:highlight w:val="none"/>
        </w:rPr>
        <w:t>一</w:t>
      </w:r>
      <w:r>
        <w:rPr>
          <w:rFonts w:hint="eastAsia" w:ascii="宋体" w:hAnsi="宋体" w:eastAsia="宋体"/>
          <w:b/>
          <w:color w:val="auto"/>
          <w:sz w:val="24"/>
          <w:szCs w:val="18"/>
          <w:highlight w:val="none"/>
          <w:lang w:val="en-US" w:eastAsia="zh-CN"/>
        </w:rPr>
        <w:t>&gt;</w:t>
      </w:r>
      <w:r>
        <w:rPr>
          <w:rFonts w:hint="eastAsia" w:ascii="宋体" w:hAnsi="宋体" w:eastAsia="宋体"/>
          <w:b/>
          <w:color w:val="auto"/>
          <w:sz w:val="24"/>
          <w:szCs w:val="18"/>
          <w:highlight w:val="none"/>
        </w:rPr>
        <w:t>采购需求前附表</w:t>
      </w:r>
      <w:bookmarkEnd w:id="31"/>
      <w:bookmarkEnd w:id="3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rPr>
              <w:t>经验收合格后6个月后依照医院付款流程支付。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AB9F940">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64A45A16">
            <w:pPr>
              <w:pStyle w:val="31"/>
              <w:widowControl w:val="0"/>
              <w:spacing w:before="0" w:beforeAutospacing="0" w:after="0" w:afterAutospacing="0" w:line="360" w:lineRule="auto"/>
              <w:jc w:val="left"/>
              <w:rPr>
                <w:rFonts w:hint="eastAsia" w:ascii="宋体" w:hAnsi="宋体" w:eastAsia="宋体"/>
                <w:b w:val="0"/>
                <w:bCs/>
                <w:color w:val="auto"/>
                <w:sz w:val="24"/>
                <w:highlight w:val="none"/>
                <w:u w:val="none"/>
                <w:lang w:val="en-US" w:eastAsia="zh-CN"/>
              </w:rPr>
            </w:pPr>
            <w:r>
              <w:rPr>
                <w:rFonts w:hint="eastAsia" w:ascii="宋体" w:hAnsi="宋体" w:eastAsia="宋体"/>
                <w:b w:val="0"/>
                <w:bCs/>
                <w:color w:val="auto"/>
                <w:sz w:val="24"/>
                <w:highlight w:val="none"/>
                <w:u w:val="none"/>
              </w:rPr>
              <w:t>保修生效期为：设备安装后验收合格后</w:t>
            </w:r>
            <w:r>
              <w:rPr>
                <w:rFonts w:hint="eastAsia" w:ascii="宋体" w:hAnsi="宋体" w:eastAsia="宋体"/>
                <w:b w:val="0"/>
                <w:bCs/>
                <w:color w:val="auto"/>
                <w:sz w:val="24"/>
                <w:highlight w:val="none"/>
                <w:u w:val="none"/>
                <w:lang w:eastAsia="zh-CN"/>
              </w:rPr>
              <w:t>。</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6BA5A37C">
            <w:pPr>
              <w:pStyle w:val="31"/>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免费质保期</w:t>
            </w:r>
          </w:p>
        </w:tc>
        <w:tc>
          <w:tcPr>
            <w:tcW w:w="5484" w:type="dxa"/>
            <w:vAlign w:val="center"/>
          </w:tcPr>
          <w:p w14:paraId="54491F6A">
            <w:pPr>
              <w:pStyle w:val="31"/>
              <w:widowControl w:val="0"/>
              <w:spacing w:before="0" w:beforeAutospacing="0" w:after="0" w:afterAutospacing="0" w:line="360" w:lineRule="auto"/>
              <w:jc w:val="both"/>
              <w:rPr>
                <w:rFonts w:ascii="宋体" w:hAnsi="宋体" w:eastAsia="宋体"/>
                <w:b w:val="0"/>
                <w:bCs/>
                <w:color w:val="auto"/>
                <w:sz w:val="24"/>
                <w:highlight w:val="none"/>
                <w:u w:val="none"/>
              </w:rPr>
            </w:pPr>
            <w:r>
              <w:rPr>
                <w:rFonts w:hint="eastAsia" w:ascii="宋体" w:hAnsi="宋体" w:eastAsia="宋体"/>
                <w:b w:val="0"/>
                <w:bCs/>
                <w:color w:val="auto"/>
                <w:sz w:val="24"/>
                <w:szCs w:val="18"/>
                <w:highlight w:val="none"/>
                <w:u w:val="none"/>
                <w:lang w:val="en-US" w:eastAsia="zh-CN"/>
              </w:rPr>
              <w:t xml:space="preserve"> 整机质保自验收合格之日起不少于3年。 </w:t>
            </w:r>
          </w:p>
        </w:tc>
      </w:tr>
    </w:tbl>
    <w:p w14:paraId="3E806DB2">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二</w:t>
      </w:r>
      <w:r>
        <w:rPr>
          <w:rFonts w:hint="eastAsia" w:ascii="宋体" w:hAnsi="宋体" w:eastAsia="宋体"/>
          <w:b/>
          <w:bCs/>
          <w:color w:val="auto"/>
          <w:sz w:val="24"/>
          <w:szCs w:val="18"/>
          <w:highlight w:val="none"/>
          <w:lang w:val="en-US" w:eastAsia="zh-CN"/>
        </w:rPr>
        <w:t>&gt;</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tbl>
      <w:tblPr>
        <w:tblStyle w:val="22"/>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3025"/>
        <w:gridCol w:w="1358"/>
        <w:gridCol w:w="1515"/>
        <w:gridCol w:w="827"/>
      </w:tblGrid>
      <w:tr w14:paraId="1B7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29D46BD">
            <w:pPr>
              <w:spacing w:line="500" w:lineRule="exact"/>
              <w:jc w:val="center"/>
              <w:rPr>
                <w:rFonts w:hint="eastAsia" w:ascii="宋体" w:hAnsi="宋体" w:eastAsia="宋体" w:cs="宋体"/>
                <w:color w:val="auto"/>
                <w:sz w:val="24"/>
                <w:szCs w:val="24"/>
                <w:highlight w:val="none"/>
                <w:lang w:val="en-US" w:eastAsia="zh-CN"/>
              </w:rPr>
            </w:pPr>
            <w:bookmarkStart w:id="35" w:name="_Toc7421"/>
            <w:bookmarkStart w:id="36" w:name="_Toc4843"/>
            <w:r>
              <w:rPr>
                <w:rFonts w:hint="eastAsia" w:ascii="宋体" w:hAnsi="宋体" w:eastAsia="宋体" w:cs="宋体"/>
                <w:color w:val="auto"/>
                <w:sz w:val="24"/>
                <w:szCs w:val="24"/>
                <w:highlight w:val="none"/>
                <w:lang w:val="en-US" w:eastAsia="zh-CN"/>
              </w:rPr>
              <w:t>序号</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0B4DAB6">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02C34FD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采购数量</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434E97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详细参数</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7AE0490">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DB0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798D72E">
            <w:pPr>
              <w:spacing w:line="5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2812A2F">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动态心电记录盒（Holter）</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7767FF8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30台</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F54AE0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详见下文</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27471E1">
            <w:pPr>
              <w:spacing w:line="500" w:lineRule="exact"/>
              <w:jc w:val="center"/>
              <w:rPr>
                <w:rFonts w:hint="eastAsia" w:ascii="宋体" w:hAnsi="宋体" w:eastAsia="宋体" w:cs="宋体"/>
                <w:color w:val="auto"/>
                <w:sz w:val="24"/>
                <w:szCs w:val="24"/>
                <w:highlight w:val="none"/>
              </w:rPr>
            </w:pPr>
          </w:p>
        </w:tc>
      </w:tr>
    </w:tbl>
    <w:p w14:paraId="77B92F9F">
      <w:pPr>
        <w:numPr>
          <w:ilvl w:val="0"/>
          <w:numId w:val="0"/>
        </w:numPr>
        <w:ind w:left="210" w:leftChars="100" w:firstLine="440" w:firstLineChars="200"/>
        <w:rPr>
          <w:rFonts w:hint="eastAsia" w:ascii="宋体" w:hAnsi="宋体" w:eastAsia="宋体" w:cs="宋体"/>
          <w:color w:val="auto"/>
          <w:kern w:val="2"/>
          <w:sz w:val="22"/>
          <w:szCs w:val="22"/>
          <w:highlight w:val="none"/>
          <w:lang w:val="en-US" w:eastAsia="zh-CN" w:bidi="ar-SA"/>
        </w:rPr>
      </w:pPr>
    </w:p>
    <w:p w14:paraId="38DD6EBE">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2"/>
          <w:szCs w:val="22"/>
          <w:highlight w:val="none"/>
          <w:lang w:val="en-US" w:eastAsia="zh-CN"/>
        </w:rPr>
        <w:t>一</w:t>
      </w:r>
      <w:r>
        <w:rPr>
          <w:rFonts w:hint="eastAsia" w:ascii="宋体" w:hAnsi="宋体" w:eastAsia="宋体" w:cs="宋体"/>
          <w:b/>
          <w:bCs/>
          <w:color w:val="auto"/>
          <w:spacing w:val="0"/>
          <w:sz w:val="24"/>
          <w:szCs w:val="24"/>
          <w:highlight w:val="none"/>
          <w:lang w:val="en-US" w:eastAsia="zh-CN"/>
        </w:rPr>
        <w:t>、</w:t>
      </w:r>
      <w:r>
        <w:rPr>
          <w:rFonts w:hint="eastAsia" w:ascii="宋体" w:hAnsi="宋体" w:eastAsia="宋体" w:cs="宋体"/>
          <w:b/>
          <w:bCs/>
          <w:color w:val="auto"/>
          <w:spacing w:val="0"/>
          <w:sz w:val="24"/>
          <w:szCs w:val="24"/>
          <w:highlight w:val="none"/>
        </w:rPr>
        <w:t>系统总体</w:t>
      </w:r>
      <w:r>
        <w:rPr>
          <w:rFonts w:hint="eastAsia" w:ascii="宋体" w:hAnsi="宋体" w:eastAsia="宋体" w:cs="宋体"/>
          <w:b/>
          <w:bCs/>
          <w:color w:val="auto"/>
          <w:spacing w:val="0"/>
          <w:sz w:val="24"/>
          <w:szCs w:val="24"/>
          <w:highlight w:val="none"/>
          <w:lang w:val="en-US" w:eastAsia="zh-CN"/>
        </w:rPr>
        <w:t>要求</w:t>
      </w:r>
    </w:p>
    <w:p w14:paraId="2FF7063C">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1.</w:t>
      </w:r>
      <w:r>
        <w:rPr>
          <w:rFonts w:hint="eastAsia" w:ascii="宋体" w:hAnsi="宋体" w:eastAsia="宋体" w:cs="宋体"/>
          <w:bCs/>
          <w:color w:val="auto"/>
          <w:spacing w:val="0"/>
          <w:sz w:val="24"/>
          <w:szCs w:val="24"/>
          <w:highlight w:val="none"/>
        </w:rPr>
        <w:t>要求系统具有完整的分级权限管理系统，可针对不同人员授予不同的权限。</w:t>
      </w:r>
    </w:p>
    <w:p w14:paraId="0FCA92C3">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2.</w:t>
      </w:r>
      <w:r>
        <w:rPr>
          <w:rFonts w:hint="eastAsia" w:ascii="宋体" w:hAnsi="宋体" w:eastAsia="宋体" w:cs="宋体"/>
          <w:bCs/>
          <w:color w:val="auto"/>
          <w:spacing w:val="0"/>
          <w:sz w:val="24"/>
          <w:szCs w:val="24"/>
          <w:highlight w:val="none"/>
          <w:lang w:val="en-US" w:eastAsia="zh-CN"/>
        </w:rPr>
        <w:t>系统能</w:t>
      </w:r>
      <w:r>
        <w:rPr>
          <w:rFonts w:hint="eastAsia" w:ascii="宋体" w:hAnsi="宋体" w:eastAsia="宋体" w:cs="宋体"/>
          <w:bCs/>
          <w:color w:val="auto"/>
          <w:spacing w:val="0"/>
          <w:sz w:val="24"/>
          <w:szCs w:val="24"/>
          <w:highlight w:val="none"/>
        </w:rPr>
        <w:t>完成心电图检查的心电图采集</w:t>
      </w:r>
      <w:r>
        <w:rPr>
          <w:rFonts w:hint="eastAsia" w:ascii="宋体" w:hAnsi="宋体" w:eastAsia="宋体" w:cs="宋体"/>
          <w:bCs/>
          <w:color w:val="auto"/>
          <w:spacing w:val="0"/>
          <w:sz w:val="24"/>
          <w:szCs w:val="24"/>
          <w:highlight w:val="none"/>
          <w:lang w:eastAsia="zh-CN"/>
        </w:rPr>
        <w:t>、</w:t>
      </w:r>
      <w:r>
        <w:rPr>
          <w:rFonts w:hint="eastAsia" w:ascii="宋体" w:hAnsi="宋体" w:eastAsia="宋体" w:cs="宋体"/>
          <w:bCs/>
          <w:color w:val="auto"/>
          <w:spacing w:val="0"/>
          <w:sz w:val="24"/>
          <w:szCs w:val="24"/>
          <w:highlight w:val="none"/>
        </w:rPr>
        <w:t>自动存储、检查报告处理、查询病人心电图数据等，并与医院的其它信息系统无缝集成。</w:t>
      </w:r>
    </w:p>
    <w:p w14:paraId="28B320C9">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3.</w:t>
      </w:r>
      <w:r>
        <w:rPr>
          <w:rFonts w:hint="eastAsia" w:ascii="宋体" w:hAnsi="宋体" w:eastAsia="宋体" w:cs="宋体"/>
          <w:bCs/>
          <w:color w:val="auto"/>
          <w:spacing w:val="0"/>
          <w:sz w:val="24"/>
          <w:szCs w:val="24"/>
          <w:highlight w:val="none"/>
        </w:rPr>
        <w:t>心电检查</w:t>
      </w:r>
      <w:r>
        <w:rPr>
          <w:rFonts w:hint="eastAsia" w:ascii="宋体" w:hAnsi="宋体" w:eastAsia="宋体" w:cs="宋体"/>
          <w:bCs/>
          <w:color w:val="auto"/>
          <w:spacing w:val="0"/>
          <w:sz w:val="24"/>
          <w:szCs w:val="24"/>
          <w:highlight w:val="none"/>
          <w:lang w:val="en-US" w:eastAsia="zh-CN"/>
        </w:rPr>
        <w:t>的</w:t>
      </w:r>
      <w:r>
        <w:rPr>
          <w:rFonts w:hint="eastAsia" w:ascii="宋体" w:hAnsi="宋体" w:eastAsia="宋体" w:cs="宋体"/>
          <w:bCs/>
          <w:color w:val="auto"/>
          <w:spacing w:val="0"/>
          <w:sz w:val="24"/>
          <w:szCs w:val="24"/>
          <w:highlight w:val="none"/>
        </w:rPr>
        <w:t>检查数据直接通过网络发送至心电服务器。</w:t>
      </w:r>
    </w:p>
    <w:p w14:paraId="0C3161E0">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4.</w:t>
      </w:r>
      <w:r>
        <w:rPr>
          <w:rFonts w:hint="eastAsia" w:ascii="宋体" w:hAnsi="宋体" w:eastAsia="宋体" w:cs="宋体"/>
          <w:bCs/>
          <w:color w:val="auto"/>
          <w:spacing w:val="0"/>
          <w:sz w:val="24"/>
          <w:szCs w:val="24"/>
          <w:highlight w:val="none"/>
        </w:rPr>
        <w:t>心电</w:t>
      </w:r>
      <w:r>
        <w:rPr>
          <w:rFonts w:hint="eastAsia" w:ascii="宋体" w:hAnsi="宋体" w:eastAsia="宋体" w:cs="宋体"/>
          <w:bCs/>
          <w:color w:val="auto"/>
          <w:spacing w:val="0"/>
          <w:sz w:val="24"/>
          <w:szCs w:val="24"/>
          <w:highlight w:val="none"/>
          <w:lang w:val="en-US" w:eastAsia="zh-CN"/>
        </w:rPr>
        <w:t>图判读</w:t>
      </w:r>
      <w:r>
        <w:rPr>
          <w:rFonts w:hint="eastAsia" w:ascii="宋体" w:hAnsi="宋体" w:eastAsia="宋体" w:cs="宋体"/>
          <w:bCs/>
          <w:color w:val="auto"/>
          <w:spacing w:val="0"/>
          <w:sz w:val="24"/>
          <w:szCs w:val="24"/>
          <w:highlight w:val="none"/>
        </w:rPr>
        <w:t>工作站负责处理所有心电检查设备发送过来的心电图，并发出报告。</w:t>
      </w:r>
    </w:p>
    <w:p w14:paraId="5AF3B9A8">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5.</w:t>
      </w:r>
      <w:r>
        <w:rPr>
          <w:rFonts w:hint="eastAsia" w:ascii="宋体" w:hAnsi="宋体" w:eastAsia="宋体" w:cs="宋体"/>
          <w:bCs/>
          <w:color w:val="auto"/>
          <w:spacing w:val="0"/>
          <w:sz w:val="24"/>
          <w:szCs w:val="24"/>
          <w:highlight w:val="none"/>
        </w:rPr>
        <w:t>支持心电图数据存储为</w:t>
      </w:r>
      <w:r>
        <w:rPr>
          <w:rFonts w:hint="eastAsia" w:ascii="宋体" w:hAnsi="宋体" w:eastAsia="宋体" w:cs="宋体"/>
          <w:bCs/>
          <w:color w:val="auto"/>
          <w:spacing w:val="0"/>
          <w:sz w:val="24"/>
          <w:szCs w:val="24"/>
          <w:highlight w:val="none"/>
          <w:lang w:val="en-US" w:eastAsia="zh-CN"/>
        </w:rPr>
        <w:t>nhd</w:t>
      </w:r>
      <w:r>
        <w:rPr>
          <w:rFonts w:hint="eastAsia" w:ascii="宋体" w:hAnsi="宋体" w:eastAsia="宋体" w:cs="宋体"/>
          <w:bCs/>
          <w:color w:val="auto"/>
          <w:spacing w:val="0"/>
          <w:sz w:val="24"/>
          <w:szCs w:val="24"/>
          <w:highlight w:val="none"/>
        </w:rPr>
        <w:t>、BMP等数据。</w:t>
      </w:r>
    </w:p>
    <w:p w14:paraId="58B71780">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二、</w:t>
      </w:r>
      <w:r>
        <w:rPr>
          <w:rFonts w:hint="eastAsia" w:ascii="宋体" w:hAnsi="宋体" w:eastAsia="宋体" w:cs="宋体"/>
          <w:b/>
          <w:bCs/>
          <w:color w:val="auto"/>
          <w:spacing w:val="0"/>
          <w:sz w:val="24"/>
          <w:szCs w:val="24"/>
          <w:highlight w:val="none"/>
        </w:rPr>
        <w:t>系统功能要求</w:t>
      </w:r>
    </w:p>
    <w:p w14:paraId="073BC55A">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 xml:space="preserve">1. </w:t>
      </w:r>
      <w:r>
        <w:rPr>
          <w:rFonts w:hint="eastAsia" w:ascii="宋体" w:hAnsi="宋体" w:eastAsia="宋体" w:cs="宋体"/>
          <w:b/>
          <w:bCs/>
          <w:color w:val="auto"/>
          <w:spacing w:val="0"/>
          <w:sz w:val="24"/>
          <w:szCs w:val="24"/>
          <w:highlight w:val="none"/>
        </w:rPr>
        <w:t>服务器端要求</w:t>
      </w:r>
    </w:p>
    <w:p w14:paraId="375FB92C">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 xml:space="preserve">1.1 </w:t>
      </w:r>
      <w:r>
        <w:rPr>
          <w:rFonts w:hint="eastAsia" w:ascii="宋体" w:hAnsi="宋体" w:eastAsia="宋体" w:cs="宋体"/>
          <w:bCs/>
          <w:color w:val="auto"/>
          <w:spacing w:val="0"/>
          <w:sz w:val="24"/>
          <w:szCs w:val="24"/>
          <w:highlight w:val="none"/>
        </w:rPr>
        <w:t>在线数据采用RAID5进项冗余备份，保证数据的安全性，且病人资料具有延续性和完整性，方便操作和查询统计。支持CD/DVD光盘刻录备份病人数据。</w:t>
      </w:r>
    </w:p>
    <w:p w14:paraId="5C8FB68E">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 xml:space="preserve">1.2 </w:t>
      </w:r>
      <w:r>
        <w:rPr>
          <w:rFonts w:hint="eastAsia" w:ascii="宋体" w:hAnsi="宋体" w:eastAsia="宋体" w:cs="宋体"/>
          <w:bCs/>
          <w:color w:val="auto"/>
          <w:spacing w:val="0"/>
          <w:sz w:val="24"/>
          <w:szCs w:val="24"/>
          <w:highlight w:val="none"/>
        </w:rPr>
        <w:t>采用专业的服务器，同时支持扩容，满足医院对数据存储不断增长的需求。</w:t>
      </w:r>
    </w:p>
    <w:p w14:paraId="1ECC3752">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
          <w:bCs w:val="0"/>
          <w:color w:val="auto"/>
          <w:spacing w:val="0"/>
          <w:sz w:val="24"/>
          <w:szCs w:val="24"/>
          <w:highlight w:val="none"/>
          <w:lang w:val="en-US" w:eastAsia="zh-CN"/>
        </w:rPr>
        <w:t>2.</w:t>
      </w:r>
      <w:r>
        <w:rPr>
          <w:rFonts w:hint="eastAsia" w:ascii="宋体" w:hAnsi="宋体" w:eastAsia="宋体" w:cs="宋体"/>
          <w:b/>
          <w:bCs w:val="0"/>
          <w:color w:val="auto"/>
          <w:spacing w:val="0"/>
          <w:sz w:val="24"/>
          <w:szCs w:val="24"/>
          <w:highlight w:val="none"/>
        </w:rPr>
        <w:t>管理及统计</w:t>
      </w:r>
      <w:r>
        <w:rPr>
          <w:rFonts w:hint="eastAsia" w:ascii="宋体" w:hAnsi="宋体" w:eastAsia="宋体" w:cs="宋体"/>
          <w:b/>
          <w:bCs w:val="0"/>
          <w:color w:val="auto"/>
          <w:spacing w:val="0"/>
          <w:sz w:val="24"/>
          <w:szCs w:val="24"/>
          <w:highlight w:val="none"/>
          <w:lang w:val="en-US" w:eastAsia="zh-CN"/>
        </w:rPr>
        <w:t>要求</w:t>
      </w:r>
    </w:p>
    <w:p w14:paraId="7ECD4B7B">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 xml:space="preserve">2.1 </w:t>
      </w:r>
      <w:r>
        <w:rPr>
          <w:rFonts w:hint="eastAsia" w:ascii="宋体" w:hAnsi="宋体" w:eastAsia="宋体" w:cs="宋体"/>
          <w:bCs/>
          <w:color w:val="auto"/>
          <w:spacing w:val="0"/>
          <w:sz w:val="24"/>
          <w:szCs w:val="24"/>
          <w:highlight w:val="none"/>
        </w:rPr>
        <w:t>可对科室工作情况、病人资料、心电图结论等进行统计，生成表格报表的方式。</w:t>
      </w:r>
    </w:p>
    <w:p w14:paraId="5E65DFD5">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2.2 支持</w:t>
      </w:r>
      <w:r>
        <w:rPr>
          <w:rFonts w:hint="eastAsia" w:ascii="宋体" w:hAnsi="宋体" w:eastAsia="宋体" w:cs="宋体"/>
          <w:bCs/>
          <w:color w:val="auto"/>
          <w:spacing w:val="0"/>
          <w:sz w:val="24"/>
          <w:szCs w:val="24"/>
          <w:highlight w:val="none"/>
        </w:rPr>
        <w:t>灵活检索条件</w:t>
      </w:r>
      <w:r>
        <w:rPr>
          <w:rFonts w:hint="eastAsia" w:ascii="宋体" w:hAnsi="宋体" w:eastAsia="宋体" w:cs="宋体"/>
          <w:bCs/>
          <w:color w:val="auto"/>
          <w:spacing w:val="0"/>
          <w:sz w:val="24"/>
          <w:szCs w:val="24"/>
          <w:highlight w:val="none"/>
          <w:lang w:val="en-US" w:eastAsia="zh-CN"/>
        </w:rPr>
        <w:t>实现检索功能</w:t>
      </w:r>
      <w:r>
        <w:rPr>
          <w:rFonts w:hint="eastAsia" w:ascii="宋体" w:hAnsi="宋体" w:eastAsia="宋体" w:cs="宋体"/>
          <w:bCs/>
          <w:color w:val="auto"/>
          <w:spacing w:val="0"/>
          <w:sz w:val="24"/>
          <w:szCs w:val="24"/>
          <w:highlight w:val="none"/>
        </w:rPr>
        <w:t>、统计报表</w:t>
      </w:r>
      <w:r>
        <w:rPr>
          <w:rFonts w:hint="eastAsia" w:ascii="宋体" w:hAnsi="宋体" w:eastAsia="宋体" w:cs="宋体"/>
          <w:bCs/>
          <w:color w:val="auto"/>
          <w:spacing w:val="0"/>
          <w:sz w:val="24"/>
          <w:szCs w:val="24"/>
          <w:highlight w:val="none"/>
          <w:lang w:val="en-US" w:eastAsia="zh-CN"/>
        </w:rPr>
        <w:t>支持导出和打印</w:t>
      </w:r>
      <w:r>
        <w:rPr>
          <w:rFonts w:hint="eastAsia" w:ascii="宋体" w:hAnsi="宋体" w:eastAsia="宋体" w:cs="宋体"/>
          <w:bCs/>
          <w:color w:val="auto"/>
          <w:spacing w:val="0"/>
          <w:sz w:val="24"/>
          <w:szCs w:val="24"/>
          <w:highlight w:val="none"/>
        </w:rPr>
        <w:t>。</w:t>
      </w:r>
    </w:p>
    <w:p w14:paraId="1B8E6E5A">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2.3 </w:t>
      </w:r>
      <w:r>
        <w:rPr>
          <w:rFonts w:hint="eastAsia" w:ascii="宋体" w:hAnsi="宋体" w:eastAsia="宋体" w:cs="宋体"/>
          <w:color w:val="auto"/>
          <w:sz w:val="24"/>
          <w:szCs w:val="24"/>
          <w:highlight w:val="none"/>
        </w:rPr>
        <w:t>提供集中的用户及权限管理</w:t>
      </w:r>
      <w:r>
        <w:rPr>
          <w:rFonts w:hint="eastAsia" w:ascii="宋体" w:hAnsi="宋体" w:eastAsia="宋体" w:cs="宋体"/>
          <w:color w:val="auto"/>
          <w:sz w:val="24"/>
          <w:szCs w:val="24"/>
          <w:highlight w:val="none"/>
          <w:lang w:val="en-US" w:eastAsia="zh-CN"/>
        </w:rPr>
        <w:t>功能</w:t>
      </w:r>
      <w:r>
        <w:rPr>
          <w:rFonts w:hint="eastAsia" w:ascii="宋体" w:hAnsi="宋体" w:eastAsia="宋体" w:cs="宋体"/>
          <w:color w:val="auto"/>
          <w:sz w:val="24"/>
          <w:szCs w:val="24"/>
          <w:highlight w:val="none"/>
        </w:rPr>
        <w:t>，通过系统管理员为用户授权</w:t>
      </w:r>
      <w:r>
        <w:rPr>
          <w:rFonts w:hint="eastAsia" w:ascii="宋体" w:hAnsi="宋体" w:eastAsia="宋体" w:cs="宋体"/>
          <w:color w:val="auto"/>
          <w:sz w:val="24"/>
          <w:szCs w:val="24"/>
          <w:highlight w:val="none"/>
          <w:lang w:eastAsia="zh-CN"/>
        </w:rPr>
        <w:t>。</w:t>
      </w:r>
    </w:p>
    <w:p w14:paraId="6BF1820D">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val="0"/>
          <w:color w:val="auto"/>
          <w:spacing w:val="0"/>
          <w:sz w:val="24"/>
          <w:szCs w:val="24"/>
          <w:highlight w:val="none"/>
          <w:lang w:val="en-US" w:eastAsia="zh-CN"/>
        </w:rPr>
        <w:t>三、心电采集设备要求</w:t>
      </w:r>
    </w:p>
    <w:p w14:paraId="13820CC0">
      <w:pPr>
        <w:keepNext w:val="0"/>
        <w:keepLines w:val="0"/>
        <w:pageBreakBefore w:val="0"/>
        <w:widowControl w:val="0"/>
        <w:numPr>
          <w:ilvl w:val="0"/>
          <w:numId w:val="0"/>
        </w:numPr>
        <w:kinsoku/>
        <w:wordWrap/>
        <w:overflowPunct/>
        <w:topLinePunct w:val="0"/>
        <w:autoSpaceDE/>
        <w:autoSpaceDN/>
        <w:bidi w:val="0"/>
        <w:adjustRightInd/>
        <w:snapToGrid/>
        <w:spacing w:line="312" w:lineRule="auto"/>
        <w:ind w:leftChars="0"/>
        <w:textAlignment w:val="auto"/>
        <w:outlineLvl w:val="9"/>
        <w:rPr>
          <w:rFonts w:hint="eastAsia" w:ascii="宋体" w:hAnsi="宋体" w:eastAsia="宋体" w:cs="宋体"/>
          <w:b/>
          <w:bCs/>
          <w:color w:val="auto"/>
          <w:sz w:val="22"/>
          <w:szCs w:val="21"/>
          <w:highlight w:val="none"/>
        </w:rPr>
      </w:pPr>
      <w:r>
        <w:rPr>
          <w:rFonts w:hint="eastAsia" w:ascii="宋体" w:hAnsi="宋体" w:eastAsia="宋体" w:cs="宋体"/>
          <w:b/>
          <w:bCs/>
          <w:color w:val="auto"/>
          <w:sz w:val="22"/>
          <w:szCs w:val="21"/>
          <w:highlight w:val="none"/>
          <w:lang w:val="en-US" w:eastAsia="zh-CN"/>
        </w:rPr>
        <w:t>3.1、</w:t>
      </w:r>
      <w:r>
        <w:rPr>
          <w:rFonts w:hint="eastAsia" w:ascii="宋体" w:hAnsi="宋体" w:eastAsia="宋体" w:cs="宋体"/>
          <w:b/>
          <w:bCs/>
          <w:color w:val="auto"/>
          <w:sz w:val="22"/>
          <w:szCs w:val="21"/>
          <w:highlight w:val="none"/>
        </w:rPr>
        <w:t>动态心电记录盒硬件</w:t>
      </w:r>
    </w:p>
    <w:p w14:paraId="6B100F13">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连接10</w:t>
      </w:r>
      <w:r>
        <w:rPr>
          <w:rFonts w:hint="eastAsia" w:ascii="宋体" w:hAnsi="宋体" w:eastAsia="宋体" w:cs="宋体"/>
          <w:color w:val="auto"/>
          <w:sz w:val="24"/>
          <w:szCs w:val="24"/>
          <w:highlight w:val="none"/>
        </w:rPr>
        <w:t>线式导联线可实现标准</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导联心电图同步采集；通过</w:t>
      </w:r>
      <w:r>
        <w:rPr>
          <w:rFonts w:hint="eastAsia" w:ascii="宋体" w:hAnsi="宋体" w:eastAsia="宋体" w:cs="宋体"/>
          <w:color w:val="auto"/>
          <w:sz w:val="24"/>
          <w:szCs w:val="24"/>
          <w:highlight w:val="none"/>
          <w:lang w:val="en-US" w:eastAsia="zh-CN"/>
        </w:rPr>
        <w:t>连接</w:t>
      </w:r>
      <w:r>
        <w:rPr>
          <w:rFonts w:hint="eastAsia" w:ascii="宋体" w:hAnsi="宋体" w:eastAsia="宋体" w:cs="宋体"/>
          <w:color w:val="auto"/>
          <w:sz w:val="24"/>
          <w:szCs w:val="24"/>
          <w:highlight w:val="none"/>
        </w:rPr>
        <w:t>7线式导联线可实现</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导联心电图同步采集</w:t>
      </w:r>
      <w:r>
        <w:rPr>
          <w:rFonts w:hint="eastAsia" w:ascii="宋体" w:hAnsi="宋体" w:eastAsia="宋体" w:cs="宋体"/>
          <w:color w:val="auto"/>
          <w:sz w:val="24"/>
          <w:szCs w:val="24"/>
          <w:highlight w:val="none"/>
          <w:lang w:eastAsia="zh-CN"/>
        </w:rPr>
        <w:t>；</w:t>
      </w:r>
    </w:p>
    <w:p w14:paraId="5F88FE7E">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1.2.</w:t>
      </w:r>
      <w:r>
        <w:rPr>
          <w:rFonts w:hint="eastAsia" w:ascii="宋体" w:hAnsi="宋体" w:eastAsia="宋体" w:cs="宋体"/>
          <w:color w:val="auto"/>
          <w:sz w:val="24"/>
          <w:szCs w:val="24"/>
          <w:highlight w:val="none"/>
        </w:rPr>
        <w:t>记录时长：≥24小时</w:t>
      </w:r>
      <w:r>
        <w:rPr>
          <w:rFonts w:hint="eastAsia" w:ascii="宋体" w:hAnsi="宋体" w:eastAsia="宋体" w:cs="宋体"/>
          <w:color w:val="auto"/>
          <w:sz w:val="24"/>
          <w:szCs w:val="24"/>
          <w:highlight w:val="none"/>
          <w:lang w:eastAsia="zh-CN"/>
        </w:rPr>
        <w:t>；</w:t>
      </w:r>
    </w:p>
    <w:p w14:paraId="02852685">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1.3.</w:t>
      </w:r>
      <w:r>
        <w:rPr>
          <w:rFonts w:hint="eastAsia" w:ascii="宋体" w:hAnsi="宋体" w:eastAsia="宋体" w:cs="宋体"/>
          <w:color w:val="auto"/>
          <w:sz w:val="24"/>
          <w:szCs w:val="24"/>
          <w:highlight w:val="none"/>
        </w:rPr>
        <w:t>采样率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000点</w:t>
      </w:r>
      <w:r>
        <w:rPr>
          <w:rFonts w:hint="eastAsia" w:ascii="宋体" w:hAnsi="宋体" w:eastAsia="宋体" w:cs="宋体"/>
          <w:color w:val="auto"/>
          <w:sz w:val="24"/>
          <w:szCs w:val="24"/>
          <w:highlight w:val="none"/>
          <w:lang w:eastAsia="zh-CN"/>
        </w:rPr>
        <w:t>；</w:t>
      </w:r>
    </w:p>
    <w:p w14:paraId="7FAAEA5E">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1.4.</w:t>
      </w:r>
      <w:r>
        <w:rPr>
          <w:rFonts w:hint="eastAsia" w:ascii="宋体" w:hAnsi="宋体" w:eastAsia="宋体" w:cs="宋体"/>
          <w:color w:val="auto"/>
          <w:sz w:val="24"/>
          <w:szCs w:val="24"/>
          <w:highlight w:val="none"/>
        </w:rPr>
        <w:t>幅度频率特性：0.05 Hz～150Hz</w:t>
      </w:r>
      <w:r>
        <w:rPr>
          <w:rFonts w:hint="eastAsia" w:ascii="宋体" w:hAnsi="宋体" w:eastAsia="宋体" w:cs="宋体"/>
          <w:color w:val="auto"/>
          <w:sz w:val="24"/>
          <w:szCs w:val="24"/>
          <w:highlight w:val="none"/>
          <w:lang w:eastAsia="zh-CN"/>
        </w:rPr>
        <w:t>；</w:t>
      </w:r>
    </w:p>
    <w:p w14:paraId="286D8BC9">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1.5.</w:t>
      </w:r>
      <w:r>
        <w:rPr>
          <w:rFonts w:hint="eastAsia" w:ascii="宋体" w:hAnsi="宋体" w:eastAsia="宋体" w:cs="宋体"/>
          <w:color w:val="auto"/>
          <w:sz w:val="24"/>
          <w:szCs w:val="24"/>
          <w:highlight w:val="none"/>
        </w:rPr>
        <w:t>最小检测信号：≤20μV（10Hz）；</w:t>
      </w:r>
    </w:p>
    <w:p w14:paraId="45E39FC5">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1.6.</w:t>
      </w:r>
      <w:r>
        <w:rPr>
          <w:rFonts w:hint="eastAsia" w:ascii="宋体" w:hAnsi="宋体" w:eastAsia="宋体" w:cs="宋体"/>
          <w:color w:val="auto"/>
          <w:sz w:val="24"/>
          <w:szCs w:val="24"/>
          <w:highlight w:val="none"/>
        </w:rPr>
        <w:t>噪声电平：≤30μV</w:t>
      </w:r>
      <w:r>
        <w:rPr>
          <w:rFonts w:hint="eastAsia" w:ascii="宋体" w:hAnsi="宋体" w:eastAsia="宋体" w:cs="宋体"/>
          <w:color w:val="auto"/>
          <w:sz w:val="24"/>
          <w:szCs w:val="24"/>
          <w:highlight w:val="none"/>
          <w:lang w:eastAsia="zh-CN"/>
        </w:rPr>
        <w:t>；</w:t>
      </w:r>
    </w:p>
    <w:p w14:paraId="4F4A58D8">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1.7.</w:t>
      </w:r>
      <w:r>
        <w:rPr>
          <w:rFonts w:hint="eastAsia" w:ascii="宋体" w:hAnsi="宋体" w:eastAsia="宋体" w:cs="宋体"/>
          <w:color w:val="auto"/>
          <w:sz w:val="24"/>
          <w:szCs w:val="24"/>
          <w:highlight w:val="none"/>
        </w:rPr>
        <w:t>存储介质：</w:t>
      </w:r>
      <w:r>
        <w:rPr>
          <w:rFonts w:hint="eastAsia" w:ascii="宋体" w:hAnsi="宋体" w:eastAsia="宋体" w:cs="宋体"/>
          <w:color w:val="auto"/>
          <w:sz w:val="24"/>
          <w:szCs w:val="24"/>
          <w:highlight w:val="none"/>
          <w:lang w:val="en-US" w:eastAsia="zh-CN"/>
        </w:rPr>
        <w:t>内置</w:t>
      </w:r>
      <w:r>
        <w:rPr>
          <w:rFonts w:hint="eastAsia" w:ascii="宋体" w:hAnsi="宋体" w:eastAsia="宋体" w:cs="宋体"/>
          <w:color w:val="auto"/>
          <w:sz w:val="24"/>
          <w:szCs w:val="24"/>
          <w:highlight w:val="none"/>
        </w:rPr>
        <w:t>芯片存储</w:t>
      </w:r>
      <w:r>
        <w:rPr>
          <w:rFonts w:hint="eastAsia" w:ascii="宋体" w:hAnsi="宋体" w:eastAsia="宋体" w:cs="宋体"/>
          <w:color w:val="auto"/>
          <w:sz w:val="24"/>
          <w:szCs w:val="24"/>
          <w:highlight w:val="none"/>
          <w:lang w:eastAsia="zh-CN"/>
        </w:rPr>
        <w:t>；</w:t>
      </w:r>
    </w:p>
    <w:p w14:paraId="0AF38081">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1.8.</w:t>
      </w:r>
      <w:r>
        <w:rPr>
          <w:rFonts w:hint="eastAsia" w:ascii="宋体" w:hAnsi="宋体" w:eastAsia="宋体" w:cs="宋体"/>
          <w:color w:val="auto"/>
          <w:sz w:val="24"/>
          <w:szCs w:val="24"/>
          <w:highlight w:val="none"/>
          <w:lang w:val="en-US" w:eastAsia="zh-CN"/>
        </w:rPr>
        <w:t>在描记正弦波信号时，起搏脉冲出现前后，其电压幅度变化量应≤±5%</w:t>
      </w:r>
      <w:r>
        <w:rPr>
          <w:rFonts w:hint="eastAsia" w:ascii="宋体" w:hAnsi="宋体" w:eastAsia="宋体" w:cs="宋体"/>
          <w:color w:val="auto"/>
          <w:sz w:val="24"/>
          <w:szCs w:val="24"/>
          <w:highlight w:val="none"/>
          <w:lang w:eastAsia="zh-CN"/>
        </w:rPr>
        <w:t>；</w:t>
      </w:r>
    </w:p>
    <w:p w14:paraId="678BC5A7">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1.9.</w:t>
      </w:r>
      <w:r>
        <w:rPr>
          <w:rFonts w:hint="eastAsia" w:ascii="宋体" w:hAnsi="宋体" w:eastAsia="宋体" w:cs="宋体"/>
          <w:color w:val="auto"/>
          <w:sz w:val="24"/>
          <w:szCs w:val="24"/>
          <w:highlight w:val="none"/>
        </w:rPr>
        <w:t>显示屏：≥1.7英寸彩色OLED显示屏</w:t>
      </w:r>
      <w:r>
        <w:rPr>
          <w:rFonts w:hint="eastAsia" w:ascii="宋体" w:hAnsi="宋体" w:eastAsia="宋体" w:cs="宋体"/>
          <w:color w:val="auto"/>
          <w:sz w:val="24"/>
          <w:szCs w:val="24"/>
          <w:highlight w:val="none"/>
          <w:lang w:eastAsia="zh-CN"/>
        </w:rPr>
        <w:t>；</w:t>
      </w:r>
    </w:p>
    <w:p w14:paraId="76D85F4B">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1.10.</w:t>
      </w:r>
      <w:r>
        <w:rPr>
          <w:rFonts w:hint="eastAsia" w:ascii="宋体" w:hAnsi="宋体" w:eastAsia="宋体" w:cs="宋体"/>
          <w:color w:val="auto"/>
          <w:sz w:val="24"/>
          <w:szCs w:val="24"/>
          <w:highlight w:val="none"/>
        </w:rPr>
        <w:t>具备波形查看、切换、冻结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添加用户事件等功能。</w:t>
      </w:r>
    </w:p>
    <w:p w14:paraId="7A2FD2F3">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1.11.</w:t>
      </w:r>
      <w:r>
        <w:rPr>
          <w:rFonts w:hint="eastAsia" w:ascii="宋体" w:hAnsi="宋体" w:eastAsia="宋体" w:cs="宋体"/>
          <w:color w:val="auto"/>
          <w:sz w:val="24"/>
          <w:szCs w:val="24"/>
          <w:highlight w:val="none"/>
        </w:rPr>
        <w:t>心电波形显示：同屏可显示3导联心电波形，具有标准心电网格背景；可通过手动或自动切换显示导联；支持波形冻结功能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015DDFD6">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1.12.</w:t>
      </w:r>
      <w:r>
        <w:rPr>
          <w:rFonts w:hint="eastAsia" w:ascii="宋体" w:hAnsi="宋体" w:eastAsia="宋体" w:cs="宋体"/>
          <w:color w:val="auto"/>
          <w:sz w:val="24"/>
          <w:szCs w:val="24"/>
          <w:highlight w:val="none"/>
        </w:rPr>
        <w:t>供电电源：七号碱性电池</w:t>
      </w:r>
      <w:r>
        <w:rPr>
          <w:rFonts w:hint="eastAsia" w:ascii="宋体" w:hAnsi="宋体" w:eastAsia="宋体" w:cs="宋体"/>
          <w:color w:val="auto"/>
          <w:sz w:val="24"/>
          <w:szCs w:val="24"/>
          <w:highlight w:val="none"/>
          <w:lang w:eastAsia="zh-CN"/>
        </w:rPr>
        <w:t>；</w:t>
      </w:r>
    </w:p>
    <w:p w14:paraId="1A324E5D">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1.13.</w:t>
      </w:r>
      <w:r>
        <w:rPr>
          <w:rFonts w:hint="eastAsia" w:ascii="宋体" w:hAnsi="宋体" w:eastAsia="宋体" w:cs="宋体"/>
          <w:color w:val="auto"/>
          <w:sz w:val="24"/>
          <w:szCs w:val="24"/>
          <w:highlight w:val="none"/>
        </w:rPr>
        <w:t>导联线插头具有防反插功能，可通过自带螺丝锁加固连接；导联线接口仅用于连接导联线，不能连接USB数据线，避免反复插拔</w:t>
      </w:r>
      <w:bookmarkStart w:id="37" w:name="_Hlk55908082"/>
      <w:r>
        <w:rPr>
          <w:rFonts w:hint="eastAsia" w:ascii="宋体" w:hAnsi="宋体" w:eastAsia="宋体" w:cs="宋体"/>
          <w:color w:val="auto"/>
          <w:sz w:val="24"/>
          <w:szCs w:val="24"/>
          <w:highlight w:val="none"/>
          <w:lang w:eastAsia="zh-CN"/>
        </w:rPr>
        <w:t>；</w:t>
      </w:r>
    </w:p>
    <w:p w14:paraId="0BFCA881">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1.14.</w:t>
      </w:r>
      <w:r>
        <w:rPr>
          <w:rFonts w:hint="eastAsia" w:ascii="宋体" w:hAnsi="宋体" w:eastAsia="宋体" w:cs="宋体"/>
          <w:color w:val="auto"/>
          <w:sz w:val="24"/>
          <w:szCs w:val="24"/>
          <w:highlight w:val="none"/>
        </w:rPr>
        <w:t>灵敏度误差：具有2.5mm/mV、5mm/mV、10mm/mV、20mm/mV、40mm/mV</w:t>
      </w:r>
      <w:bookmarkStart w:id="38" w:name="_Hlk55907679"/>
      <w:r>
        <w:rPr>
          <w:rFonts w:hint="eastAsia" w:ascii="宋体" w:hAnsi="宋体" w:eastAsia="宋体" w:cs="宋体"/>
          <w:color w:val="auto"/>
          <w:sz w:val="24"/>
          <w:szCs w:val="24"/>
          <w:highlight w:val="none"/>
        </w:rPr>
        <w:t>五档</w:t>
      </w:r>
      <w:bookmarkEnd w:id="38"/>
      <w:r>
        <w:rPr>
          <w:rFonts w:hint="eastAsia" w:ascii="宋体" w:hAnsi="宋体" w:eastAsia="宋体" w:cs="宋体"/>
          <w:color w:val="auto"/>
          <w:sz w:val="24"/>
          <w:szCs w:val="24"/>
          <w:highlight w:val="none"/>
        </w:rPr>
        <w:t xml:space="preserve">，且各档误差不超过±5% </w:t>
      </w:r>
      <w:bookmarkEnd w:id="37"/>
      <w:r>
        <w:rPr>
          <w:rFonts w:hint="eastAsia" w:ascii="宋体" w:hAnsi="宋体" w:eastAsia="宋体" w:cs="宋体"/>
          <w:color w:val="auto"/>
          <w:sz w:val="24"/>
          <w:szCs w:val="24"/>
          <w:highlight w:val="none"/>
          <w:lang w:eastAsia="zh-CN"/>
        </w:rPr>
        <w:t>；</w:t>
      </w:r>
    </w:p>
    <w:p w14:paraId="0FFF3777">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1.15.</w:t>
      </w:r>
      <w:r>
        <w:rPr>
          <w:rFonts w:hint="eastAsia" w:ascii="宋体" w:hAnsi="宋体" w:eastAsia="宋体" w:cs="宋体"/>
          <w:color w:val="auto"/>
          <w:sz w:val="24"/>
          <w:szCs w:val="24"/>
          <w:highlight w:val="none"/>
        </w:rPr>
        <w:t>产品使用期限≥10年</w:t>
      </w:r>
      <w:r>
        <w:rPr>
          <w:rFonts w:hint="eastAsia" w:ascii="宋体" w:hAnsi="宋体" w:eastAsia="宋体" w:cs="宋体"/>
          <w:color w:val="auto"/>
          <w:sz w:val="24"/>
          <w:szCs w:val="24"/>
          <w:highlight w:val="none"/>
          <w:lang w:eastAsia="zh-CN"/>
        </w:rPr>
        <w:t>；</w:t>
      </w:r>
    </w:p>
    <w:p w14:paraId="405F9F9C">
      <w:pPr>
        <w:spacing w:line="360" w:lineRule="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3.2、分析软件参数：</w:t>
      </w:r>
    </w:p>
    <w:p w14:paraId="590216C5">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lang w:val="en-US" w:eastAsia="zh-CN"/>
        </w:rPr>
        <w:t>三合一分析系统，动态心电，动态血压，静息心电数据分析及报告出具集成在同一个分析系统中，一套软件完成三个检查项目的诊断报告。</w:t>
      </w:r>
    </w:p>
    <w:p w14:paraId="728E3EC5">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rPr>
        <w:t>全导联同步全息后台分析，无需选择导联，无需设置分析参数，</w:t>
      </w:r>
      <w:r>
        <w:rPr>
          <w:rFonts w:hint="eastAsia" w:ascii="宋体" w:hAnsi="宋体" w:eastAsia="宋体" w:cs="宋体"/>
          <w:color w:val="auto"/>
          <w:sz w:val="24"/>
          <w:szCs w:val="24"/>
          <w:highlight w:val="none"/>
          <w:lang w:eastAsia="zh-CN"/>
        </w:rPr>
        <w:t>无需</w:t>
      </w:r>
      <w:r>
        <w:rPr>
          <w:rFonts w:hint="eastAsia" w:ascii="宋体" w:hAnsi="宋体" w:eastAsia="宋体" w:cs="宋体"/>
          <w:color w:val="auto"/>
          <w:sz w:val="24"/>
          <w:szCs w:val="24"/>
          <w:highlight w:val="none"/>
        </w:rPr>
        <w:t>等待，自动分析完成后以简单的文字报告结论形式提示当前心电数据分析情况；</w:t>
      </w:r>
    </w:p>
    <w:p w14:paraId="11327BCA">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rPr>
        <w:t>无模板分析、图表分析、诊断图分析等繁琐的工具菜单，分析软件提供多种人性化操作菜单，按照医生浏览、编辑、</w:t>
      </w:r>
      <w:r>
        <w:rPr>
          <w:rFonts w:hint="eastAsia" w:ascii="宋体" w:hAnsi="宋体" w:eastAsia="宋体" w:cs="宋体"/>
          <w:color w:val="auto"/>
          <w:sz w:val="24"/>
          <w:szCs w:val="24"/>
          <w:highlight w:val="none"/>
          <w:lang w:val="en-US" w:eastAsia="zh-CN"/>
        </w:rPr>
        <w:t>ST-T、报告</w:t>
      </w:r>
      <w:r>
        <w:rPr>
          <w:rFonts w:hint="eastAsia" w:ascii="宋体" w:hAnsi="宋体" w:eastAsia="宋体" w:cs="宋体"/>
          <w:color w:val="auto"/>
          <w:sz w:val="24"/>
          <w:szCs w:val="24"/>
          <w:highlight w:val="none"/>
        </w:rPr>
        <w:t>的操作</w:t>
      </w:r>
      <w:r>
        <w:rPr>
          <w:rFonts w:hint="eastAsia" w:ascii="宋体" w:hAnsi="宋体" w:eastAsia="宋体" w:cs="宋体"/>
          <w:color w:val="auto"/>
          <w:sz w:val="24"/>
          <w:szCs w:val="24"/>
          <w:highlight w:val="none"/>
          <w:lang w:val="en-US" w:eastAsia="zh-CN"/>
        </w:rPr>
        <w:t>流程</w:t>
      </w:r>
      <w:r>
        <w:rPr>
          <w:rFonts w:hint="eastAsia" w:ascii="宋体" w:hAnsi="宋体" w:eastAsia="宋体" w:cs="宋体"/>
          <w:color w:val="auto"/>
          <w:sz w:val="24"/>
          <w:szCs w:val="24"/>
          <w:highlight w:val="none"/>
        </w:rPr>
        <w:t>设置工具菜单；</w:t>
      </w:r>
    </w:p>
    <w:p w14:paraId="718351C8">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eastAsia="zh-CN"/>
        </w:rPr>
      </w:pPr>
      <w:r>
        <w:rPr>
          <w:rFonts w:hint="default"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szCs w:val="24"/>
          <w:highlight w:val="none"/>
        </w:rPr>
        <w:t>分析软件以模板为中心构建多种直方图、散点图、叠加图，多画面同时互动；</w:t>
      </w:r>
    </w:p>
    <w:p w14:paraId="65309617">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5.</w:t>
      </w:r>
      <w:r>
        <w:rPr>
          <w:rFonts w:hint="eastAsia" w:ascii="宋体" w:hAnsi="宋体" w:eastAsia="宋体" w:cs="宋体"/>
          <w:color w:val="auto"/>
          <w:sz w:val="24"/>
          <w:szCs w:val="24"/>
          <w:highlight w:val="none"/>
        </w:rPr>
        <w:t>分析软件具有两个导联同时叠加及P波叠加放大倍数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不小于16倍放大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叠加功能</w:t>
      </w:r>
      <w:r>
        <w:rPr>
          <w:rFonts w:hint="eastAsia" w:ascii="宋体" w:hAnsi="宋体" w:eastAsia="宋体" w:cs="宋体"/>
          <w:color w:val="auto"/>
          <w:sz w:val="24"/>
          <w:szCs w:val="24"/>
          <w:highlight w:val="none"/>
          <w:lang w:eastAsia="zh-CN"/>
        </w:rPr>
        <w:t>。</w:t>
      </w:r>
    </w:p>
    <w:p w14:paraId="6C991273">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6.</w:t>
      </w:r>
      <w:r>
        <w:rPr>
          <w:rFonts w:hint="eastAsia" w:ascii="宋体" w:hAnsi="宋体" w:eastAsia="宋体" w:cs="宋体"/>
          <w:color w:val="auto"/>
          <w:sz w:val="24"/>
          <w:szCs w:val="24"/>
          <w:highlight w:val="none"/>
        </w:rPr>
        <w:t>分析软件具有</w:t>
      </w:r>
      <w:r>
        <w:rPr>
          <w:rFonts w:hint="eastAsia" w:ascii="宋体" w:hAnsi="宋体" w:eastAsia="宋体" w:cs="宋体"/>
          <w:color w:val="auto"/>
          <w:sz w:val="24"/>
          <w:szCs w:val="24"/>
          <w:highlight w:val="none"/>
          <w:lang w:val="en-US" w:eastAsia="zh-CN"/>
        </w:rPr>
        <w:t>QT间期分析、心电向量分析、心率震荡分析、T波电交替分析、心室晚电位分析、心率减速分析、睡眠窒息分析等高级分析工具。</w:t>
      </w:r>
    </w:p>
    <w:p w14:paraId="597A7C4D">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7.</w:t>
      </w:r>
      <w:r>
        <w:rPr>
          <w:rFonts w:hint="eastAsia" w:ascii="宋体" w:hAnsi="宋体" w:eastAsia="宋体" w:cs="宋体"/>
          <w:color w:val="auto"/>
          <w:sz w:val="24"/>
          <w:szCs w:val="24"/>
          <w:highlight w:val="none"/>
        </w:rPr>
        <w:t>分析软件具有一键自动起搏器分类分析、房颤、房扑分析、HR时域、频域分析等功能；</w:t>
      </w:r>
    </w:p>
    <w:p w14:paraId="55CC7770">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szCs w:val="24"/>
          <w:highlight w:val="none"/>
        </w:rPr>
        <w:t>分析软件具有ST-T段、T波分析及事件统计功能，ST段分析可根据心率自适应分析调整；</w:t>
      </w:r>
    </w:p>
    <w:p w14:paraId="6C0F3DD9">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9.</w:t>
      </w:r>
      <w:r>
        <w:rPr>
          <w:rFonts w:hint="eastAsia" w:ascii="宋体" w:hAnsi="宋体" w:eastAsia="宋体" w:cs="宋体"/>
          <w:color w:val="auto"/>
          <w:sz w:val="24"/>
          <w:szCs w:val="24"/>
          <w:highlight w:val="none"/>
          <w:lang w:val="en-US" w:eastAsia="zh-CN"/>
        </w:rPr>
        <w:t>分析软件具有调整报告首页模版的功能。</w:t>
      </w:r>
    </w:p>
    <w:p w14:paraId="3BCCC511">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10.</w:t>
      </w:r>
      <w:r>
        <w:rPr>
          <w:rFonts w:hint="eastAsia" w:ascii="宋体" w:hAnsi="宋体" w:eastAsia="宋体" w:cs="宋体"/>
          <w:color w:val="auto"/>
          <w:sz w:val="24"/>
          <w:szCs w:val="24"/>
          <w:highlight w:val="none"/>
          <w:lang w:val="en-US" w:eastAsia="zh-CN"/>
        </w:rPr>
        <w:t>软件具有“智能结论”功能，软件可以根据分析编辑的结果自动生成报告。</w:t>
      </w:r>
    </w:p>
    <w:p w14:paraId="6A54A5BE">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w:t>
      </w:r>
      <w:r>
        <w:rPr>
          <w:rFonts w:hint="eastAsia" w:ascii="宋体" w:hAnsi="宋体" w:eastAsia="宋体" w:cs="宋体"/>
          <w:color w:val="auto"/>
          <w:sz w:val="24"/>
          <w:szCs w:val="24"/>
          <w:highlight w:val="none"/>
          <w:lang w:val="en-US" w:eastAsia="zh-CN"/>
        </w:rPr>
        <w:t>支持CA电子证书签名及图片式签名。</w:t>
      </w:r>
    </w:p>
    <w:p w14:paraId="25585A0F">
      <w:pPr>
        <w:tabs>
          <w:tab w:val="left" w:pos="851"/>
        </w:tabs>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四、设备验收完成后，需出具设备强制检定报告（投标文件须提供承诺函）。</w:t>
      </w:r>
    </w:p>
    <w:p w14:paraId="553B8180">
      <w:pPr>
        <w:spacing w:line="360" w:lineRule="auto"/>
        <w:ind w:firstLine="437"/>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备注：“★”为废标项</w:t>
      </w:r>
    </w:p>
    <w:bookmarkEnd w:id="35"/>
    <w:bookmarkEnd w:id="36"/>
    <w:p w14:paraId="44A7FD62">
      <w:pPr>
        <w:spacing w:line="360" w:lineRule="auto"/>
        <w:ind w:firstLine="437"/>
        <w:outlineLvl w:val="9"/>
        <w:rPr>
          <w:rFonts w:ascii="宋体" w:hAnsi="宋体" w:eastAsia="宋体"/>
          <w:b/>
          <w:bCs/>
          <w:color w:val="auto"/>
          <w:sz w:val="24"/>
          <w:szCs w:val="18"/>
          <w:highlight w:val="none"/>
        </w:rPr>
      </w:pPr>
      <w:bookmarkStart w:id="39" w:name="_Toc16417"/>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三</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报价要求</w:t>
      </w:r>
    </w:p>
    <w:p w14:paraId="58B54A8B">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1.本项目报总价，投标报价不得超过最高限价，单台（套）设备报价不得超过单台（套）最高限价。</w:t>
      </w:r>
    </w:p>
    <w:p w14:paraId="36A7CED4">
      <w:pPr>
        <w:spacing w:line="360" w:lineRule="auto"/>
        <w:ind w:firstLine="437"/>
        <w:outlineLvl w:val="9"/>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报价包括货物从设计、采购、制造、交货（包括运输至采购人指定地点卸车就位）至售后服务、人工、管理、税金（除上述采购需求列明的货物需求外，如投标人所投产品须配套其他必要的货物方可正常使用的，投标人须为本项目配备，费用包含在报价中），中标后采购人不再另行追加其他任何费用，请投标人自行考虑报价风险。</w:t>
      </w:r>
    </w:p>
    <w:p w14:paraId="6AC1742D">
      <w:pPr>
        <w:spacing w:line="360" w:lineRule="auto"/>
        <w:ind w:firstLine="437"/>
        <w:outlineLvl w:val="9"/>
        <w:rPr>
          <w:rFonts w:ascii="宋体" w:hAnsi="宋体" w:eastAsia="宋体"/>
          <w:b/>
          <w:bCs/>
          <w:color w:val="auto"/>
          <w:sz w:val="24"/>
          <w:szCs w:val="18"/>
          <w:highlight w:val="none"/>
        </w:rPr>
      </w:pPr>
      <w:bookmarkStart w:id="40" w:name="_Toc15293"/>
      <w:bookmarkStart w:id="41" w:name="_Toc14698"/>
      <w:bookmarkStart w:id="42" w:name="_Toc3905"/>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四</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其他要求</w:t>
      </w:r>
      <w:bookmarkEnd w:id="40"/>
      <w:bookmarkEnd w:id="41"/>
      <w:bookmarkEnd w:id="42"/>
    </w:p>
    <w:p w14:paraId="266C591C">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（一）</w:t>
      </w:r>
      <w:r>
        <w:rPr>
          <w:rFonts w:hint="eastAsia" w:ascii="宋体" w:hAnsi="宋体" w:eastAsia="宋体"/>
          <w:b w:val="0"/>
          <w:bCs w:val="0"/>
          <w:color w:val="auto"/>
          <w:sz w:val="24"/>
          <w:szCs w:val="18"/>
          <w:highlight w:val="none"/>
          <w:lang w:eastAsia="zh-CN"/>
        </w:rPr>
        <w:t>验收标准</w:t>
      </w:r>
    </w:p>
    <w:p w14:paraId="0468051D">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卖方交付货物需符合国家相关标准、行业标准、地方标准或者其他标准、规范；卖方交付货物需满足采购技术要求。</w:t>
      </w:r>
    </w:p>
    <w:p w14:paraId="0902ED34">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在货物到达买方指定地点后，卖方按买方通知时间派技术人员到买方的项目现场，在买方技术人员在场的情况下开箱清点货物，进行安装、调试，直至设备正常运行，并承担因此发生的一切费用。</w:t>
      </w:r>
    </w:p>
    <w:p w14:paraId="1B5C3BCF">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3</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向买方提供详细的验收标准、验收手册；设备安装后，仪器所有技术参数经检验应符合国家标准及厂方标准；买方有权委托中国有资格的单位对上述仪器进行精度校核；如果由于仪器本身原因而在三十天内调试没有通过，卖方必须更换一套新的相同型号或符合技术性能的仪器设备。</w:t>
      </w:r>
    </w:p>
    <w:p w14:paraId="32051CD3">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4</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所有技术要求采购人验收时将逐条核对，如发现投标人投标响应的技术参数与最终供货的实际情况不符、虚假响应等，由此产生的责任与后果均由中标人承担。</w:t>
      </w:r>
    </w:p>
    <w:p w14:paraId="33A4C60C">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5</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设备验收合格后，出具验收报告，买卖双方在验收文件上签字并加盖公章生效。</w:t>
      </w:r>
    </w:p>
    <w:p w14:paraId="0DB2A50A">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w:t>
      </w:r>
      <w:r>
        <w:rPr>
          <w:rFonts w:hint="eastAsia" w:ascii="宋体" w:hAnsi="宋体" w:eastAsia="宋体"/>
          <w:b w:val="0"/>
          <w:bCs w:val="0"/>
          <w:color w:val="auto"/>
          <w:sz w:val="24"/>
          <w:szCs w:val="18"/>
          <w:highlight w:val="none"/>
          <w:lang w:val="en-US" w:eastAsia="zh-CN"/>
        </w:rPr>
        <w:t>二</w:t>
      </w:r>
      <w:r>
        <w:rPr>
          <w:rFonts w:hint="eastAsia" w:ascii="宋体" w:hAnsi="宋体" w:eastAsia="宋体"/>
          <w:b w:val="0"/>
          <w:bCs w:val="0"/>
          <w:color w:val="auto"/>
          <w:sz w:val="24"/>
          <w:szCs w:val="18"/>
          <w:highlight w:val="none"/>
          <w:lang w:eastAsia="zh-CN"/>
        </w:rPr>
        <w:t>）售后服务及其他要求</w:t>
      </w:r>
    </w:p>
    <w:p w14:paraId="3CD33FDC">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质量保证期：</w:t>
      </w:r>
      <w:r>
        <w:rPr>
          <w:rFonts w:hint="eastAsia" w:ascii="宋体" w:hAnsi="宋体" w:eastAsia="宋体"/>
          <w:b w:val="0"/>
          <w:color w:val="auto"/>
          <w:sz w:val="24"/>
          <w:highlight w:val="none"/>
          <w:u w:val="single"/>
        </w:rPr>
        <w:t>整机质保自验收合格之日不少于3年。</w:t>
      </w:r>
    </w:p>
    <w:p w14:paraId="5B6ECB9E">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在保修期内，属产品质量问题，需免费更换，所发生的一切费用由卖方负担，更换后的零部件质量保证期从更换之日起计算。</w:t>
      </w:r>
    </w:p>
    <w:p w14:paraId="19EFB6A8">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保修期内提供每年不低于两次免费维护保养服务，保修期外工程师维护保养维修免上门费。</w:t>
      </w:r>
    </w:p>
    <w:p w14:paraId="3EF76327">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合同签订前需提供原厂质保承诺或买保记录相关证明文件。</w:t>
      </w:r>
    </w:p>
    <w:p w14:paraId="1EE2011B">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Cs/>
          <w:color w:val="auto"/>
          <w:sz w:val="24"/>
          <w:szCs w:val="18"/>
          <w:highlight w:val="none"/>
          <w:lang w:val="en-US" w:eastAsia="zh-CN"/>
        </w:rPr>
        <w:t>5.如发生医患纠纷，经认定为设备原因，造成重大影响的由供应商承担相应责任。所有损失由供应商承担，包含但不限于经济赔偿责任</w:t>
      </w:r>
      <w:r>
        <w:rPr>
          <w:rFonts w:hint="eastAsia" w:ascii="宋体" w:hAnsi="宋体" w:eastAsia="宋体"/>
          <w:bCs/>
          <w:color w:val="auto"/>
          <w:sz w:val="24"/>
          <w:szCs w:val="18"/>
          <w:highlight w:val="none"/>
        </w:rPr>
        <w:t>。</w:t>
      </w:r>
    </w:p>
    <w:p w14:paraId="1BFAE2EF">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eastAsia="zh-CN"/>
        </w:rPr>
        <w:t>卖方应有效保证售后维修服务，提供7*24维保技术服务。卖方应提供技术支持，保证系统的正常工作；在保修期外提供成本价维修服务，如需更换零部件，应以成本价提供合格的正品，保证更换的质量。</w:t>
      </w:r>
    </w:p>
    <w:p w14:paraId="6B3A5553">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7.</w:t>
      </w:r>
      <w:r>
        <w:rPr>
          <w:rFonts w:hint="eastAsia" w:ascii="宋体" w:hAnsi="宋体" w:eastAsia="宋体"/>
          <w:b w:val="0"/>
          <w:bCs w:val="0"/>
          <w:color w:val="auto"/>
          <w:sz w:val="24"/>
          <w:szCs w:val="18"/>
          <w:highlight w:val="none"/>
          <w:lang w:eastAsia="zh-CN"/>
        </w:rPr>
        <w:t>卖方负责对买方技术人员、操作人员进行现场培训，培训内容包括设备操作、设备维护及简单的设备维修等。</w:t>
      </w:r>
    </w:p>
    <w:p w14:paraId="76943228">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8.</w:t>
      </w:r>
      <w:r>
        <w:rPr>
          <w:rFonts w:hint="eastAsia" w:ascii="宋体" w:hAnsi="宋体" w:eastAsia="宋体"/>
          <w:b w:val="0"/>
          <w:bCs w:val="0"/>
          <w:color w:val="auto"/>
          <w:sz w:val="24"/>
          <w:szCs w:val="18"/>
          <w:highlight w:val="none"/>
          <w:lang w:eastAsia="zh-CN"/>
        </w:rPr>
        <w:t>所投机型开发的所有软件均须免费对招标人开放，信息接口费用由投标人承担。在质保期内可提供软件免费升级、临床项目指导等。</w:t>
      </w:r>
    </w:p>
    <w:p w14:paraId="62DC7094">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color w:val="auto"/>
          <w:sz w:val="24"/>
          <w:highlight w:val="none"/>
          <w:lang w:val="en-US" w:eastAsia="zh-CN"/>
        </w:rPr>
        <w:t>9</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宋体" w:hAnsi="宋体" w:eastAsia="宋体"/>
          <w:b/>
          <w:bCs/>
          <w:color w:val="auto"/>
          <w:sz w:val="24"/>
          <w:highlight w:val="none"/>
        </w:rPr>
        <w:t>提供承诺书并加盖公章（提供承诺）。</w:t>
      </w:r>
    </w:p>
    <w:p w14:paraId="20D3B631">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10</w:t>
      </w:r>
      <w:r>
        <w:rPr>
          <w:rFonts w:hint="eastAsia" w:ascii="宋体" w:hAnsi="宋体" w:eastAsia="宋体"/>
          <w:b w:val="0"/>
          <w:bCs w:val="0"/>
          <w:color w:val="auto"/>
          <w:sz w:val="24"/>
          <w:szCs w:val="18"/>
          <w:highlight w:val="none"/>
          <w:lang w:eastAsia="zh-CN"/>
        </w:rPr>
        <w:t>.所投产品不含专机专用耗材，如有专机专用耗材终身免费提供使用，</w:t>
      </w:r>
      <w:r>
        <w:rPr>
          <w:rFonts w:hint="eastAsia" w:ascii="宋体" w:hAnsi="宋体" w:eastAsia="宋体"/>
          <w:b/>
          <w:bCs/>
          <w:color w:val="auto"/>
          <w:sz w:val="24"/>
          <w:szCs w:val="18"/>
          <w:highlight w:val="none"/>
          <w:lang w:eastAsia="zh-CN"/>
        </w:rPr>
        <w:t>提供承诺书并加盖公章（提供承诺）。</w:t>
      </w:r>
    </w:p>
    <w:p w14:paraId="3A56E9C5">
      <w:pPr>
        <w:outlineLvl w:val="9"/>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39"/>
    </w:p>
    <w:p w14:paraId="32727DD1">
      <w:pPr>
        <w:spacing w:line="360" w:lineRule="auto"/>
        <w:ind w:firstLine="437"/>
        <w:outlineLvl w:val="1"/>
        <w:rPr>
          <w:rFonts w:asciiTheme="minorEastAsia" w:hAnsiTheme="minorEastAsia" w:eastAsiaTheme="minorEastAsia"/>
          <w:b/>
          <w:color w:val="auto"/>
          <w:sz w:val="24"/>
          <w:highlight w:val="none"/>
        </w:rPr>
      </w:pPr>
      <w:bookmarkStart w:id="43" w:name="_Toc11823"/>
      <w:bookmarkStart w:id="44" w:name="_Toc1246"/>
      <w:r>
        <w:rPr>
          <w:rFonts w:hint="eastAsia" w:asciiTheme="minorEastAsia" w:hAnsiTheme="minorEastAsia" w:eastAsiaTheme="minorEastAsia"/>
          <w:b/>
          <w:color w:val="auto"/>
          <w:sz w:val="24"/>
          <w:highlight w:val="none"/>
        </w:rPr>
        <w:t>一、总则</w:t>
      </w:r>
      <w:bookmarkEnd w:id="43"/>
      <w:bookmarkEnd w:id="44"/>
    </w:p>
    <w:p w14:paraId="7D0A83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0B31407E">
      <w:pPr>
        <w:spacing w:line="360" w:lineRule="auto"/>
        <w:ind w:firstLine="437"/>
        <w:outlineLvl w:val="1"/>
        <w:rPr>
          <w:rFonts w:asciiTheme="minorEastAsia" w:hAnsiTheme="minorEastAsia" w:eastAsiaTheme="minorEastAsia"/>
          <w:b/>
          <w:color w:val="auto"/>
          <w:sz w:val="24"/>
          <w:highlight w:val="none"/>
        </w:rPr>
      </w:pPr>
      <w:bookmarkStart w:id="45" w:name="_Toc31871"/>
      <w:bookmarkStart w:id="46" w:name="_Toc13117"/>
      <w:r>
        <w:rPr>
          <w:rFonts w:hint="eastAsia" w:asciiTheme="minorEastAsia" w:hAnsiTheme="minorEastAsia" w:eastAsiaTheme="minorEastAsia"/>
          <w:b/>
          <w:color w:val="auto"/>
          <w:sz w:val="24"/>
          <w:highlight w:val="none"/>
        </w:rPr>
        <w:t>二、评标方法</w:t>
      </w:r>
      <w:bookmarkEnd w:id="45"/>
      <w:bookmarkEnd w:id="46"/>
    </w:p>
    <w:p w14:paraId="19F4B211">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651"/>
        <w:gridCol w:w="4561"/>
        <w:gridCol w:w="1889"/>
      </w:tblGrid>
      <w:tr w14:paraId="3B5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0DF6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12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4EB16D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71FEB743">
            <w:pPr>
              <w:pStyle w:val="3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30803EEB">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6" w:type="pct"/>
            <w:tcBorders>
              <w:bottom w:val="single" w:color="auto" w:sz="4" w:space="0"/>
            </w:tcBorders>
            <w:vAlign w:val="center"/>
          </w:tcPr>
          <w:p w14:paraId="56183EF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150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08FBCF02">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42076691">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3" w:type="pct"/>
            <w:tcBorders>
              <w:bottom w:val="single" w:color="auto" w:sz="4" w:space="0"/>
            </w:tcBorders>
            <w:vAlign w:val="center"/>
          </w:tcPr>
          <w:p w14:paraId="40FFC84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02E125B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7C7E8DE1">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4F51A2B">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BD0ADF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6" w:type="pct"/>
            <w:vAlign w:val="center"/>
          </w:tcPr>
          <w:p w14:paraId="6655125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7D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2FF5016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137D570E">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7591BA19">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6" w:type="pct"/>
            <w:vAlign w:val="center"/>
          </w:tcPr>
          <w:p w14:paraId="4737FF0A">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304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B87175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40D96A57">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6932063">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41BF118C">
            <w:pPr>
              <w:spacing w:line="360" w:lineRule="auto"/>
              <w:jc w:val="left"/>
              <w:rPr>
                <w:rFonts w:hint="eastAsia" w:ascii="@仿宋_GB2312" w:hAnsi="@仿宋_GB2312" w:eastAsia="宋体"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随评标报告一起留存</w:t>
            </w:r>
            <w:r>
              <w:rPr>
                <w:rFonts w:hint="eastAsia" w:ascii="宋体" w:hAnsi="宋体" w:eastAsia="宋体" w:cs="宋体"/>
                <w:color w:val="auto"/>
                <w:sz w:val="24"/>
                <w:szCs w:val="24"/>
                <w:highlight w:val="none"/>
                <w:lang w:eastAsia="zh-CN"/>
              </w:rPr>
              <w:t>。</w:t>
            </w:r>
          </w:p>
        </w:tc>
      </w:tr>
      <w:tr w14:paraId="725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77C33C4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2F5FD02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3" w:type="pct"/>
            <w:tcBorders>
              <w:bottom w:val="single" w:color="auto" w:sz="4" w:space="0"/>
            </w:tcBorders>
            <w:vAlign w:val="center"/>
          </w:tcPr>
          <w:p w14:paraId="18FF088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6" w:type="pct"/>
            <w:tcBorders>
              <w:bottom w:val="single" w:color="auto" w:sz="4" w:space="0"/>
            </w:tcBorders>
            <w:vAlign w:val="center"/>
          </w:tcPr>
          <w:p w14:paraId="7E76CF4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34D8973F">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6" w:type="pct"/>
            <w:vAlign w:val="center"/>
          </w:tcPr>
          <w:p w14:paraId="7EAB58B4">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2C227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资格审查指标通过标准：资格审查由评标委员会审查，投标人必须通过资格审查表中的全部评审指标。</w:t>
      </w:r>
    </w:p>
    <w:p w14:paraId="5F34D909">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B43DC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0174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FCC3444">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66D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0BAE612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5B9797D5">
            <w:pPr>
              <w:pStyle w:val="32"/>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1C248D59">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74C9D66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7A0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BC09F7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05CA5A7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4F18198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33F4696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063F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253F69C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2F4114A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1C94931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4B461D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184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4B4BC29">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310EB9D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4FFE545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72D49D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FF9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6E384F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2B75BBA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4E01FA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3BD91CF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49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34A30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7602CF1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32CFC33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7E76DF9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4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7D7432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2A9FB58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5" w:type="pct"/>
            <w:vAlign w:val="center"/>
          </w:tcPr>
          <w:p w14:paraId="52FADE3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3" w:type="pct"/>
            <w:vAlign w:val="center"/>
          </w:tcPr>
          <w:p w14:paraId="1B75504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266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634CAF3">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2D2595A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所投产品要求</w:t>
            </w:r>
          </w:p>
        </w:tc>
        <w:tc>
          <w:tcPr>
            <w:tcW w:w="1835" w:type="pct"/>
            <w:vAlign w:val="center"/>
          </w:tcPr>
          <w:p w14:paraId="2C57DE0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符合招标文件采购需求要求</w:t>
            </w:r>
          </w:p>
        </w:tc>
        <w:tc>
          <w:tcPr>
            <w:tcW w:w="1473" w:type="pct"/>
            <w:vAlign w:val="center"/>
          </w:tcPr>
          <w:p w14:paraId="737E8B68">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b/>
                <w:bCs/>
                <w:color w:val="auto"/>
                <w:sz w:val="24"/>
                <w:szCs w:val="18"/>
                <w:highlight w:val="none"/>
                <w:lang w:val="en-US" w:eastAsia="zh-CN"/>
              </w:rPr>
              <w:t>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tc>
      </w:tr>
      <w:tr w14:paraId="24EE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9DB2FD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8</w:t>
            </w:r>
          </w:p>
        </w:tc>
        <w:tc>
          <w:tcPr>
            <w:tcW w:w="1242" w:type="pct"/>
            <w:vAlign w:val="center"/>
          </w:tcPr>
          <w:p w14:paraId="045D6E1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84BD46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69067724">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7FC96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10FC729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586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6AC1FAD">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A3A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BCA85F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54EED754">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57AA1BB6">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66D5680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12D2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4F991B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CC8267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64CD83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7B8F51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7639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121D814">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837022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A1A6EA4">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C0954C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707AD06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A8C2260">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096B8215">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56A88EA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CBC9FB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0C32ED6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51E3F1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764D4EA">
      <w:pPr>
        <w:spacing w:line="360" w:lineRule="auto"/>
        <w:ind w:firstLine="435"/>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2"/>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84"/>
        <w:gridCol w:w="5332"/>
        <w:gridCol w:w="857"/>
      </w:tblGrid>
      <w:tr w14:paraId="384E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7F72E94A">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评审项目</w:t>
            </w:r>
          </w:p>
        </w:tc>
        <w:tc>
          <w:tcPr>
            <w:tcW w:w="1984" w:type="dxa"/>
            <w:tcBorders>
              <w:bottom w:val="single" w:color="auto" w:sz="4" w:space="0"/>
            </w:tcBorders>
            <w:noWrap w:val="0"/>
            <w:vAlign w:val="top"/>
          </w:tcPr>
          <w:p w14:paraId="0409C3C1">
            <w:pPr>
              <w:spacing w:line="500" w:lineRule="exact"/>
              <w:ind w:firstLine="120" w:firstLineChars="5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分值</w:t>
            </w:r>
          </w:p>
        </w:tc>
        <w:tc>
          <w:tcPr>
            <w:tcW w:w="5332" w:type="dxa"/>
            <w:noWrap w:val="0"/>
            <w:vAlign w:val="top"/>
          </w:tcPr>
          <w:p w14:paraId="617BEB2D">
            <w:pPr>
              <w:spacing w:line="500" w:lineRule="exact"/>
              <w:ind w:firstLine="2160" w:firstLineChars="9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评审内容及标准</w:t>
            </w:r>
          </w:p>
        </w:tc>
        <w:tc>
          <w:tcPr>
            <w:tcW w:w="857" w:type="dxa"/>
            <w:noWrap w:val="0"/>
            <w:vAlign w:val="top"/>
          </w:tcPr>
          <w:p w14:paraId="30263A2C">
            <w:pPr>
              <w:tabs>
                <w:tab w:val="left" w:pos="657"/>
              </w:tabs>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3B8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 w:type="dxa"/>
            <w:vMerge w:val="restart"/>
            <w:tcBorders>
              <w:right w:val="single" w:color="auto" w:sz="4" w:space="0"/>
            </w:tcBorders>
            <w:noWrap w:val="0"/>
            <w:vAlign w:val="center"/>
          </w:tcPr>
          <w:p w14:paraId="4DAF8D72">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技术分</w:t>
            </w:r>
          </w:p>
        </w:tc>
        <w:tc>
          <w:tcPr>
            <w:tcW w:w="1984" w:type="dxa"/>
            <w:tcBorders>
              <w:top w:val="single" w:color="auto" w:sz="4" w:space="0"/>
              <w:left w:val="single" w:color="auto" w:sz="4" w:space="0"/>
              <w:right w:val="single" w:color="auto" w:sz="4" w:space="0"/>
            </w:tcBorders>
            <w:noWrap w:val="0"/>
            <w:vAlign w:val="center"/>
          </w:tcPr>
          <w:p w14:paraId="4D921DFF">
            <w:pPr>
              <w:spacing w:line="30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产品配置及技术要求（</w:t>
            </w:r>
            <w:r>
              <w:rPr>
                <w:rFonts w:hint="eastAsia" w:ascii="宋体" w:hAnsi="宋体" w:eastAsia="宋体" w:cs="宋体"/>
                <w:b w:val="0"/>
                <w:bCs w:val="0"/>
                <w:color w:val="auto"/>
                <w:kern w:val="0"/>
                <w:sz w:val="24"/>
                <w:szCs w:val="24"/>
                <w:highlight w:val="none"/>
                <w:u w:val="single"/>
              </w:rPr>
              <w:t>4</w:t>
            </w:r>
            <w:r>
              <w:rPr>
                <w:rFonts w:hint="eastAsia" w:ascii="宋体" w:hAnsi="宋体" w:eastAsia="宋体" w:cs="宋体"/>
                <w:b w:val="0"/>
                <w:bCs w:val="0"/>
                <w:color w:val="auto"/>
                <w:kern w:val="0"/>
                <w:sz w:val="24"/>
                <w:szCs w:val="24"/>
                <w:highlight w:val="none"/>
                <w:u w:val="single"/>
                <w:lang w:val="en-US" w:eastAsia="zh-CN"/>
              </w:rPr>
              <w:t>9</w:t>
            </w:r>
            <w:r>
              <w:rPr>
                <w:rFonts w:hint="eastAsia" w:ascii="宋体" w:hAnsi="宋体" w:eastAsia="宋体" w:cs="宋体"/>
                <w:b w:val="0"/>
                <w:bCs w:val="0"/>
                <w:color w:val="auto"/>
                <w:kern w:val="0"/>
                <w:sz w:val="24"/>
                <w:szCs w:val="24"/>
                <w:highlight w:val="none"/>
              </w:rPr>
              <w:t>分）</w:t>
            </w:r>
          </w:p>
        </w:tc>
        <w:tc>
          <w:tcPr>
            <w:tcW w:w="5332" w:type="dxa"/>
            <w:tcBorders>
              <w:left w:val="single" w:color="auto" w:sz="4" w:space="0"/>
            </w:tcBorders>
            <w:noWrap w:val="0"/>
            <w:vAlign w:val="center"/>
          </w:tcPr>
          <w:p w14:paraId="7FE35A04">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技术指标及参数的响应程度：</w:t>
            </w:r>
          </w:p>
          <w:p w14:paraId="1762CE3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1、完全满足招标文件采购需求“三. 技术要求”中要求的得</w:t>
            </w:r>
            <w:r>
              <w:rPr>
                <w:rFonts w:hint="eastAsia" w:ascii="宋体" w:hAnsi="宋体" w:eastAsia="宋体" w:cs="宋体"/>
                <w:b w:val="0"/>
                <w:bCs w:val="0"/>
                <w:color w:val="auto"/>
                <w:sz w:val="24"/>
                <w:szCs w:val="24"/>
                <w:highlight w:val="none"/>
                <w:u w:val="single"/>
              </w:rPr>
              <w:t>4</w:t>
            </w:r>
            <w:r>
              <w:rPr>
                <w:rFonts w:hint="eastAsia" w:ascii="宋体" w:hAnsi="宋体" w:eastAsia="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分；标注“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”号的条款，每有一项负偏离扣</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rPr>
              <w:t>分；未标注“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w:t>
            </w:r>
            <w:r>
              <w:rPr>
                <w:rFonts w:hint="eastAsia" w:ascii="宋体" w:hAnsi="宋体" w:eastAsia="宋体" w:cs="宋体"/>
                <w:b w:val="0"/>
                <w:bCs w:val="0"/>
                <w:color w:val="auto"/>
                <w:sz w:val="24"/>
                <w:szCs w:val="24"/>
                <w:highlight w:val="none"/>
              </w:rPr>
              <w:t>偏离扣</w:t>
            </w:r>
            <w:r>
              <w:rPr>
                <w:rFonts w:hint="eastAsia" w:ascii="宋体" w:hAnsi="宋体" w:eastAsia="宋体" w:cs="宋体"/>
                <w:b w:val="0"/>
                <w:bCs w:val="0"/>
                <w:color w:val="auto"/>
                <w:sz w:val="24"/>
                <w:szCs w:val="24"/>
                <w:highlight w:val="none"/>
                <w:u w:val="single"/>
                <w:lang w:val="en-US" w:eastAsia="zh-CN"/>
              </w:rPr>
              <w:t xml:space="preserve"> 1.5 </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rPr>
              <w:t>；本项分数扣完为止，不计负分。</w:t>
            </w:r>
          </w:p>
          <w:p w14:paraId="4DAA4B4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注：①投标人对“三. 技术要求”应按投标文件格式要求一一对应详细填写，并备注技术支持资料页码，缺项的视为负偏离。②标注“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必须同时提供相关证明材料（指产品彩页、技术白皮书、产品说明书、检测/检验报告或“三.技术要求”中要求的其他证明材料等支持资料的任意一类），并对证明材料的相关评审内容尽量作出明确的标示（如下划线、背景颜色等），无证明材料的视为负偏离；③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按照对应参数要求提供证明材料（未提供证明材料的不得分），若对应参数没有要求提供证明材料，投标人可以不提供证明材料，投标人须真实填写技术规格响应情况表，评标委员会按照技术规格响应情况表响应情况进行评审。</w:t>
            </w:r>
          </w:p>
        </w:tc>
        <w:tc>
          <w:tcPr>
            <w:tcW w:w="857" w:type="dxa"/>
            <w:noWrap w:val="0"/>
            <w:vAlign w:val="top"/>
          </w:tcPr>
          <w:p w14:paraId="210756FC">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p>
        </w:tc>
      </w:tr>
      <w:tr w14:paraId="0ECA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101" w:type="dxa"/>
            <w:vMerge w:val="continue"/>
            <w:tcBorders>
              <w:right w:val="single" w:color="auto" w:sz="4" w:space="0"/>
            </w:tcBorders>
            <w:noWrap w:val="0"/>
            <w:vAlign w:val="center"/>
          </w:tcPr>
          <w:p w14:paraId="7FA75439">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F9CA50">
            <w:pPr>
              <w:widowControl/>
              <w:adjustRightInd w:val="0"/>
              <w:snapToGrid w:val="0"/>
              <w:spacing w:line="288" w:lineRule="auto"/>
              <w:jc w:val="center"/>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产品业绩</w:t>
            </w:r>
          </w:p>
          <w:p w14:paraId="1940E141">
            <w:pPr>
              <w:widowControl/>
              <w:adjustRightInd w:val="0"/>
              <w:snapToGrid w:val="0"/>
              <w:spacing w:line="288" w:lineRule="auto"/>
              <w:jc w:val="center"/>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w:t>
            </w:r>
            <w:r>
              <w:rPr>
                <w:rStyle w:val="65"/>
                <w:rFonts w:hint="eastAsia" w:ascii="宋体" w:hAnsi="宋体" w:eastAsia="宋体" w:cs="宋体"/>
                <w:b w:val="0"/>
                <w:bCs w:val="0"/>
                <w:color w:val="auto"/>
                <w:sz w:val="24"/>
                <w:szCs w:val="24"/>
                <w:highlight w:val="none"/>
                <w:u w:val="single"/>
                <w:lang w:val="en-US"/>
              </w:rPr>
              <w:t xml:space="preserve"> 9 </w:t>
            </w:r>
            <w:r>
              <w:rPr>
                <w:rStyle w:val="65"/>
                <w:rFonts w:hint="eastAsia" w:ascii="宋体" w:hAnsi="宋体" w:eastAsia="宋体" w:cs="宋体"/>
                <w:b w:val="0"/>
                <w:bCs w:val="0"/>
                <w:color w:val="auto"/>
                <w:sz w:val="24"/>
                <w:szCs w:val="24"/>
                <w:highlight w:val="none"/>
              </w:rPr>
              <w:t>分）</w:t>
            </w:r>
          </w:p>
        </w:tc>
        <w:tc>
          <w:tcPr>
            <w:tcW w:w="5332" w:type="dxa"/>
            <w:tcBorders>
              <w:left w:val="single" w:color="auto" w:sz="4" w:space="0"/>
            </w:tcBorders>
            <w:noWrap w:val="0"/>
            <w:vAlign w:val="center"/>
          </w:tcPr>
          <w:p w14:paraId="2D8A968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202</w:t>
            </w:r>
            <w:r>
              <w:rPr>
                <w:rStyle w:val="65"/>
                <w:rFonts w:hint="eastAsia" w:ascii="宋体" w:hAnsi="宋体" w:eastAsia="宋体" w:cs="宋体"/>
                <w:b w:val="0"/>
                <w:bCs w:val="0"/>
                <w:color w:val="auto"/>
                <w:sz w:val="24"/>
                <w:szCs w:val="24"/>
                <w:highlight w:val="none"/>
                <w:lang w:val="en-US"/>
              </w:rPr>
              <w:t>3</w:t>
            </w:r>
            <w:r>
              <w:rPr>
                <w:rStyle w:val="65"/>
                <w:rFonts w:hint="eastAsia" w:ascii="宋体" w:hAnsi="宋体" w:eastAsia="宋体" w:cs="宋体"/>
                <w:b w:val="0"/>
                <w:bCs w:val="0"/>
                <w:color w:val="auto"/>
                <w:sz w:val="24"/>
                <w:szCs w:val="24"/>
                <w:highlight w:val="none"/>
              </w:rPr>
              <w:t>年1月1日起至投标截止日（以合同签订日期为准），每提供1个所投产品（须为向三级医院供货的业绩）的供货业绩得 1.5 分，满分 9 分。</w:t>
            </w:r>
          </w:p>
          <w:p w14:paraId="3ADF2F7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注：1.投标文件中提供业绩合同扫描件，如合同中无法体现签订时间、产品品牌、型号等关键评审因素的，须同时提供加盖业主（合同甲方）公章的证明材料扫描件，未提供或提供不全的不得分；</w:t>
            </w:r>
          </w:p>
          <w:p w14:paraId="41A03B7C">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2.此处业绩系指产品业绩，不限合同签订主体，但合同甲方须为医院。</w:t>
            </w:r>
          </w:p>
          <w:p w14:paraId="3F470C24">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3.医院等级证明材料（医院等级截图或业主证明或医院主管部门证明）。</w:t>
            </w:r>
          </w:p>
          <w:p w14:paraId="7F18B24D">
            <w:pPr>
              <w:widowControl/>
              <w:snapToGrid w:val="0"/>
              <w:spacing w:line="288" w:lineRule="auto"/>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4.同一业主业绩不累计计分，不同业主业绩可以累计。</w:t>
            </w:r>
          </w:p>
        </w:tc>
        <w:tc>
          <w:tcPr>
            <w:tcW w:w="857" w:type="dxa"/>
            <w:noWrap w:val="0"/>
            <w:vAlign w:val="top"/>
          </w:tcPr>
          <w:p w14:paraId="736B1C13">
            <w:pPr>
              <w:spacing w:line="500" w:lineRule="exact"/>
              <w:jc w:val="left"/>
              <w:rPr>
                <w:rFonts w:hint="eastAsia" w:ascii="宋体" w:hAnsi="宋体" w:eastAsia="宋体" w:cs="宋体"/>
                <w:b w:val="0"/>
                <w:bCs w:val="0"/>
                <w:color w:val="auto"/>
                <w:sz w:val="24"/>
                <w:szCs w:val="24"/>
                <w:highlight w:val="none"/>
              </w:rPr>
            </w:pPr>
          </w:p>
        </w:tc>
      </w:tr>
      <w:tr w14:paraId="2249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8" w:hRule="atLeast"/>
          <w:jc w:val="center"/>
        </w:trPr>
        <w:tc>
          <w:tcPr>
            <w:tcW w:w="1101" w:type="dxa"/>
            <w:vMerge w:val="continue"/>
            <w:tcBorders>
              <w:right w:val="single" w:color="auto" w:sz="4" w:space="0"/>
            </w:tcBorders>
            <w:noWrap w:val="0"/>
            <w:vAlign w:val="center"/>
          </w:tcPr>
          <w:p w14:paraId="2664548A">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5485FF">
            <w:pPr>
              <w:spacing w:line="300" w:lineRule="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质量保证期、项目实施及售后服务方案（</w:t>
            </w:r>
            <w:r>
              <w:rPr>
                <w:rFonts w:hint="eastAsia" w:ascii="宋体" w:hAnsi="宋体" w:eastAsia="宋体" w:cs="宋体"/>
                <w:b w:val="0"/>
                <w:bCs w:val="0"/>
                <w:color w:val="auto"/>
                <w:kern w:val="0"/>
                <w:sz w:val="24"/>
                <w:szCs w:val="24"/>
                <w:highlight w:val="none"/>
                <w:u w:val="single"/>
              </w:rPr>
              <w:t>12分</w:t>
            </w:r>
            <w:r>
              <w:rPr>
                <w:rFonts w:hint="eastAsia" w:ascii="宋体" w:hAnsi="宋体" w:eastAsia="宋体" w:cs="宋体"/>
                <w:b w:val="0"/>
                <w:bCs w:val="0"/>
                <w:color w:val="auto"/>
                <w:kern w:val="0"/>
                <w:sz w:val="24"/>
                <w:szCs w:val="24"/>
                <w:highlight w:val="none"/>
                <w:u w:val="none"/>
                <w:lang w:eastAsia="zh-CN"/>
              </w:rPr>
              <w:t>）</w:t>
            </w:r>
          </w:p>
          <w:p w14:paraId="6F91368F">
            <w:pPr>
              <w:spacing w:line="300" w:lineRule="auto"/>
              <w:ind w:firstLine="240" w:firstLineChars="100"/>
              <w:rPr>
                <w:rFonts w:hint="eastAsia" w:ascii="宋体" w:hAnsi="宋体" w:eastAsia="宋体" w:cs="宋体"/>
                <w:b w:val="0"/>
                <w:bCs w:val="0"/>
                <w:color w:val="auto"/>
                <w:sz w:val="24"/>
                <w:szCs w:val="24"/>
                <w:highlight w:val="none"/>
              </w:rPr>
            </w:pPr>
          </w:p>
        </w:tc>
        <w:tc>
          <w:tcPr>
            <w:tcW w:w="5332" w:type="dxa"/>
            <w:tcBorders>
              <w:left w:val="single" w:color="auto" w:sz="4" w:space="0"/>
            </w:tcBorders>
            <w:noWrap w:val="0"/>
            <w:vAlign w:val="center"/>
          </w:tcPr>
          <w:p w14:paraId="6584E55B">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1、投标人</w:t>
            </w:r>
            <w:r>
              <w:rPr>
                <w:rFonts w:hint="eastAsia" w:ascii="宋体" w:hAnsi="宋体" w:eastAsia="宋体" w:cs="宋体"/>
                <w:b w:val="0"/>
                <w:bCs w:val="0"/>
                <w:color w:val="auto"/>
                <w:sz w:val="24"/>
                <w:szCs w:val="24"/>
                <w:highlight w:val="none"/>
                <w:lang w:eastAsia="zh-CN"/>
              </w:rPr>
              <w:t>所投</w:t>
            </w:r>
            <w:r>
              <w:rPr>
                <w:rFonts w:hint="eastAsia" w:ascii="宋体" w:hAnsi="宋体" w:eastAsia="宋体" w:cs="宋体"/>
                <w:b w:val="0"/>
                <w:bCs w:val="0"/>
                <w:color w:val="auto"/>
                <w:sz w:val="24"/>
                <w:szCs w:val="24"/>
                <w:highlight w:val="none"/>
              </w:rPr>
              <w:t>所有设备质量保证期在满足招标文件规定质量保证期的基础上，均延长1年加</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2</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分（不足1年不加分），最高得</w:t>
            </w:r>
            <w:r>
              <w:rPr>
                <w:rFonts w:hint="eastAsia" w:ascii="宋体" w:hAnsi="宋体" w:eastAsia="宋体" w:cs="宋体"/>
                <w:b w:val="0"/>
                <w:bCs w:val="0"/>
                <w:color w:val="auto"/>
                <w:sz w:val="24"/>
                <w:szCs w:val="24"/>
                <w:highlight w:val="none"/>
                <w:u w:val="single"/>
                <w:lang w:val="en-US" w:eastAsia="zh-CN"/>
              </w:rPr>
              <w:t xml:space="preserve"> 6 </w:t>
            </w:r>
            <w:r>
              <w:rPr>
                <w:rFonts w:hint="eastAsia" w:ascii="宋体" w:hAnsi="宋体" w:eastAsia="宋体" w:cs="宋体"/>
                <w:b w:val="0"/>
                <w:bCs w:val="0"/>
                <w:color w:val="auto"/>
                <w:sz w:val="24"/>
                <w:szCs w:val="24"/>
                <w:highlight w:val="none"/>
                <w:u w:val="none"/>
              </w:rPr>
              <w:t>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（提供承诺函，格式自拟）</w:t>
            </w:r>
          </w:p>
          <w:p w14:paraId="58042FCC">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sz w:val="24"/>
                <w:szCs w:val="24"/>
                <w:highlight w:val="none"/>
                <w:lang w:val="en-US" w:eastAsia="zh-CN"/>
              </w:rPr>
              <w:t>项目实施方案</w:t>
            </w:r>
            <w:r>
              <w:rPr>
                <w:rFonts w:hint="eastAsia" w:ascii="宋体" w:hAnsi="宋体" w:eastAsia="宋体" w:cs="宋体"/>
                <w:b w:val="0"/>
                <w:bCs w:val="0"/>
                <w:color w:val="auto"/>
                <w:kern w:val="0"/>
                <w:sz w:val="24"/>
                <w:szCs w:val="24"/>
                <w:highlight w:val="none"/>
              </w:rPr>
              <w:t>实施计划、进度计划、安装调试的技术人员安排、安装调试方案、验收方案</w:t>
            </w:r>
            <w:r>
              <w:rPr>
                <w:rFonts w:hint="eastAsia" w:ascii="宋体" w:hAnsi="宋体" w:eastAsia="宋体" w:cs="宋体"/>
                <w:b w:val="0"/>
                <w:bCs w:val="0"/>
                <w:color w:val="auto"/>
                <w:sz w:val="24"/>
                <w:szCs w:val="24"/>
                <w:highlight w:val="none"/>
              </w:rPr>
              <w:t>情况进行打分</w:t>
            </w:r>
            <w:r>
              <w:rPr>
                <w:rFonts w:hint="eastAsia" w:ascii="宋体" w:hAnsi="宋体" w:eastAsia="宋体" w:cs="宋体"/>
                <w:b w:val="0"/>
                <w:bCs w:val="0"/>
                <w:color w:val="auto"/>
                <w:sz w:val="24"/>
                <w:szCs w:val="24"/>
                <w:highlight w:val="none"/>
                <w:lang w:val="en-US" w:eastAsia="zh-CN"/>
              </w:rPr>
              <w:t>：</w:t>
            </w:r>
          </w:p>
          <w:p w14:paraId="53D20491">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1901CB48">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64B26624">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660F5F43">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p w14:paraId="789F51C5">
            <w:pPr>
              <w:numPr>
                <w:ilvl w:val="0"/>
                <w:numId w:val="0"/>
              </w:numPr>
              <w:spacing w:line="288" w:lineRule="auto"/>
              <w:jc w:val="left"/>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kern w:val="0"/>
                <w:sz w:val="24"/>
                <w:szCs w:val="24"/>
                <w:highlight w:val="none"/>
              </w:rPr>
              <w:t>售后服务方案售后服务人员配置、售后服务响应时间、保障修复时间、培训方案、巡检次数及巡检时间段、应急预案、技术保障措施、回访、备品备件免费供应以及其他承诺等方面</w:t>
            </w:r>
            <w:r>
              <w:rPr>
                <w:rFonts w:hint="eastAsia" w:ascii="宋体" w:hAnsi="宋体" w:eastAsia="宋体" w:cs="宋体"/>
                <w:b w:val="0"/>
                <w:bCs w:val="0"/>
                <w:color w:val="auto"/>
                <w:kern w:val="0"/>
                <w:sz w:val="24"/>
                <w:szCs w:val="24"/>
                <w:highlight w:val="none"/>
                <w:lang w:eastAsia="zh-CN"/>
              </w:rPr>
              <w:t>方案</w:t>
            </w:r>
            <w:r>
              <w:rPr>
                <w:rFonts w:hint="eastAsia" w:ascii="宋体" w:hAnsi="宋体" w:eastAsia="宋体" w:cs="宋体"/>
                <w:b w:val="0"/>
                <w:bCs w:val="0"/>
                <w:color w:val="auto"/>
                <w:kern w:val="0"/>
                <w:sz w:val="24"/>
                <w:szCs w:val="24"/>
                <w:highlight w:val="none"/>
              </w:rPr>
              <w:t>进行综合比较</w:t>
            </w:r>
            <w:r>
              <w:rPr>
                <w:rFonts w:hint="eastAsia" w:ascii="宋体" w:hAnsi="宋体" w:eastAsia="宋体" w:cs="宋体"/>
                <w:b w:val="0"/>
                <w:bCs w:val="0"/>
                <w:color w:val="auto"/>
                <w:kern w:val="0"/>
                <w:sz w:val="24"/>
                <w:szCs w:val="24"/>
                <w:highlight w:val="none"/>
                <w:lang w:eastAsia="zh-CN"/>
              </w:rPr>
              <w:t>打分：</w:t>
            </w:r>
          </w:p>
          <w:p w14:paraId="283AA630">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5015960E">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5A2EA2CF">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18BD9B8A">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857" w:type="dxa"/>
            <w:noWrap w:val="0"/>
            <w:vAlign w:val="top"/>
          </w:tcPr>
          <w:p w14:paraId="4191C3B8">
            <w:pPr>
              <w:spacing w:line="500" w:lineRule="exact"/>
              <w:jc w:val="left"/>
              <w:rPr>
                <w:rFonts w:hint="eastAsia" w:ascii="宋体" w:hAnsi="宋体" w:eastAsia="宋体" w:cs="宋体"/>
                <w:b w:val="0"/>
                <w:bCs w:val="0"/>
                <w:color w:val="auto"/>
                <w:sz w:val="24"/>
                <w:szCs w:val="24"/>
                <w:highlight w:val="none"/>
              </w:rPr>
            </w:pPr>
          </w:p>
        </w:tc>
      </w:tr>
      <w:tr w14:paraId="30DF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21D5E360">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商务分</w:t>
            </w:r>
            <w:r>
              <w:rPr>
                <w:rFonts w:hint="eastAsia" w:ascii="宋体" w:hAnsi="宋体" w:eastAsia="宋体" w:cs="宋体"/>
                <w:b w:val="0"/>
                <w:bCs w:val="0"/>
                <w:color w:val="auto"/>
                <w:kern w:val="0"/>
                <w:sz w:val="24"/>
                <w:szCs w:val="24"/>
                <w:highlight w:val="none"/>
              </w:rPr>
              <w:t>30分</w:t>
            </w:r>
          </w:p>
        </w:tc>
        <w:tc>
          <w:tcPr>
            <w:tcW w:w="8173" w:type="dxa"/>
            <w:gridSpan w:val="3"/>
            <w:tcBorders>
              <w:top w:val="single" w:color="auto" w:sz="4" w:space="0"/>
              <w:bottom w:val="single" w:color="auto" w:sz="4" w:space="0"/>
            </w:tcBorders>
            <w:noWrap w:val="0"/>
            <w:vAlign w:val="top"/>
          </w:tcPr>
          <w:p w14:paraId="4BF6BF90">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价格标经评审满足本文件要求且在预算范围内的投标人的总报价中，最低价格为评标基准价格，得满分；其他投标人的价格分统一按照下列公式计算： </w:t>
            </w:r>
          </w:p>
          <w:p w14:paraId="2376B954">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投标报价得分＝（评标基准价/投标报价）× 价格分分值（取小数点后两位）。</w:t>
            </w:r>
          </w:p>
        </w:tc>
      </w:tr>
    </w:tbl>
    <w:p w14:paraId="2C840881">
      <w:pPr>
        <w:spacing w:line="360" w:lineRule="auto"/>
        <w:ind w:firstLine="435"/>
        <w:rPr>
          <w:rFonts w:hint="eastAsia" w:asciiTheme="minorEastAsia" w:hAnsiTheme="minorEastAsia" w:eastAsiaTheme="minorEastAsia"/>
          <w:color w:val="auto"/>
          <w:sz w:val="24"/>
          <w:highlight w:val="none"/>
        </w:rPr>
      </w:pPr>
    </w:p>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7"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采购合同</w:t>
      </w:r>
      <w:bookmarkEnd w:id="47"/>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928AAB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48" w:name="_Toc22209"/>
      <w:r>
        <w:rPr>
          <w:rFonts w:hint="eastAsia" w:cs="@仿宋_GB2312" w:asciiTheme="minorEastAsia" w:hAnsiTheme="minorEastAsia" w:eastAsiaTheme="minorEastAsia"/>
          <w:b/>
          <w:color w:val="auto"/>
          <w:sz w:val="24"/>
          <w:szCs w:val="20"/>
          <w:highlight w:val="none"/>
        </w:rPr>
        <w:t>第一节 采购合同协议书</w:t>
      </w:r>
      <w:bookmarkEnd w:id="48"/>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64F2B1E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5E2884D3">
      <w:pPr>
        <w:pStyle w:val="59"/>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59"/>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199C56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21431EF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59"/>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bottom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r w14:paraId="225B80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5F0ED71">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p>
          <w:p w14:paraId="7470A758">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采购代理机构：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见证方：公共资源交易中心</w:t>
            </w:r>
          </w:p>
          <w:p w14:paraId="0B3BECF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26C3CD8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单位盖章：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单位盖章：   </w:t>
            </w:r>
          </w:p>
          <w:p w14:paraId="0543701C">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项目负责人（签字）：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中心负责人：                  </w:t>
            </w:r>
          </w:p>
          <w:p w14:paraId="5AE6282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   年   月   日</w:t>
            </w:r>
          </w:p>
        </w:tc>
      </w:tr>
    </w:tbl>
    <w:p w14:paraId="33AE4F50">
      <w:pPr>
        <w:pStyle w:val="2"/>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49"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采购合同通用条款</w:t>
      </w:r>
      <w:bookmarkEnd w:id="49"/>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44C0B6AA">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50"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50"/>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2"/>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规定执行。</w:t>
      </w:r>
    </w:p>
    <w:p w14:paraId="766B1A08">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本合同任何一方向对方发出的通知、信件、数据电文等，应当发送至本合同第一部分《采购合同协议书》所约定的通讯地址、联系人、联系电话或电子邮箱。</w:t>
      </w:r>
    </w:p>
    <w:p w14:paraId="26F8F1BA">
      <w:pPr>
        <w:pStyle w:val="59"/>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51"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2"/>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采购合同专用条款</w:t>
      </w:r>
      <w:bookmarkEnd w:id="51"/>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59"/>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如果中标供应商没有按照合同规定的时间提供</w:t>
            </w:r>
            <w:r>
              <w:rPr>
                <w:rFonts w:hint="eastAsia" w:ascii="宋体" w:hAnsi="宋体" w:eastAsia="宋体" w:cs="宋体"/>
                <w:color w:val="auto"/>
                <w:sz w:val="24"/>
                <w:szCs w:val="24"/>
                <w:highlight w:val="none"/>
                <w:lang w:val="en-US" w:eastAsia="zh-CN"/>
              </w:rPr>
              <w:t>货物或</w:t>
            </w:r>
            <w:r>
              <w:rPr>
                <w:rFonts w:hint="eastAsia" w:ascii="宋体" w:hAnsi="宋体" w:eastAsia="宋体" w:cs="宋体"/>
                <w:color w:val="auto"/>
                <w:sz w:val="24"/>
                <w:szCs w:val="24"/>
                <w:highlight w:val="none"/>
              </w:rPr>
              <w:t>服务，中标供应商应向采购人支付违约金。违约金按每周未提供货物和服务总费用的0.5%计收，如未提供货物和服务时间超过4周，则按合同总价的20%计收违约金。一周按7天计算，不足7天按一周计算。如未提供货物和服务时间超过4周，采购人可以终止合同。</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因采购人原因导致延期返还履约保证金、延期支付合同款项，变更、中止或终止合同的，因政策变化等原因不能签订合同，造成企业合法利益受损的情形，采购人应与供应商充分协商，按照货物或提供服务合同价</w:t>
            </w:r>
            <w:r>
              <w:rPr>
                <w:rFonts w:hint="eastAsia" w:ascii="宋体" w:hAnsi="宋体" w:eastAsia="宋体" w:cs="宋体"/>
                <w:color w:val="auto"/>
                <w:sz w:val="24"/>
                <w:szCs w:val="24"/>
                <w:highlight w:val="none"/>
                <w:u w:val="single"/>
                <w:lang w:val="en-US" w:eastAsia="zh-CN"/>
              </w:rPr>
              <w:t xml:space="preserve"> 0.1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给予合理赔偿或者补偿</w:t>
            </w:r>
            <w:r>
              <w:rPr>
                <w:rFonts w:hint="eastAsia" w:ascii="宋体" w:hAnsi="宋体" w:eastAsia="宋体" w:cs="宋体"/>
                <w:color w:val="auto"/>
                <w:sz w:val="24"/>
                <w:szCs w:val="24"/>
                <w:highlight w:val="none"/>
                <w:lang w:eastAsia="zh-CN"/>
              </w:rPr>
              <w:t>。</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29092542">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52" w:name="_Toc22492"/>
      <w:r>
        <w:rPr>
          <w:rFonts w:hint="eastAsia" w:asciiTheme="minorEastAsia" w:hAnsiTheme="minorEastAsia" w:eastAsiaTheme="minorEastAsia"/>
          <w:b/>
          <w:color w:val="auto"/>
          <w:sz w:val="28"/>
          <w:highlight w:val="none"/>
        </w:rPr>
        <w:t>第六章  投标文件格式</w:t>
      </w:r>
      <w:bookmarkEnd w:id="52"/>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3" w:name="_Toc651"/>
      <w:r>
        <w:rPr>
          <w:rFonts w:hint="eastAsia" w:asciiTheme="minorEastAsia" w:hAnsiTheme="minorEastAsia" w:eastAsiaTheme="minorEastAsia"/>
          <w:b/>
          <w:color w:val="auto"/>
          <w:sz w:val="72"/>
          <w:highlight w:val="none"/>
        </w:rPr>
        <w:t>投</w:t>
      </w:r>
      <w:bookmarkEnd w:id="53"/>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4" w:name="_Toc6148"/>
      <w:r>
        <w:rPr>
          <w:rFonts w:hint="eastAsia" w:asciiTheme="minorEastAsia" w:hAnsiTheme="minorEastAsia" w:eastAsiaTheme="minorEastAsia"/>
          <w:b/>
          <w:color w:val="auto"/>
          <w:sz w:val="72"/>
          <w:highlight w:val="none"/>
        </w:rPr>
        <w:t>标</w:t>
      </w:r>
      <w:bookmarkEnd w:id="54"/>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5" w:name="_Toc1338"/>
      <w:r>
        <w:rPr>
          <w:rFonts w:hint="eastAsia" w:asciiTheme="minorEastAsia" w:hAnsiTheme="minorEastAsia" w:eastAsiaTheme="minorEastAsia"/>
          <w:b/>
          <w:color w:val="auto"/>
          <w:sz w:val="72"/>
          <w:highlight w:val="none"/>
        </w:rPr>
        <w:t>文</w:t>
      </w:r>
      <w:bookmarkEnd w:id="55"/>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6" w:name="_Toc10796"/>
      <w:r>
        <w:rPr>
          <w:rFonts w:hint="eastAsia" w:asciiTheme="minorEastAsia" w:hAnsiTheme="minorEastAsia" w:eastAsiaTheme="minorEastAsia"/>
          <w:b/>
          <w:color w:val="auto"/>
          <w:sz w:val="72"/>
          <w:highlight w:val="none"/>
        </w:rPr>
        <w:t>件</w:t>
      </w:r>
      <w:bookmarkEnd w:id="56"/>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7" w:name="_Toc8037"/>
      <w:bookmarkStart w:id="58"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7"/>
      <w:bookmarkEnd w:id="58"/>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59" w:name="_Toc5555"/>
      <w:bookmarkStart w:id="60" w:name="_Toc28960"/>
      <w:r>
        <w:rPr>
          <w:rFonts w:hint="eastAsia" w:asciiTheme="minorEastAsia" w:hAnsiTheme="minorEastAsia" w:eastAsiaTheme="minorEastAsia"/>
          <w:b/>
          <w:color w:val="auto"/>
          <w:sz w:val="24"/>
          <w:highlight w:val="none"/>
        </w:rPr>
        <w:t>一、开标一览表</w:t>
      </w:r>
      <w:bookmarkEnd w:id="59"/>
      <w:bookmarkEnd w:id="60"/>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61" w:name="_Toc6441"/>
      <w:bookmarkStart w:id="62" w:name="_Toc18010"/>
      <w:r>
        <w:rPr>
          <w:rFonts w:hint="eastAsia" w:asciiTheme="minorEastAsia" w:hAnsiTheme="minorEastAsia" w:eastAsiaTheme="minorEastAsia"/>
          <w:b/>
          <w:color w:val="auto"/>
          <w:sz w:val="24"/>
          <w:highlight w:val="none"/>
        </w:rPr>
        <w:t>二、投标函</w:t>
      </w:r>
      <w:bookmarkEnd w:id="61"/>
      <w:bookmarkEnd w:id="62"/>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3" w:name="_Toc1328"/>
      <w:r>
        <w:rPr>
          <w:rFonts w:hint="eastAsia" w:asciiTheme="minorEastAsia" w:hAnsiTheme="minorEastAsia" w:eastAsiaTheme="minorEastAsia"/>
          <w:b/>
          <w:color w:val="auto"/>
          <w:sz w:val="24"/>
          <w:highlight w:val="none"/>
          <w:lang w:val="en-US" w:eastAsia="zh-CN"/>
        </w:rPr>
        <w:t>三．投标人资格声明书</w:t>
      </w:r>
      <w:bookmarkEnd w:id="63"/>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4"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5" w:name="_Toc16960"/>
      <w:r>
        <w:rPr>
          <w:rFonts w:hint="eastAsia" w:asciiTheme="minorEastAsia" w:hAnsiTheme="minorEastAsia" w:eastAsiaTheme="minorEastAsia"/>
          <w:b/>
          <w:color w:val="auto"/>
          <w:sz w:val="24"/>
          <w:highlight w:val="none"/>
        </w:rPr>
        <w:t>四、授权书</w:t>
      </w:r>
      <w:bookmarkEnd w:id="64"/>
      <w:bookmarkEnd w:id="65"/>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6" w:name="_Toc31991"/>
      <w:bookmarkStart w:id="67" w:name="_Toc6796"/>
      <w:r>
        <w:rPr>
          <w:rFonts w:hint="eastAsia" w:asciiTheme="minorEastAsia" w:hAnsiTheme="minorEastAsia" w:eastAsiaTheme="minorEastAsia"/>
          <w:b/>
          <w:color w:val="auto"/>
          <w:sz w:val="24"/>
          <w:highlight w:val="none"/>
        </w:rPr>
        <w:t>五、投标分项报价表</w:t>
      </w:r>
      <w:bookmarkEnd w:id="66"/>
      <w:bookmarkEnd w:id="67"/>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8" w:name="_Toc11940"/>
      <w:bookmarkStart w:id="69" w:name="_Toc20329"/>
      <w:r>
        <w:rPr>
          <w:rFonts w:hint="eastAsia" w:asciiTheme="minorEastAsia" w:hAnsiTheme="minorEastAsia" w:eastAsiaTheme="minorEastAsia"/>
          <w:b/>
          <w:color w:val="auto"/>
          <w:sz w:val="24"/>
          <w:highlight w:val="none"/>
        </w:rPr>
        <w:t>六、投标响应表</w:t>
      </w:r>
      <w:bookmarkEnd w:id="68"/>
      <w:bookmarkEnd w:id="69"/>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437"/>
        <w:gridCol w:w="2977"/>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843"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746"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843" w:type="pct"/>
            <w:vAlign w:val="center"/>
          </w:tcPr>
          <w:p w14:paraId="7C1AF61C">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付款方式</w:t>
            </w:r>
          </w:p>
        </w:tc>
        <w:tc>
          <w:tcPr>
            <w:tcW w:w="1746" w:type="pct"/>
            <w:vAlign w:val="center"/>
          </w:tcPr>
          <w:p w14:paraId="09F9664D">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经验收合格后6个月后依照医院付款流程支付。</w:t>
            </w: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43" w:type="pct"/>
            <w:vAlign w:val="center"/>
          </w:tcPr>
          <w:p w14:paraId="2380CFC8">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供货及安装地点</w:t>
            </w:r>
          </w:p>
        </w:tc>
        <w:tc>
          <w:tcPr>
            <w:tcW w:w="1746" w:type="pct"/>
            <w:vAlign w:val="center"/>
          </w:tcPr>
          <w:p w14:paraId="465346DC">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843" w:type="pct"/>
            <w:vAlign w:val="center"/>
          </w:tcPr>
          <w:p w14:paraId="0BE4F9CA">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供货及安装期限</w:t>
            </w:r>
          </w:p>
        </w:tc>
        <w:tc>
          <w:tcPr>
            <w:tcW w:w="1746" w:type="pct"/>
            <w:vAlign w:val="center"/>
          </w:tcPr>
          <w:p w14:paraId="49C10EBC">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76360C49">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保修生效期为：设备安装后验收合格后</w:t>
            </w:r>
          </w:p>
        </w:tc>
        <w:tc>
          <w:tcPr>
            <w:tcW w:w="1510" w:type="pct"/>
            <w:vAlign w:val="center"/>
          </w:tcPr>
          <w:p w14:paraId="14884059">
            <w:pPr>
              <w:pStyle w:val="39"/>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437" w:type="dxa"/>
            <w:vAlign w:val="center"/>
          </w:tcPr>
          <w:p w14:paraId="63516FEB">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u w:val="none"/>
              </w:rPr>
              <w:t>免费质保期</w:t>
            </w:r>
          </w:p>
        </w:tc>
        <w:tc>
          <w:tcPr>
            <w:tcW w:w="2977" w:type="dxa"/>
            <w:vAlign w:val="center"/>
          </w:tcPr>
          <w:p w14:paraId="2FE1171C">
            <w:pPr>
              <w:pStyle w:val="31"/>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u w:val="none"/>
              </w:rPr>
              <w:t xml:space="preserve">整机质保自验收合格之日起不少于3年。 </w:t>
            </w: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843" w:type="pct"/>
            <w:vAlign w:val="center"/>
          </w:tcPr>
          <w:p w14:paraId="71929B76">
            <w:pPr>
              <w:jc w:val="center"/>
              <w:rPr>
                <w:rFonts w:ascii="宋体" w:hAnsi="宋体" w:eastAsia="宋体"/>
                <w:color w:val="auto"/>
                <w:sz w:val="24"/>
                <w:highlight w:val="none"/>
              </w:rPr>
            </w:pPr>
          </w:p>
        </w:tc>
        <w:tc>
          <w:tcPr>
            <w:tcW w:w="1746"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6F5A257D">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5A247145">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5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048"/>
        <w:gridCol w:w="6142"/>
        <w:gridCol w:w="1421"/>
        <w:gridCol w:w="6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374"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523"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3064"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709"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327"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4"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523" w:type="pct"/>
            <w:vAlign w:val="center"/>
          </w:tcPr>
          <w:p w14:paraId="3377F374">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2"/>
                <w:szCs w:val="22"/>
                <w:highlight w:val="none"/>
                <w:lang w:val="en-US" w:eastAsia="zh-CN"/>
              </w:rPr>
              <w:t>一</w:t>
            </w:r>
            <w:r>
              <w:rPr>
                <w:rFonts w:hint="eastAsia" w:ascii="宋体" w:hAnsi="宋体" w:eastAsia="宋体" w:cs="宋体"/>
                <w:b/>
                <w:bCs/>
                <w:color w:val="auto"/>
                <w:spacing w:val="0"/>
                <w:sz w:val="24"/>
                <w:szCs w:val="24"/>
                <w:highlight w:val="none"/>
                <w:lang w:val="en-US" w:eastAsia="zh-CN"/>
              </w:rPr>
              <w:t>、</w:t>
            </w:r>
            <w:r>
              <w:rPr>
                <w:rFonts w:hint="eastAsia" w:ascii="宋体" w:hAnsi="宋体" w:eastAsia="宋体" w:cs="宋体"/>
                <w:b/>
                <w:bCs/>
                <w:color w:val="auto"/>
                <w:spacing w:val="0"/>
                <w:sz w:val="24"/>
                <w:szCs w:val="24"/>
                <w:highlight w:val="none"/>
              </w:rPr>
              <w:t>系统总体</w:t>
            </w:r>
            <w:r>
              <w:rPr>
                <w:rFonts w:hint="eastAsia" w:ascii="宋体" w:hAnsi="宋体" w:eastAsia="宋体" w:cs="宋体"/>
                <w:b/>
                <w:bCs/>
                <w:color w:val="auto"/>
                <w:spacing w:val="0"/>
                <w:sz w:val="24"/>
                <w:szCs w:val="24"/>
                <w:highlight w:val="none"/>
                <w:lang w:val="en-US" w:eastAsia="zh-CN"/>
              </w:rPr>
              <w:t>要求</w:t>
            </w:r>
          </w:p>
          <w:p w14:paraId="764495D2">
            <w:pPr>
              <w:jc w:val="center"/>
              <w:rPr>
                <w:rFonts w:asciiTheme="minorEastAsia" w:hAnsiTheme="minorEastAsia" w:eastAsiaTheme="minorEastAsia"/>
                <w:color w:val="auto"/>
                <w:sz w:val="24"/>
                <w:highlight w:val="none"/>
              </w:rPr>
            </w:pPr>
          </w:p>
        </w:tc>
        <w:tc>
          <w:tcPr>
            <w:tcW w:w="3064" w:type="pct"/>
            <w:vAlign w:val="center"/>
          </w:tcPr>
          <w:p w14:paraId="59C641F1">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1.</w:t>
            </w:r>
            <w:r>
              <w:rPr>
                <w:rFonts w:hint="eastAsia" w:ascii="宋体" w:hAnsi="宋体" w:eastAsia="宋体" w:cs="宋体"/>
                <w:bCs/>
                <w:color w:val="auto"/>
                <w:spacing w:val="0"/>
                <w:sz w:val="24"/>
                <w:szCs w:val="24"/>
                <w:highlight w:val="none"/>
              </w:rPr>
              <w:t>要求系统具有完整的分级权限管理系统，可针对不同人员授予不同的权限。</w:t>
            </w:r>
          </w:p>
          <w:p w14:paraId="27D35B8F">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2.</w:t>
            </w:r>
            <w:r>
              <w:rPr>
                <w:rFonts w:hint="eastAsia" w:ascii="宋体" w:hAnsi="宋体" w:eastAsia="宋体" w:cs="宋体"/>
                <w:bCs/>
                <w:color w:val="auto"/>
                <w:spacing w:val="0"/>
                <w:sz w:val="24"/>
                <w:szCs w:val="24"/>
                <w:highlight w:val="none"/>
                <w:lang w:val="en-US" w:eastAsia="zh-CN"/>
              </w:rPr>
              <w:t>系统能</w:t>
            </w:r>
            <w:r>
              <w:rPr>
                <w:rFonts w:hint="eastAsia" w:ascii="宋体" w:hAnsi="宋体" w:eastAsia="宋体" w:cs="宋体"/>
                <w:bCs/>
                <w:color w:val="auto"/>
                <w:spacing w:val="0"/>
                <w:sz w:val="24"/>
                <w:szCs w:val="24"/>
                <w:highlight w:val="none"/>
              </w:rPr>
              <w:t>完成心电图检查的心电图采集</w:t>
            </w:r>
            <w:r>
              <w:rPr>
                <w:rFonts w:hint="eastAsia" w:ascii="宋体" w:hAnsi="宋体" w:eastAsia="宋体" w:cs="宋体"/>
                <w:bCs/>
                <w:color w:val="auto"/>
                <w:spacing w:val="0"/>
                <w:sz w:val="24"/>
                <w:szCs w:val="24"/>
                <w:highlight w:val="none"/>
                <w:lang w:eastAsia="zh-CN"/>
              </w:rPr>
              <w:t>、</w:t>
            </w:r>
            <w:r>
              <w:rPr>
                <w:rFonts w:hint="eastAsia" w:ascii="宋体" w:hAnsi="宋体" w:eastAsia="宋体" w:cs="宋体"/>
                <w:bCs/>
                <w:color w:val="auto"/>
                <w:spacing w:val="0"/>
                <w:sz w:val="24"/>
                <w:szCs w:val="24"/>
                <w:highlight w:val="none"/>
              </w:rPr>
              <w:t>自动存储、检查报告处理、查询病人心电图数据等，并与医院的其它信息系统无缝集成。</w:t>
            </w:r>
          </w:p>
          <w:p w14:paraId="1E23480C">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3.</w:t>
            </w:r>
            <w:r>
              <w:rPr>
                <w:rFonts w:hint="eastAsia" w:ascii="宋体" w:hAnsi="宋体" w:eastAsia="宋体" w:cs="宋体"/>
                <w:bCs/>
                <w:color w:val="auto"/>
                <w:spacing w:val="0"/>
                <w:sz w:val="24"/>
                <w:szCs w:val="24"/>
                <w:highlight w:val="none"/>
              </w:rPr>
              <w:t>心电检查</w:t>
            </w:r>
            <w:r>
              <w:rPr>
                <w:rFonts w:hint="eastAsia" w:ascii="宋体" w:hAnsi="宋体" w:eastAsia="宋体" w:cs="宋体"/>
                <w:bCs/>
                <w:color w:val="auto"/>
                <w:spacing w:val="0"/>
                <w:sz w:val="24"/>
                <w:szCs w:val="24"/>
                <w:highlight w:val="none"/>
                <w:lang w:val="en-US" w:eastAsia="zh-CN"/>
              </w:rPr>
              <w:t>的</w:t>
            </w:r>
            <w:r>
              <w:rPr>
                <w:rFonts w:hint="eastAsia" w:ascii="宋体" w:hAnsi="宋体" w:eastAsia="宋体" w:cs="宋体"/>
                <w:bCs/>
                <w:color w:val="auto"/>
                <w:spacing w:val="0"/>
                <w:sz w:val="24"/>
                <w:szCs w:val="24"/>
                <w:highlight w:val="none"/>
              </w:rPr>
              <w:t>检查数据直接通过网络发送至心电服务器。</w:t>
            </w:r>
          </w:p>
          <w:p w14:paraId="61FFB2C0">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4.</w:t>
            </w:r>
            <w:r>
              <w:rPr>
                <w:rFonts w:hint="eastAsia" w:ascii="宋体" w:hAnsi="宋体" w:eastAsia="宋体" w:cs="宋体"/>
                <w:bCs/>
                <w:color w:val="auto"/>
                <w:spacing w:val="0"/>
                <w:sz w:val="24"/>
                <w:szCs w:val="24"/>
                <w:highlight w:val="none"/>
              </w:rPr>
              <w:t>心电</w:t>
            </w:r>
            <w:r>
              <w:rPr>
                <w:rFonts w:hint="eastAsia" w:ascii="宋体" w:hAnsi="宋体" w:eastAsia="宋体" w:cs="宋体"/>
                <w:bCs/>
                <w:color w:val="auto"/>
                <w:spacing w:val="0"/>
                <w:sz w:val="24"/>
                <w:szCs w:val="24"/>
                <w:highlight w:val="none"/>
                <w:lang w:val="en-US" w:eastAsia="zh-CN"/>
              </w:rPr>
              <w:t>图判读</w:t>
            </w:r>
            <w:r>
              <w:rPr>
                <w:rFonts w:hint="eastAsia" w:ascii="宋体" w:hAnsi="宋体" w:eastAsia="宋体" w:cs="宋体"/>
                <w:bCs/>
                <w:color w:val="auto"/>
                <w:spacing w:val="0"/>
                <w:sz w:val="24"/>
                <w:szCs w:val="24"/>
                <w:highlight w:val="none"/>
              </w:rPr>
              <w:t>工作站负责处理所有心电检查设备发送过来的心电图，并发出报告。</w:t>
            </w:r>
          </w:p>
          <w:p w14:paraId="7EC94075">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宋体"/>
                <w:bCs/>
                <w:color w:val="auto"/>
                <w:spacing w:val="0"/>
                <w:sz w:val="24"/>
                <w:szCs w:val="24"/>
                <w:highlight w:val="none"/>
              </w:rPr>
            </w:pPr>
            <w:r>
              <w:rPr>
                <w:rFonts w:hint="default" w:ascii="宋体" w:hAnsi="宋体" w:eastAsia="宋体" w:cs="宋体"/>
                <w:bCs/>
                <w:color w:val="auto"/>
                <w:spacing w:val="0"/>
                <w:kern w:val="2"/>
                <w:sz w:val="24"/>
                <w:szCs w:val="24"/>
                <w:highlight w:val="none"/>
                <w:lang w:val="en-US" w:eastAsia="zh-CN" w:bidi="ar-SA"/>
              </w:rPr>
              <w:t>5.</w:t>
            </w:r>
            <w:r>
              <w:rPr>
                <w:rFonts w:hint="eastAsia" w:ascii="宋体" w:hAnsi="宋体" w:eastAsia="宋体" w:cs="宋体"/>
                <w:bCs/>
                <w:color w:val="auto"/>
                <w:spacing w:val="0"/>
                <w:sz w:val="24"/>
                <w:szCs w:val="24"/>
                <w:highlight w:val="none"/>
              </w:rPr>
              <w:t>支持心电图数据存储为</w:t>
            </w:r>
            <w:r>
              <w:rPr>
                <w:rFonts w:hint="eastAsia" w:ascii="宋体" w:hAnsi="宋体" w:eastAsia="宋体" w:cs="宋体"/>
                <w:bCs/>
                <w:color w:val="auto"/>
                <w:spacing w:val="0"/>
                <w:sz w:val="24"/>
                <w:szCs w:val="24"/>
                <w:highlight w:val="none"/>
                <w:lang w:val="en-US" w:eastAsia="zh-CN"/>
              </w:rPr>
              <w:t>nhd</w:t>
            </w:r>
            <w:r>
              <w:rPr>
                <w:rFonts w:hint="eastAsia" w:ascii="宋体" w:hAnsi="宋体" w:eastAsia="宋体" w:cs="宋体"/>
                <w:bCs/>
                <w:color w:val="auto"/>
                <w:spacing w:val="0"/>
                <w:sz w:val="24"/>
                <w:szCs w:val="24"/>
                <w:highlight w:val="none"/>
              </w:rPr>
              <w:t>、BMP等数据。</w:t>
            </w:r>
          </w:p>
          <w:p w14:paraId="73C21E5A">
            <w:pPr>
              <w:jc w:val="center"/>
              <w:rPr>
                <w:rFonts w:asciiTheme="minorEastAsia" w:hAnsiTheme="minorEastAsia" w:eastAsiaTheme="minorEastAsia"/>
                <w:color w:val="auto"/>
                <w:sz w:val="24"/>
                <w:highlight w:val="none"/>
              </w:rPr>
            </w:pPr>
          </w:p>
        </w:tc>
        <w:tc>
          <w:tcPr>
            <w:tcW w:w="709" w:type="pct"/>
            <w:vAlign w:val="center"/>
          </w:tcPr>
          <w:p w14:paraId="2A81A73A">
            <w:pPr>
              <w:jc w:val="center"/>
              <w:rPr>
                <w:rFonts w:asciiTheme="minorEastAsia" w:hAnsiTheme="minorEastAsia" w:eastAsiaTheme="minorEastAsia"/>
                <w:color w:val="auto"/>
                <w:sz w:val="24"/>
                <w:highlight w:val="none"/>
              </w:rPr>
            </w:pPr>
          </w:p>
        </w:tc>
        <w:tc>
          <w:tcPr>
            <w:tcW w:w="327"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4"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523" w:type="pct"/>
            <w:vAlign w:val="center"/>
          </w:tcPr>
          <w:p w14:paraId="16A5AC7C">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二、</w:t>
            </w:r>
            <w:r>
              <w:rPr>
                <w:rFonts w:hint="eastAsia" w:ascii="宋体" w:hAnsi="宋体" w:eastAsia="宋体" w:cs="宋体"/>
                <w:b/>
                <w:bCs/>
                <w:color w:val="auto"/>
                <w:spacing w:val="0"/>
                <w:sz w:val="24"/>
                <w:szCs w:val="24"/>
                <w:highlight w:val="none"/>
              </w:rPr>
              <w:t>系统功能要求</w:t>
            </w:r>
          </w:p>
          <w:p w14:paraId="07496448">
            <w:pPr>
              <w:jc w:val="center"/>
              <w:rPr>
                <w:rFonts w:asciiTheme="minorEastAsia" w:hAnsiTheme="minorEastAsia" w:eastAsiaTheme="minorEastAsia"/>
                <w:color w:val="auto"/>
                <w:sz w:val="24"/>
                <w:highlight w:val="none"/>
              </w:rPr>
            </w:pPr>
          </w:p>
        </w:tc>
        <w:tc>
          <w:tcPr>
            <w:tcW w:w="3064" w:type="pct"/>
            <w:vAlign w:val="center"/>
          </w:tcPr>
          <w:p w14:paraId="3633A5E1">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 xml:space="preserve">1. </w:t>
            </w:r>
            <w:r>
              <w:rPr>
                <w:rFonts w:hint="eastAsia" w:ascii="宋体" w:hAnsi="宋体" w:eastAsia="宋体" w:cs="宋体"/>
                <w:b/>
                <w:bCs/>
                <w:color w:val="auto"/>
                <w:spacing w:val="0"/>
                <w:sz w:val="24"/>
                <w:szCs w:val="24"/>
                <w:highlight w:val="none"/>
              </w:rPr>
              <w:t>服务器端要求</w:t>
            </w:r>
          </w:p>
          <w:p w14:paraId="552A57F0">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 xml:space="preserve">1.1 </w:t>
            </w:r>
            <w:r>
              <w:rPr>
                <w:rFonts w:hint="eastAsia" w:ascii="宋体" w:hAnsi="宋体" w:eastAsia="宋体" w:cs="宋体"/>
                <w:bCs/>
                <w:color w:val="auto"/>
                <w:spacing w:val="0"/>
                <w:sz w:val="24"/>
                <w:szCs w:val="24"/>
                <w:highlight w:val="none"/>
              </w:rPr>
              <w:t>在线数据采用RAID5进项冗余备份，保证数据的安全性，且病人资料具有延续性和完整性，方便操作和查询统计。支持CD/DVD光盘刻录备份病人数据。</w:t>
            </w:r>
          </w:p>
          <w:p w14:paraId="60620296">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 xml:space="preserve">1.2 </w:t>
            </w:r>
            <w:r>
              <w:rPr>
                <w:rFonts w:hint="eastAsia" w:ascii="宋体" w:hAnsi="宋体" w:eastAsia="宋体" w:cs="宋体"/>
                <w:bCs/>
                <w:color w:val="auto"/>
                <w:spacing w:val="0"/>
                <w:sz w:val="24"/>
                <w:szCs w:val="24"/>
                <w:highlight w:val="none"/>
              </w:rPr>
              <w:t>采用专业的服务器，同时支持扩容，满足医院对数据存储不断增长的需求。</w:t>
            </w:r>
          </w:p>
          <w:p w14:paraId="5F17F838">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
                <w:bCs w:val="0"/>
                <w:color w:val="auto"/>
                <w:spacing w:val="0"/>
                <w:sz w:val="24"/>
                <w:szCs w:val="24"/>
                <w:highlight w:val="none"/>
                <w:lang w:val="en-US" w:eastAsia="zh-CN"/>
              </w:rPr>
              <w:t>2.</w:t>
            </w:r>
            <w:r>
              <w:rPr>
                <w:rFonts w:hint="eastAsia" w:ascii="宋体" w:hAnsi="宋体" w:eastAsia="宋体" w:cs="宋体"/>
                <w:b/>
                <w:bCs w:val="0"/>
                <w:color w:val="auto"/>
                <w:spacing w:val="0"/>
                <w:sz w:val="24"/>
                <w:szCs w:val="24"/>
                <w:highlight w:val="none"/>
              </w:rPr>
              <w:t>管理及统计</w:t>
            </w:r>
            <w:r>
              <w:rPr>
                <w:rFonts w:hint="eastAsia" w:ascii="宋体" w:hAnsi="宋体" w:eastAsia="宋体" w:cs="宋体"/>
                <w:b/>
                <w:bCs w:val="0"/>
                <w:color w:val="auto"/>
                <w:spacing w:val="0"/>
                <w:sz w:val="24"/>
                <w:szCs w:val="24"/>
                <w:highlight w:val="none"/>
                <w:lang w:val="en-US" w:eastAsia="zh-CN"/>
              </w:rPr>
              <w:t>要求</w:t>
            </w:r>
          </w:p>
          <w:p w14:paraId="37530117">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 xml:space="preserve">2.1 </w:t>
            </w:r>
            <w:r>
              <w:rPr>
                <w:rFonts w:hint="eastAsia" w:ascii="宋体" w:hAnsi="宋体" w:eastAsia="宋体" w:cs="宋体"/>
                <w:bCs/>
                <w:color w:val="auto"/>
                <w:spacing w:val="0"/>
                <w:sz w:val="24"/>
                <w:szCs w:val="24"/>
                <w:highlight w:val="none"/>
              </w:rPr>
              <w:t>可对科室工作情况、病人资料、心电图结论等进行统计，生成表格报表的方式。</w:t>
            </w:r>
          </w:p>
          <w:p w14:paraId="01E8189A">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2.2 支持</w:t>
            </w:r>
            <w:r>
              <w:rPr>
                <w:rFonts w:hint="eastAsia" w:ascii="宋体" w:hAnsi="宋体" w:eastAsia="宋体" w:cs="宋体"/>
                <w:bCs/>
                <w:color w:val="auto"/>
                <w:spacing w:val="0"/>
                <w:sz w:val="24"/>
                <w:szCs w:val="24"/>
                <w:highlight w:val="none"/>
              </w:rPr>
              <w:t>灵活检索条件</w:t>
            </w:r>
            <w:r>
              <w:rPr>
                <w:rFonts w:hint="eastAsia" w:ascii="宋体" w:hAnsi="宋体" w:eastAsia="宋体" w:cs="宋体"/>
                <w:bCs/>
                <w:color w:val="auto"/>
                <w:spacing w:val="0"/>
                <w:sz w:val="24"/>
                <w:szCs w:val="24"/>
                <w:highlight w:val="none"/>
                <w:lang w:val="en-US" w:eastAsia="zh-CN"/>
              </w:rPr>
              <w:t>实现检索功能</w:t>
            </w:r>
            <w:r>
              <w:rPr>
                <w:rFonts w:hint="eastAsia" w:ascii="宋体" w:hAnsi="宋体" w:eastAsia="宋体" w:cs="宋体"/>
                <w:bCs/>
                <w:color w:val="auto"/>
                <w:spacing w:val="0"/>
                <w:sz w:val="24"/>
                <w:szCs w:val="24"/>
                <w:highlight w:val="none"/>
              </w:rPr>
              <w:t>、统计报表</w:t>
            </w:r>
            <w:r>
              <w:rPr>
                <w:rFonts w:hint="eastAsia" w:ascii="宋体" w:hAnsi="宋体" w:eastAsia="宋体" w:cs="宋体"/>
                <w:bCs/>
                <w:color w:val="auto"/>
                <w:spacing w:val="0"/>
                <w:sz w:val="24"/>
                <w:szCs w:val="24"/>
                <w:highlight w:val="none"/>
                <w:lang w:val="en-US" w:eastAsia="zh-CN"/>
              </w:rPr>
              <w:t>支持导出和打印</w:t>
            </w:r>
            <w:r>
              <w:rPr>
                <w:rFonts w:hint="eastAsia" w:ascii="宋体" w:hAnsi="宋体" w:eastAsia="宋体" w:cs="宋体"/>
                <w:bCs/>
                <w:color w:val="auto"/>
                <w:spacing w:val="0"/>
                <w:sz w:val="24"/>
                <w:szCs w:val="24"/>
                <w:highlight w:val="none"/>
              </w:rPr>
              <w:t>。</w:t>
            </w:r>
          </w:p>
          <w:p w14:paraId="070FEE58">
            <w:pPr>
              <w:pStyle w:val="6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 xml:space="preserve">2.3 </w:t>
            </w:r>
            <w:r>
              <w:rPr>
                <w:rFonts w:hint="eastAsia" w:ascii="宋体" w:hAnsi="宋体" w:eastAsia="宋体" w:cs="宋体"/>
                <w:color w:val="auto"/>
                <w:sz w:val="24"/>
                <w:szCs w:val="24"/>
                <w:highlight w:val="none"/>
              </w:rPr>
              <w:t>提供集中的用户及权限管理</w:t>
            </w:r>
            <w:r>
              <w:rPr>
                <w:rFonts w:hint="eastAsia" w:ascii="宋体" w:hAnsi="宋体" w:eastAsia="宋体" w:cs="宋体"/>
                <w:color w:val="auto"/>
                <w:sz w:val="24"/>
                <w:szCs w:val="24"/>
                <w:highlight w:val="none"/>
                <w:lang w:val="en-US" w:eastAsia="zh-CN"/>
              </w:rPr>
              <w:t>功能</w:t>
            </w:r>
            <w:r>
              <w:rPr>
                <w:rFonts w:hint="eastAsia" w:ascii="宋体" w:hAnsi="宋体" w:eastAsia="宋体" w:cs="宋体"/>
                <w:color w:val="auto"/>
                <w:sz w:val="24"/>
                <w:szCs w:val="24"/>
                <w:highlight w:val="none"/>
              </w:rPr>
              <w:t>，通过系统管理员为用户授权</w:t>
            </w:r>
            <w:r>
              <w:rPr>
                <w:rFonts w:hint="eastAsia" w:ascii="宋体" w:hAnsi="宋体" w:eastAsia="宋体" w:cs="宋体"/>
                <w:color w:val="auto"/>
                <w:sz w:val="24"/>
                <w:szCs w:val="24"/>
                <w:highlight w:val="none"/>
                <w:lang w:eastAsia="zh-CN"/>
              </w:rPr>
              <w:t>。</w:t>
            </w:r>
          </w:p>
        </w:tc>
        <w:tc>
          <w:tcPr>
            <w:tcW w:w="709" w:type="pct"/>
            <w:vAlign w:val="center"/>
          </w:tcPr>
          <w:p w14:paraId="411F3E68">
            <w:pPr>
              <w:jc w:val="center"/>
              <w:rPr>
                <w:rFonts w:asciiTheme="minorEastAsia" w:hAnsiTheme="minorEastAsia" w:eastAsiaTheme="minorEastAsia"/>
                <w:color w:val="auto"/>
                <w:sz w:val="24"/>
                <w:highlight w:val="none"/>
              </w:rPr>
            </w:pPr>
          </w:p>
        </w:tc>
        <w:tc>
          <w:tcPr>
            <w:tcW w:w="327"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523" w:type="pct"/>
            <w:vAlign w:val="center"/>
          </w:tcPr>
          <w:p w14:paraId="01827069">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val="0"/>
                <w:color w:val="auto"/>
                <w:spacing w:val="0"/>
                <w:sz w:val="24"/>
                <w:szCs w:val="24"/>
                <w:highlight w:val="none"/>
                <w:lang w:val="en-US" w:eastAsia="zh-CN"/>
              </w:rPr>
              <w:t>三、心电采集设备要求</w:t>
            </w:r>
          </w:p>
          <w:p w14:paraId="33C8D9BB">
            <w:pPr>
              <w:jc w:val="center"/>
              <w:rPr>
                <w:rFonts w:asciiTheme="minorEastAsia" w:hAnsiTheme="minorEastAsia" w:eastAsiaTheme="minorEastAsia"/>
                <w:color w:val="auto"/>
                <w:sz w:val="24"/>
                <w:highlight w:val="none"/>
              </w:rPr>
            </w:pPr>
          </w:p>
        </w:tc>
        <w:tc>
          <w:tcPr>
            <w:tcW w:w="3064" w:type="pct"/>
            <w:vAlign w:val="center"/>
          </w:tcPr>
          <w:p w14:paraId="20FEC782">
            <w:pPr>
              <w:keepNext w:val="0"/>
              <w:keepLines w:val="0"/>
              <w:pageBreakBefore w:val="0"/>
              <w:widowControl w:val="0"/>
              <w:numPr>
                <w:ilvl w:val="0"/>
                <w:numId w:val="0"/>
              </w:numPr>
              <w:kinsoku/>
              <w:wordWrap/>
              <w:overflowPunct/>
              <w:topLinePunct w:val="0"/>
              <w:autoSpaceDE/>
              <w:autoSpaceDN/>
              <w:bidi w:val="0"/>
              <w:adjustRightInd/>
              <w:snapToGrid/>
              <w:spacing w:line="312" w:lineRule="auto"/>
              <w:ind w:leftChars="0"/>
              <w:textAlignment w:val="auto"/>
              <w:outlineLvl w:val="9"/>
              <w:rPr>
                <w:rFonts w:hint="eastAsia" w:ascii="宋体" w:hAnsi="宋体" w:eastAsia="宋体" w:cs="宋体"/>
                <w:b/>
                <w:bCs/>
                <w:color w:val="auto"/>
                <w:sz w:val="22"/>
                <w:szCs w:val="21"/>
                <w:highlight w:val="none"/>
              </w:rPr>
            </w:pPr>
            <w:r>
              <w:rPr>
                <w:rFonts w:hint="eastAsia" w:ascii="宋体" w:hAnsi="宋体" w:eastAsia="宋体" w:cs="宋体"/>
                <w:b/>
                <w:bCs/>
                <w:color w:val="auto"/>
                <w:sz w:val="22"/>
                <w:szCs w:val="21"/>
                <w:highlight w:val="none"/>
                <w:lang w:val="en-US" w:eastAsia="zh-CN"/>
              </w:rPr>
              <w:t>3.1、</w:t>
            </w:r>
            <w:r>
              <w:rPr>
                <w:rFonts w:hint="eastAsia" w:ascii="宋体" w:hAnsi="宋体" w:eastAsia="宋体" w:cs="宋体"/>
                <w:b/>
                <w:bCs/>
                <w:color w:val="auto"/>
                <w:sz w:val="22"/>
                <w:szCs w:val="21"/>
                <w:highlight w:val="none"/>
              </w:rPr>
              <w:t>动态心电记录盒硬件</w:t>
            </w:r>
          </w:p>
          <w:p w14:paraId="3B78BCED">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连接10</w:t>
            </w:r>
            <w:r>
              <w:rPr>
                <w:rFonts w:hint="eastAsia" w:ascii="宋体" w:hAnsi="宋体" w:eastAsia="宋体" w:cs="宋体"/>
                <w:color w:val="auto"/>
                <w:sz w:val="24"/>
                <w:szCs w:val="24"/>
                <w:highlight w:val="none"/>
              </w:rPr>
              <w:t>线式导联线可实现标准</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导联心电图同步采集；通过</w:t>
            </w:r>
            <w:r>
              <w:rPr>
                <w:rFonts w:hint="eastAsia" w:ascii="宋体" w:hAnsi="宋体" w:eastAsia="宋体" w:cs="宋体"/>
                <w:color w:val="auto"/>
                <w:sz w:val="24"/>
                <w:szCs w:val="24"/>
                <w:highlight w:val="none"/>
                <w:lang w:val="en-US" w:eastAsia="zh-CN"/>
              </w:rPr>
              <w:t>连接</w:t>
            </w:r>
            <w:r>
              <w:rPr>
                <w:rFonts w:hint="eastAsia" w:ascii="宋体" w:hAnsi="宋体" w:eastAsia="宋体" w:cs="宋体"/>
                <w:color w:val="auto"/>
                <w:sz w:val="24"/>
                <w:szCs w:val="24"/>
                <w:highlight w:val="none"/>
              </w:rPr>
              <w:t>7线式导联线可实现</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导联心电图同步采集</w:t>
            </w:r>
            <w:r>
              <w:rPr>
                <w:rFonts w:hint="eastAsia" w:ascii="宋体" w:hAnsi="宋体" w:eastAsia="宋体" w:cs="宋体"/>
                <w:color w:val="auto"/>
                <w:sz w:val="24"/>
                <w:szCs w:val="24"/>
                <w:highlight w:val="none"/>
                <w:lang w:eastAsia="zh-CN"/>
              </w:rPr>
              <w:t>；</w:t>
            </w:r>
          </w:p>
          <w:p w14:paraId="38ABBA66">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1.2.</w:t>
            </w:r>
            <w:r>
              <w:rPr>
                <w:rFonts w:hint="eastAsia" w:ascii="宋体" w:hAnsi="宋体" w:eastAsia="宋体" w:cs="宋体"/>
                <w:color w:val="auto"/>
                <w:sz w:val="24"/>
                <w:szCs w:val="24"/>
                <w:highlight w:val="none"/>
              </w:rPr>
              <w:t>记录时长：≥24小时</w:t>
            </w:r>
            <w:r>
              <w:rPr>
                <w:rFonts w:hint="eastAsia" w:ascii="宋体" w:hAnsi="宋体" w:eastAsia="宋体" w:cs="宋体"/>
                <w:color w:val="auto"/>
                <w:sz w:val="24"/>
                <w:szCs w:val="24"/>
                <w:highlight w:val="none"/>
                <w:lang w:eastAsia="zh-CN"/>
              </w:rPr>
              <w:t>；</w:t>
            </w:r>
          </w:p>
          <w:p w14:paraId="6C78F74A">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1.3.</w:t>
            </w:r>
            <w:r>
              <w:rPr>
                <w:rFonts w:hint="eastAsia" w:ascii="宋体" w:hAnsi="宋体" w:eastAsia="宋体" w:cs="宋体"/>
                <w:color w:val="auto"/>
                <w:sz w:val="24"/>
                <w:szCs w:val="24"/>
                <w:highlight w:val="none"/>
              </w:rPr>
              <w:t>采样率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000点</w:t>
            </w:r>
            <w:r>
              <w:rPr>
                <w:rFonts w:hint="eastAsia" w:ascii="宋体" w:hAnsi="宋体" w:eastAsia="宋体" w:cs="宋体"/>
                <w:color w:val="auto"/>
                <w:sz w:val="24"/>
                <w:szCs w:val="24"/>
                <w:highlight w:val="none"/>
                <w:lang w:eastAsia="zh-CN"/>
              </w:rPr>
              <w:t>；</w:t>
            </w:r>
          </w:p>
          <w:p w14:paraId="5015CE71">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1.4.</w:t>
            </w:r>
            <w:r>
              <w:rPr>
                <w:rFonts w:hint="eastAsia" w:ascii="宋体" w:hAnsi="宋体" w:eastAsia="宋体" w:cs="宋体"/>
                <w:color w:val="auto"/>
                <w:sz w:val="24"/>
                <w:szCs w:val="24"/>
                <w:highlight w:val="none"/>
              </w:rPr>
              <w:t>幅度频率特性：0.05 Hz～150Hz</w:t>
            </w:r>
            <w:r>
              <w:rPr>
                <w:rFonts w:hint="eastAsia" w:ascii="宋体" w:hAnsi="宋体" w:eastAsia="宋体" w:cs="宋体"/>
                <w:color w:val="auto"/>
                <w:sz w:val="24"/>
                <w:szCs w:val="24"/>
                <w:highlight w:val="none"/>
                <w:lang w:eastAsia="zh-CN"/>
              </w:rPr>
              <w:t>；</w:t>
            </w:r>
          </w:p>
          <w:p w14:paraId="7B23A6DA">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1.5.</w:t>
            </w:r>
            <w:r>
              <w:rPr>
                <w:rFonts w:hint="eastAsia" w:ascii="宋体" w:hAnsi="宋体" w:eastAsia="宋体" w:cs="宋体"/>
                <w:color w:val="auto"/>
                <w:sz w:val="24"/>
                <w:szCs w:val="24"/>
                <w:highlight w:val="none"/>
              </w:rPr>
              <w:t>最小检测信号：≤20μV（10Hz）；</w:t>
            </w:r>
          </w:p>
          <w:p w14:paraId="47A326CA">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1.6.</w:t>
            </w:r>
            <w:r>
              <w:rPr>
                <w:rFonts w:hint="eastAsia" w:ascii="宋体" w:hAnsi="宋体" w:eastAsia="宋体" w:cs="宋体"/>
                <w:color w:val="auto"/>
                <w:sz w:val="24"/>
                <w:szCs w:val="24"/>
                <w:highlight w:val="none"/>
              </w:rPr>
              <w:t>噪声电平：≤30μV</w:t>
            </w:r>
            <w:r>
              <w:rPr>
                <w:rFonts w:hint="eastAsia" w:ascii="宋体" w:hAnsi="宋体" w:eastAsia="宋体" w:cs="宋体"/>
                <w:color w:val="auto"/>
                <w:sz w:val="24"/>
                <w:szCs w:val="24"/>
                <w:highlight w:val="none"/>
                <w:lang w:eastAsia="zh-CN"/>
              </w:rPr>
              <w:t>；</w:t>
            </w:r>
          </w:p>
          <w:p w14:paraId="4641B42F">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1.7.</w:t>
            </w:r>
            <w:r>
              <w:rPr>
                <w:rFonts w:hint="eastAsia" w:ascii="宋体" w:hAnsi="宋体" w:eastAsia="宋体" w:cs="宋体"/>
                <w:color w:val="auto"/>
                <w:sz w:val="24"/>
                <w:szCs w:val="24"/>
                <w:highlight w:val="none"/>
              </w:rPr>
              <w:t>存储介质：</w:t>
            </w:r>
            <w:r>
              <w:rPr>
                <w:rFonts w:hint="eastAsia" w:ascii="宋体" w:hAnsi="宋体" w:eastAsia="宋体" w:cs="宋体"/>
                <w:color w:val="auto"/>
                <w:sz w:val="24"/>
                <w:szCs w:val="24"/>
                <w:highlight w:val="none"/>
                <w:lang w:val="en-US" w:eastAsia="zh-CN"/>
              </w:rPr>
              <w:t>内置</w:t>
            </w:r>
            <w:r>
              <w:rPr>
                <w:rFonts w:hint="eastAsia" w:ascii="宋体" w:hAnsi="宋体" w:eastAsia="宋体" w:cs="宋体"/>
                <w:color w:val="auto"/>
                <w:sz w:val="24"/>
                <w:szCs w:val="24"/>
                <w:highlight w:val="none"/>
              </w:rPr>
              <w:t>芯片存储</w:t>
            </w:r>
            <w:r>
              <w:rPr>
                <w:rFonts w:hint="eastAsia" w:ascii="宋体" w:hAnsi="宋体" w:eastAsia="宋体" w:cs="宋体"/>
                <w:color w:val="auto"/>
                <w:sz w:val="24"/>
                <w:szCs w:val="24"/>
                <w:highlight w:val="none"/>
                <w:lang w:eastAsia="zh-CN"/>
              </w:rPr>
              <w:t>；</w:t>
            </w:r>
          </w:p>
          <w:p w14:paraId="2DC423F6">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1.8.</w:t>
            </w:r>
            <w:r>
              <w:rPr>
                <w:rFonts w:hint="eastAsia" w:ascii="宋体" w:hAnsi="宋体" w:eastAsia="宋体" w:cs="宋体"/>
                <w:color w:val="auto"/>
                <w:sz w:val="24"/>
                <w:szCs w:val="24"/>
                <w:highlight w:val="none"/>
                <w:lang w:val="en-US" w:eastAsia="zh-CN"/>
              </w:rPr>
              <w:t>在描记正弦波信号时，起搏脉冲出现前后，其电压幅度变化量应≤±5%</w:t>
            </w:r>
            <w:r>
              <w:rPr>
                <w:rFonts w:hint="eastAsia" w:ascii="宋体" w:hAnsi="宋体" w:eastAsia="宋体" w:cs="宋体"/>
                <w:color w:val="auto"/>
                <w:sz w:val="24"/>
                <w:szCs w:val="24"/>
                <w:highlight w:val="none"/>
                <w:lang w:eastAsia="zh-CN"/>
              </w:rPr>
              <w:t>；</w:t>
            </w:r>
          </w:p>
          <w:p w14:paraId="25F0E61E">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1.9.</w:t>
            </w:r>
            <w:r>
              <w:rPr>
                <w:rFonts w:hint="eastAsia" w:ascii="宋体" w:hAnsi="宋体" w:eastAsia="宋体" w:cs="宋体"/>
                <w:color w:val="auto"/>
                <w:sz w:val="24"/>
                <w:szCs w:val="24"/>
                <w:highlight w:val="none"/>
              </w:rPr>
              <w:t>显示屏：≥1.7英寸彩色OLED显示屏</w:t>
            </w:r>
            <w:r>
              <w:rPr>
                <w:rFonts w:hint="eastAsia" w:ascii="宋体" w:hAnsi="宋体" w:eastAsia="宋体" w:cs="宋体"/>
                <w:color w:val="auto"/>
                <w:sz w:val="24"/>
                <w:szCs w:val="24"/>
                <w:highlight w:val="none"/>
                <w:lang w:eastAsia="zh-CN"/>
              </w:rPr>
              <w:t>；</w:t>
            </w:r>
          </w:p>
          <w:p w14:paraId="4EE3AA7D">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1.10.</w:t>
            </w:r>
            <w:r>
              <w:rPr>
                <w:rFonts w:hint="eastAsia" w:ascii="宋体" w:hAnsi="宋体" w:eastAsia="宋体" w:cs="宋体"/>
                <w:color w:val="auto"/>
                <w:sz w:val="24"/>
                <w:szCs w:val="24"/>
                <w:highlight w:val="none"/>
              </w:rPr>
              <w:t>具备波形查看、切换、冻结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添加用户事件等功能。</w:t>
            </w:r>
          </w:p>
          <w:p w14:paraId="363D58BD">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1.11.</w:t>
            </w:r>
            <w:r>
              <w:rPr>
                <w:rFonts w:hint="eastAsia" w:ascii="宋体" w:hAnsi="宋体" w:eastAsia="宋体" w:cs="宋体"/>
                <w:color w:val="auto"/>
                <w:sz w:val="24"/>
                <w:szCs w:val="24"/>
                <w:highlight w:val="none"/>
              </w:rPr>
              <w:t>心电波形显示：同屏可显示3导联心电波形，具有标准心电网格背景；可通过手动或自动切换显示导联；支持波形冻结功能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D4F8246">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1.12.</w:t>
            </w:r>
            <w:r>
              <w:rPr>
                <w:rFonts w:hint="eastAsia" w:ascii="宋体" w:hAnsi="宋体" w:eastAsia="宋体" w:cs="宋体"/>
                <w:color w:val="auto"/>
                <w:sz w:val="24"/>
                <w:szCs w:val="24"/>
                <w:highlight w:val="none"/>
              </w:rPr>
              <w:t>供电电源：七号碱性电池</w:t>
            </w:r>
            <w:r>
              <w:rPr>
                <w:rFonts w:hint="eastAsia" w:ascii="宋体" w:hAnsi="宋体" w:eastAsia="宋体" w:cs="宋体"/>
                <w:color w:val="auto"/>
                <w:sz w:val="24"/>
                <w:szCs w:val="24"/>
                <w:highlight w:val="none"/>
                <w:lang w:eastAsia="zh-CN"/>
              </w:rPr>
              <w:t>；</w:t>
            </w:r>
          </w:p>
          <w:p w14:paraId="5020EBB4">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1.13.</w:t>
            </w:r>
            <w:r>
              <w:rPr>
                <w:rFonts w:hint="eastAsia" w:ascii="宋体" w:hAnsi="宋体" w:eastAsia="宋体" w:cs="宋体"/>
                <w:color w:val="auto"/>
                <w:sz w:val="24"/>
                <w:szCs w:val="24"/>
                <w:highlight w:val="none"/>
              </w:rPr>
              <w:t>导联线插头具有防反插功能，可通过自带螺丝锁加固连接；导联线接口仅用于连接导联线，不能连接USB数据线，避免反复插拔</w:t>
            </w:r>
            <w:r>
              <w:rPr>
                <w:rFonts w:hint="eastAsia" w:ascii="宋体" w:hAnsi="宋体" w:eastAsia="宋体" w:cs="宋体"/>
                <w:color w:val="auto"/>
                <w:sz w:val="24"/>
                <w:szCs w:val="24"/>
                <w:highlight w:val="none"/>
                <w:lang w:eastAsia="zh-CN"/>
              </w:rPr>
              <w:t>；</w:t>
            </w:r>
          </w:p>
          <w:p w14:paraId="6FE66343">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1.14.</w:t>
            </w:r>
            <w:r>
              <w:rPr>
                <w:rFonts w:hint="eastAsia" w:ascii="宋体" w:hAnsi="宋体" w:eastAsia="宋体" w:cs="宋体"/>
                <w:color w:val="auto"/>
                <w:sz w:val="24"/>
                <w:szCs w:val="24"/>
                <w:highlight w:val="none"/>
              </w:rPr>
              <w:t xml:space="preserve">灵敏度误差：具有2.5mm/mV、5mm/mV、10mm/mV、20mm/mV、40mm/mV五档，且各档误差不超过±5% </w:t>
            </w:r>
            <w:r>
              <w:rPr>
                <w:rFonts w:hint="eastAsia" w:ascii="宋体" w:hAnsi="宋体" w:eastAsia="宋体" w:cs="宋体"/>
                <w:color w:val="auto"/>
                <w:sz w:val="24"/>
                <w:szCs w:val="24"/>
                <w:highlight w:val="none"/>
                <w:lang w:eastAsia="zh-CN"/>
              </w:rPr>
              <w:t>；</w:t>
            </w:r>
          </w:p>
          <w:p w14:paraId="3F4ADACA">
            <w:pPr>
              <w:keepNext w:val="0"/>
              <w:keepLines w:val="0"/>
              <w:pageBreakBefore w:val="0"/>
              <w:widowControl w:val="0"/>
              <w:numPr>
                <w:ilvl w:val="1"/>
                <w:numId w:val="0"/>
              </w:numPr>
              <w:kinsoku/>
              <w:wordWrap/>
              <w:overflowPunct/>
              <w:topLinePunct w:val="0"/>
              <w:autoSpaceDE/>
              <w:autoSpaceDN/>
              <w:bidi w:val="0"/>
              <w:adjustRightInd/>
              <w:snapToGrid/>
              <w:spacing w:line="312" w:lineRule="auto"/>
              <w:ind w:left="567" w:leftChars="0" w:hanging="567" w:firstLineChars="0"/>
              <w:textAlignment w:val="auto"/>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1.15.</w:t>
            </w:r>
            <w:r>
              <w:rPr>
                <w:rFonts w:hint="eastAsia" w:ascii="宋体" w:hAnsi="宋体" w:eastAsia="宋体" w:cs="宋体"/>
                <w:color w:val="auto"/>
                <w:sz w:val="24"/>
                <w:szCs w:val="24"/>
                <w:highlight w:val="none"/>
              </w:rPr>
              <w:t>产品使用期限≥10年</w:t>
            </w:r>
            <w:r>
              <w:rPr>
                <w:rFonts w:hint="eastAsia" w:ascii="宋体" w:hAnsi="宋体" w:eastAsia="宋体" w:cs="宋体"/>
                <w:color w:val="auto"/>
                <w:sz w:val="24"/>
                <w:szCs w:val="24"/>
                <w:highlight w:val="none"/>
                <w:lang w:eastAsia="zh-CN"/>
              </w:rPr>
              <w:t>；</w:t>
            </w:r>
          </w:p>
          <w:p w14:paraId="4EF757AC">
            <w:pPr>
              <w:spacing w:line="360" w:lineRule="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3.2、分析软件参数：</w:t>
            </w:r>
          </w:p>
          <w:p w14:paraId="5752F09C">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lang w:val="en-US" w:eastAsia="zh-CN"/>
              </w:rPr>
              <w:t>三合一分析系统，动态心电，动态血压，静息心电数据分析及报告出具集成在同一个分析系统中，一套软件完成三个检查项目的诊断报告。</w:t>
            </w:r>
          </w:p>
          <w:p w14:paraId="2E9A71D5">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rPr>
              <w:t>全导联同步全息后台分析，无需选择导联，无需设置分析参数，</w:t>
            </w:r>
            <w:r>
              <w:rPr>
                <w:rFonts w:hint="eastAsia" w:ascii="宋体" w:hAnsi="宋体" w:eastAsia="宋体" w:cs="宋体"/>
                <w:color w:val="auto"/>
                <w:sz w:val="24"/>
                <w:szCs w:val="24"/>
                <w:highlight w:val="none"/>
                <w:lang w:eastAsia="zh-CN"/>
              </w:rPr>
              <w:t>无需</w:t>
            </w:r>
            <w:r>
              <w:rPr>
                <w:rFonts w:hint="eastAsia" w:ascii="宋体" w:hAnsi="宋体" w:eastAsia="宋体" w:cs="宋体"/>
                <w:color w:val="auto"/>
                <w:sz w:val="24"/>
                <w:szCs w:val="24"/>
                <w:highlight w:val="none"/>
              </w:rPr>
              <w:t>等待，自动分析完成后以简单的文字报告结论形式提示当前心电数据分析情况；</w:t>
            </w:r>
          </w:p>
          <w:p w14:paraId="02893ACF">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rPr>
              <w:t>无模板分析、图表分析、诊断图分析等繁琐的工具菜单，分析软件提供多种人性化操作菜单，按照医生浏览、编辑、</w:t>
            </w:r>
            <w:r>
              <w:rPr>
                <w:rFonts w:hint="eastAsia" w:ascii="宋体" w:hAnsi="宋体" w:eastAsia="宋体" w:cs="宋体"/>
                <w:color w:val="auto"/>
                <w:sz w:val="24"/>
                <w:szCs w:val="24"/>
                <w:highlight w:val="none"/>
                <w:lang w:val="en-US" w:eastAsia="zh-CN"/>
              </w:rPr>
              <w:t>ST-T、报告</w:t>
            </w:r>
            <w:r>
              <w:rPr>
                <w:rFonts w:hint="eastAsia" w:ascii="宋体" w:hAnsi="宋体" w:eastAsia="宋体" w:cs="宋体"/>
                <w:color w:val="auto"/>
                <w:sz w:val="24"/>
                <w:szCs w:val="24"/>
                <w:highlight w:val="none"/>
              </w:rPr>
              <w:t>的操作</w:t>
            </w:r>
            <w:r>
              <w:rPr>
                <w:rFonts w:hint="eastAsia" w:ascii="宋体" w:hAnsi="宋体" w:eastAsia="宋体" w:cs="宋体"/>
                <w:color w:val="auto"/>
                <w:sz w:val="24"/>
                <w:szCs w:val="24"/>
                <w:highlight w:val="none"/>
                <w:lang w:val="en-US" w:eastAsia="zh-CN"/>
              </w:rPr>
              <w:t>流程</w:t>
            </w:r>
            <w:r>
              <w:rPr>
                <w:rFonts w:hint="eastAsia" w:ascii="宋体" w:hAnsi="宋体" w:eastAsia="宋体" w:cs="宋体"/>
                <w:color w:val="auto"/>
                <w:sz w:val="24"/>
                <w:szCs w:val="24"/>
                <w:highlight w:val="none"/>
              </w:rPr>
              <w:t>设置工具菜单；</w:t>
            </w:r>
          </w:p>
          <w:p w14:paraId="21C6F7BB">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eastAsia="zh-CN"/>
              </w:rPr>
            </w:pPr>
            <w:r>
              <w:rPr>
                <w:rFonts w:hint="default"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szCs w:val="24"/>
                <w:highlight w:val="none"/>
              </w:rPr>
              <w:t>分析软件以模板为中心构建多种直方图、散点图、叠加图，多画面同时互动；</w:t>
            </w:r>
          </w:p>
          <w:p w14:paraId="2779217F">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5.</w:t>
            </w:r>
            <w:r>
              <w:rPr>
                <w:rFonts w:hint="eastAsia" w:ascii="宋体" w:hAnsi="宋体" w:eastAsia="宋体" w:cs="宋体"/>
                <w:color w:val="auto"/>
                <w:sz w:val="24"/>
                <w:szCs w:val="24"/>
                <w:highlight w:val="none"/>
              </w:rPr>
              <w:t>分析软件具有两个导联同时叠加及P波叠加放大倍数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不小于16倍放大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叠加功能</w:t>
            </w:r>
            <w:r>
              <w:rPr>
                <w:rFonts w:hint="eastAsia" w:ascii="宋体" w:hAnsi="宋体" w:eastAsia="宋体" w:cs="宋体"/>
                <w:color w:val="auto"/>
                <w:sz w:val="24"/>
                <w:szCs w:val="24"/>
                <w:highlight w:val="none"/>
                <w:lang w:eastAsia="zh-CN"/>
              </w:rPr>
              <w:t>。</w:t>
            </w:r>
          </w:p>
          <w:p w14:paraId="6EC8A26C">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6.</w:t>
            </w:r>
            <w:r>
              <w:rPr>
                <w:rFonts w:hint="eastAsia" w:ascii="宋体" w:hAnsi="宋体" w:eastAsia="宋体" w:cs="宋体"/>
                <w:color w:val="auto"/>
                <w:sz w:val="24"/>
                <w:szCs w:val="24"/>
                <w:highlight w:val="none"/>
              </w:rPr>
              <w:t>分析软件具有</w:t>
            </w:r>
            <w:r>
              <w:rPr>
                <w:rFonts w:hint="eastAsia" w:ascii="宋体" w:hAnsi="宋体" w:eastAsia="宋体" w:cs="宋体"/>
                <w:color w:val="auto"/>
                <w:sz w:val="24"/>
                <w:szCs w:val="24"/>
                <w:highlight w:val="none"/>
                <w:lang w:val="en-US" w:eastAsia="zh-CN"/>
              </w:rPr>
              <w:t>QT间期分析、心电向量分析、心率震荡分析、T波电交替分析、心室晚电位分析、心率减速分析、睡眠窒息分析等高级分析工具。</w:t>
            </w:r>
          </w:p>
          <w:p w14:paraId="054C8F61">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7.</w:t>
            </w:r>
            <w:r>
              <w:rPr>
                <w:rFonts w:hint="eastAsia" w:ascii="宋体" w:hAnsi="宋体" w:eastAsia="宋体" w:cs="宋体"/>
                <w:color w:val="auto"/>
                <w:sz w:val="24"/>
                <w:szCs w:val="24"/>
                <w:highlight w:val="none"/>
              </w:rPr>
              <w:t>分析软件具有一键自动起搏器分类分析、房颤、房扑分析、HR时域、频域分析等功能；</w:t>
            </w:r>
          </w:p>
          <w:p w14:paraId="0C75B4D5">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szCs w:val="24"/>
                <w:highlight w:val="none"/>
              </w:rPr>
              <w:t>分析软件具有ST-T段、T波分析及事件统计功能，ST段分析可根据心率自适应分析调整；</w:t>
            </w:r>
          </w:p>
          <w:p w14:paraId="52511E8B">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9.</w:t>
            </w:r>
            <w:r>
              <w:rPr>
                <w:rFonts w:hint="eastAsia" w:ascii="宋体" w:hAnsi="宋体" w:eastAsia="宋体" w:cs="宋体"/>
                <w:color w:val="auto"/>
                <w:sz w:val="24"/>
                <w:szCs w:val="24"/>
                <w:highlight w:val="none"/>
                <w:lang w:val="en-US" w:eastAsia="zh-CN"/>
              </w:rPr>
              <w:t>分析软件具有调整报告首页模版的功能。</w:t>
            </w:r>
          </w:p>
          <w:p w14:paraId="356B0843">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highlight w:val="none"/>
                <w:lang w:val="en-US" w:eastAsia="zh-CN" w:bidi="ar-SA"/>
              </w:rPr>
              <w:t>10.</w:t>
            </w:r>
            <w:r>
              <w:rPr>
                <w:rFonts w:hint="eastAsia" w:ascii="宋体" w:hAnsi="宋体" w:eastAsia="宋体" w:cs="宋体"/>
                <w:color w:val="auto"/>
                <w:sz w:val="24"/>
                <w:szCs w:val="24"/>
                <w:highlight w:val="none"/>
                <w:lang w:val="en-US" w:eastAsia="zh-CN"/>
              </w:rPr>
              <w:t>软件具有“智能结论”功能，软件可以根据分析编辑的结果自动生成报告。</w:t>
            </w:r>
          </w:p>
          <w:p w14:paraId="7C81431C">
            <w:pPr>
              <w:numPr>
                <w:ilvl w:val="0"/>
                <w:numId w:val="0"/>
              </w:numPr>
              <w:spacing w:line="360" w:lineRule="auto"/>
              <w:ind w:left="425" w:leftChars="0" w:hanging="425" w:firstLineChars="0"/>
              <w:outlineLvl w:val="9"/>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val="en-US" w:eastAsia="zh-CN" w:bidi="ar-SA"/>
              </w:rPr>
              <w:t>11.</w:t>
            </w:r>
            <w:r>
              <w:rPr>
                <w:rFonts w:hint="eastAsia" w:ascii="宋体" w:hAnsi="宋体" w:eastAsia="宋体" w:cs="宋体"/>
                <w:color w:val="auto"/>
                <w:sz w:val="24"/>
                <w:szCs w:val="24"/>
                <w:highlight w:val="none"/>
                <w:lang w:val="en-US" w:eastAsia="zh-CN"/>
              </w:rPr>
              <w:t>支持CA电子证书签名及图片式签名。</w:t>
            </w:r>
          </w:p>
          <w:p w14:paraId="00E10BD7">
            <w:pPr>
              <w:jc w:val="center"/>
              <w:rPr>
                <w:rFonts w:asciiTheme="minorEastAsia" w:hAnsiTheme="minorEastAsia" w:eastAsiaTheme="minorEastAsia"/>
                <w:color w:val="auto"/>
                <w:sz w:val="24"/>
                <w:highlight w:val="none"/>
              </w:rPr>
            </w:pPr>
          </w:p>
        </w:tc>
        <w:tc>
          <w:tcPr>
            <w:tcW w:w="709" w:type="pct"/>
            <w:vAlign w:val="center"/>
          </w:tcPr>
          <w:p w14:paraId="79158BE1">
            <w:pPr>
              <w:pStyle w:val="39"/>
              <w:jc w:val="center"/>
              <w:rPr>
                <w:rFonts w:asciiTheme="minorEastAsia" w:hAnsiTheme="minorEastAsia" w:eastAsiaTheme="minorEastAsia"/>
                <w:color w:val="auto"/>
                <w:highlight w:val="none"/>
              </w:rPr>
            </w:pPr>
          </w:p>
        </w:tc>
        <w:tc>
          <w:tcPr>
            <w:tcW w:w="327"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9" w:hRule="atLeast"/>
          <w:jc w:val="center"/>
        </w:trPr>
        <w:tc>
          <w:tcPr>
            <w:tcW w:w="374"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523" w:type="pct"/>
            <w:vAlign w:val="center"/>
          </w:tcPr>
          <w:p w14:paraId="0ECA98CD">
            <w:pPr>
              <w:jc w:val="center"/>
              <w:rPr>
                <w:rFonts w:hint="default" w:asciiTheme="minorEastAsia" w:hAnsiTheme="minorEastAsia" w:eastAsiaTheme="minorEastAsia"/>
                <w:color w:val="auto"/>
                <w:sz w:val="24"/>
                <w:highlight w:val="none"/>
                <w:lang w:val="en-US"/>
              </w:rPr>
            </w:pPr>
            <w:r>
              <w:rPr>
                <w:rFonts w:hint="eastAsia" w:ascii="宋体" w:hAnsi="宋体" w:eastAsia="宋体" w:cs="宋体"/>
                <w:color w:val="auto"/>
                <w:sz w:val="24"/>
                <w:szCs w:val="24"/>
                <w:highlight w:val="none"/>
                <w:lang w:val="en-US" w:eastAsia="zh-CN"/>
              </w:rPr>
              <w:t>四、检测报告要求</w:t>
            </w:r>
          </w:p>
        </w:tc>
        <w:tc>
          <w:tcPr>
            <w:tcW w:w="3064" w:type="pct"/>
            <w:vAlign w:val="center"/>
          </w:tcPr>
          <w:p w14:paraId="78B7410A">
            <w:pPr>
              <w:tabs>
                <w:tab w:val="left" w:pos="851"/>
              </w:tabs>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四、设备验收完成后，需出具设备强制检定报告。</w:t>
            </w:r>
          </w:p>
          <w:p w14:paraId="42C0223D">
            <w:pPr>
              <w:spacing w:line="360" w:lineRule="auto"/>
              <w:ind w:firstLine="437"/>
              <w:outlineLvl w:val="9"/>
              <w:rPr>
                <w:rFonts w:asciiTheme="minorEastAsia" w:hAnsiTheme="minorEastAsia" w:eastAsiaTheme="minorEastAsia"/>
                <w:color w:val="auto"/>
                <w:sz w:val="24"/>
                <w:highlight w:val="none"/>
              </w:rPr>
            </w:pPr>
            <w:r>
              <w:rPr>
                <w:rFonts w:hint="eastAsia" w:ascii="宋体" w:hAnsi="宋体" w:eastAsia="宋体" w:cs="宋体"/>
                <w:b w:val="0"/>
                <w:bCs w:val="0"/>
                <w:color w:val="auto"/>
                <w:sz w:val="24"/>
                <w:highlight w:val="none"/>
                <w:lang w:val="en-US" w:eastAsia="zh-CN"/>
              </w:rPr>
              <w:t>备注：“★”为废标项</w:t>
            </w:r>
          </w:p>
        </w:tc>
        <w:tc>
          <w:tcPr>
            <w:tcW w:w="709" w:type="pct"/>
            <w:vAlign w:val="center"/>
          </w:tcPr>
          <w:p w14:paraId="5A9E69F4">
            <w:pPr>
              <w:pStyle w:val="39"/>
              <w:jc w:val="center"/>
              <w:rPr>
                <w:rFonts w:asciiTheme="minorEastAsia" w:hAnsiTheme="minorEastAsia" w:eastAsiaTheme="minorEastAsia"/>
                <w:color w:val="auto"/>
                <w:highlight w:val="none"/>
              </w:rPr>
            </w:pPr>
          </w:p>
        </w:tc>
        <w:tc>
          <w:tcPr>
            <w:tcW w:w="327"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4" w:hRule="atLeast"/>
          <w:jc w:val="center"/>
        </w:trPr>
        <w:tc>
          <w:tcPr>
            <w:tcW w:w="374"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523" w:type="pct"/>
            <w:vAlign w:val="center"/>
          </w:tcPr>
          <w:p w14:paraId="1AEF0F50">
            <w:pPr>
              <w:jc w:val="center"/>
              <w:rPr>
                <w:rFonts w:asciiTheme="minorEastAsia" w:hAnsiTheme="minorEastAsia" w:eastAsiaTheme="minorEastAsia"/>
                <w:color w:val="auto"/>
                <w:sz w:val="24"/>
                <w:highlight w:val="none"/>
              </w:rPr>
            </w:pPr>
          </w:p>
        </w:tc>
        <w:tc>
          <w:tcPr>
            <w:tcW w:w="3064" w:type="pct"/>
            <w:vAlign w:val="center"/>
          </w:tcPr>
          <w:p w14:paraId="6E85071B">
            <w:pPr>
              <w:jc w:val="center"/>
              <w:rPr>
                <w:rFonts w:asciiTheme="minorEastAsia" w:hAnsiTheme="minorEastAsia" w:eastAsiaTheme="minorEastAsia"/>
                <w:color w:val="auto"/>
                <w:sz w:val="24"/>
                <w:highlight w:val="none"/>
              </w:rPr>
            </w:pPr>
          </w:p>
        </w:tc>
        <w:tc>
          <w:tcPr>
            <w:tcW w:w="709" w:type="pct"/>
            <w:vAlign w:val="center"/>
          </w:tcPr>
          <w:p w14:paraId="2F6648C5">
            <w:pPr>
              <w:jc w:val="center"/>
              <w:rPr>
                <w:rFonts w:asciiTheme="minorEastAsia" w:hAnsiTheme="minorEastAsia" w:eastAsiaTheme="minorEastAsia"/>
                <w:color w:val="auto"/>
                <w:sz w:val="24"/>
                <w:highlight w:val="none"/>
              </w:rPr>
            </w:pPr>
          </w:p>
        </w:tc>
        <w:tc>
          <w:tcPr>
            <w:tcW w:w="327" w:type="pct"/>
            <w:vAlign w:val="center"/>
          </w:tcPr>
          <w:p w14:paraId="22E3CC90">
            <w:pPr>
              <w:jc w:val="center"/>
              <w:rPr>
                <w:rFonts w:asciiTheme="minorEastAsia" w:hAnsiTheme="minorEastAsia" w:eastAsiaTheme="minorEastAsia"/>
                <w:color w:val="auto"/>
                <w:sz w:val="24"/>
                <w:highlight w:val="none"/>
              </w:rPr>
            </w:pPr>
          </w:p>
        </w:tc>
      </w:tr>
    </w:tbl>
    <w:p w14:paraId="12FF6AFD">
      <w:pPr>
        <w:spacing w:line="360" w:lineRule="auto"/>
        <w:ind w:firstLine="4800" w:firstLineChars="2000"/>
        <w:rPr>
          <w:rFonts w:hint="eastAsia" w:ascii="宋体" w:hAnsi="宋体" w:eastAsia="宋体"/>
          <w:color w:val="auto"/>
          <w:sz w:val="24"/>
          <w:highlight w:val="none"/>
        </w:rPr>
      </w:pPr>
    </w:p>
    <w:p w14:paraId="78D61054">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5059E7FF">
      <w:pPr>
        <w:spacing w:line="360" w:lineRule="auto"/>
        <w:ind w:firstLine="4800" w:firstLineChars="2000"/>
        <w:rPr>
          <w:rFonts w:hint="eastAsia" w:ascii="宋体" w:hAnsi="宋体" w:eastAsia="宋体"/>
          <w:color w:val="auto"/>
          <w:sz w:val="24"/>
          <w:highlight w:val="none"/>
        </w:rPr>
      </w:pPr>
    </w:p>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6E1E6CC2">
      <w:pPr>
        <w:spacing w:line="360" w:lineRule="auto"/>
        <w:jc w:val="center"/>
        <w:outlineLvl w:val="1"/>
        <w:rPr>
          <w:rFonts w:hint="default" w:asciiTheme="minorEastAsia" w:hAnsiTheme="minorEastAsia" w:eastAsiaTheme="minorEastAsia"/>
          <w:b/>
          <w:color w:val="auto"/>
          <w:sz w:val="24"/>
          <w:highlight w:val="none"/>
          <w:lang w:val="en-US"/>
        </w:rPr>
      </w:pPr>
      <w:bookmarkStart w:id="70" w:name="_Toc25337"/>
      <w:bookmarkStart w:id="71" w:name="_Toc520299348"/>
      <w:bookmarkStart w:id="72" w:name="_Toc457768004"/>
      <w:bookmarkStart w:id="73" w:name="_Toc300210382"/>
      <w:bookmarkStart w:id="74" w:name="_Toc25813"/>
      <w:bookmarkStart w:id="75" w:name="_Toc26536"/>
      <w:bookmarkStart w:id="76" w:name="_Hlk11701496"/>
      <w:r>
        <w:rPr>
          <w:rFonts w:hint="eastAsia" w:asciiTheme="minorEastAsia" w:hAnsiTheme="minorEastAsia" w:eastAsiaTheme="minorEastAsia"/>
          <w:b/>
          <w:color w:val="auto"/>
          <w:sz w:val="24"/>
          <w:highlight w:val="none"/>
          <w:lang w:val="en-US" w:eastAsia="zh-CN"/>
        </w:rPr>
        <w:t>七、供应商资格声明书</w:t>
      </w:r>
      <w:bookmarkEnd w:id="70"/>
      <w:r>
        <w:rPr>
          <w:rFonts w:hint="eastAsia" w:asciiTheme="minorEastAsia" w:hAnsiTheme="minorEastAsia" w:eastAsiaTheme="minorEastAsia"/>
          <w:b/>
          <w:color w:val="auto"/>
          <w:sz w:val="24"/>
          <w:highlight w:val="none"/>
          <w:lang w:val="en-US" w:eastAsia="zh-CN"/>
        </w:rPr>
        <w:t xml:space="preserve"> （承诺函)</w:t>
      </w:r>
    </w:p>
    <w:p w14:paraId="20B4AF61">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050E3AB7">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我公司郑重承诺：我公司完全响应《中华人民共和国政府采购法》第二十二条以及下列内容：</w:t>
      </w:r>
    </w:p>
    <w:p w14:paraId="46F8570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1.1具有独立承担民事责任的能力；</w:t>
      </w:r>
    </w:p>
    <w:p w14:paraId="3C03629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1.2具有良好的商业信誉和健全的财务会计制度；</w:t>
      </w:r>
    </w:p>
    <w:p w14:paraId="3ED3FE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1.3具有履行合同所必需的设备和专业技术能力；</w:t>
      </w:r>
    </w:p>
    <w:p w14:paraId="4ACF8F7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1.4有依法缴纳税收和社会保障资金的良好记录；</w:t>
      </w:r>
    </w:p>
    <w:p w14:paraId="1578D2B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1.5参加本采购活动前三年内，在经营活动中没有重大违法记录；</w:t>
      </w:r>
    </w:p>
    <w:p w14:paraId="4AF34B64">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1.6法律、行政法规规定的其他条件。</w:t>
      </w:r>
    </w:p>
    <w:p w14:paraId="756181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被人民法院列入失信被执行人；</w:t>
      </w:r>
    </w:p>
    <w:p w14:paraId="395973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供应商或其法定代表人或拟派项目经理（项目负责人）</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被列入行贿犯罪档案；</w:t>
      </w:r>
    </w:p>
    <w:p w14:paraId="57E5CF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被市场监督管理局列入企业经营异常名录；</w:t>
      </w:r>
    </w:p>
    <w:p w14:paraId="5766DE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2.4</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被税务部门列入重大税收违法案件当事人名单；</w:t>
      </w:r>
    </w:p>
    <w:p w14:paraId="3C93A87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被政府采购监管部门列入政府采购严重违法失信行为记录名单。</w:t>
      </w:r>
    </w:p>
    <w:p w14:paraId="185EEAF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w:t>
      </w:r>
      <w:r>
        <w:rPr>
          <w:rFonts w:hint="eastAsia" w:asciiTheme="minorEastAsia" w:hAnsiTheme="minorEastAsia" w:eastAsiaTheme="minorEastAsia"/>
          <w:color w:val="auto"/>
          <w:sz w:val="24"/>
          <w:highlight w:val="none"/>
          <w:lang w:val="en-US" w:eastAsia="zh-CN"/>
        </w:rPr>
        <w:t>为非</w:t>
      </w:r>
      <w:r>
        <w:rPr>
          <w:rFonts w:hint="eastAsia" w:asciiTheme="minorEastAsia" w:hAnsiTheme="minorEastAsia" w:eastAsiaTheme="minorEastAsia"/>
          <w:color w:val="auto"/>
          <w:sz w:val="24"/>
          <w:highlight w:val="none"/>
        </w:rPr>
        <w:t>联合体投标。</w:t>
      </w:r>
    </w:p>
    <w:p w14:paraId="612D06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我公司</w:t>
      </w:r>
      <w:r>
        <w:rPr>
          <w:rFonts w:hint="eastAsia" w:asciiTheme="minorEastAsia" w:hAnsiTheme="minorEastAsia" w:eastAsiaTheme="minorEastAsia"/>
          <w:color w:val="auto"/>
          <w:sz w:val="24"/>
          <w:highlight w:val="none"/>
        </w:rPr>
        <w:t>确保自己在投标文件中提交的信息及技术真实、准确。否则，投标人因此蒙受损失，采购人概不负责。</w:t>
      </w:r>
    </w:p>
    <w:p w14:paraId="52F2DC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5.本项目不得转包或分包。</w:t>
      </w:r>
    </w:p>
    <w:p w14:paraId="63CEC4C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6.所投设备为自合同签订之日起（进口产品前后六个月，国内产品前后三个月）生产的最新产品。</w:t>
      </w:r>
    </w:p>
    <w:p w14:paraId="56BF281E">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7.所投产品不含专机专用耗材，如有专机专用耗材终身免费提供使用</w:t>
      </w:r>
      <w:r>
        <w:rPr>
          <w:rFonts w:hint="eastAsia" w:asciiTheme="minorEastAsia" w:hAnsiTheme="minorEastAsia" w:eastAsiaTheme="minorEastAsia"/>
          <w:color w:val="auto"/>
          <w:sz w:val="24"/>
          <w:highlight w:val="none"/>
          <w:lang w:eastAsia="zh-CN"/>
        </w:rPr>
        <w:t>。</w:t>
      </w:r>
    </w:p>
    <w:p w14:paraId="2174D400">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8.我公司完全响应招标文件第三章 采购需求&lt;三&gt;报价要求和&lt;四&gt;其他要求中的所有条款。</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1CE2196">
      <w:pPr>
        <w:spacing w:line="360" w:lineRule="auto"/>
        <w:ind w:firstLine="480" w:firstLineChars="200"/>
        <w:jc w:val="both"/>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特此承诺！</w:t>
      </w: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w:t>
      </w:r>
      <w:bookmarkEnd w:id="71"/>
      <w:bookmarkEnd w:id="72"/>
      <w:bookmarkEnd w:id="73"/>
      <w:r>
        <w:rPr>
          <w:rFonts w:hint="eastAsia" w:asciiTheme="minorEastAsia" w:hAnsiTheme="minorEastAsia" w:eastAsiaTheme="minorEastAsia"/>
          <w:b/>
          <w:color w:val="auto"/>
          <w:sz w:val="24"/>
          <w:highlight w:val="none"/>
          <w:lang w:val="en-US" w:eastAsia="zh-CN"/>
        </w:rPr>
        <w:t>诚信履约承诺函</w:t>
      </w:r>
      <w:bookmarkEnd w:id="74"/>
      <w:bookmarkEnd w:id="75"/>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7" w:name="_Toc32633"/>
      <w:bookmarkStart w:id="78" w:name="_Toc2683"/>
      <w:r>
        <w:rPr>
          <w:rFonts w:hint="eastAsia" w:asciiTheme="minorEastAsia" w:hAnsiTheme="minorEastAsia" w:eastAsiaTheme="minorEastAsia"/>
          <w:b/>
          <w:color w:val="auto"/>
          <w:sz w:val="24"/>
          <w:highlight w:val="none"/>
          <w:lang w:val="en-US" w:eastAsia="zh-CN"/>
        </w:rPr>
        <w:t>九、其他相关证明材料</w:t>
      </w:r>
      <w:bookmarkEnd w:id="77"/>
      <w:bookmarkEnd w:id="78"/>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asciiTheme="minorEastAsia" w:hAnsiTheme="minorEastAsia" w:eastAsiaTheme="minorEastAsia"/>
          <w:color w:val="auto"/>
          <w:sz w:val="24"/>
          <w:highlight w:val="none"/>
        </w:rPr>
        <w:t>等，应将上述证明材料制作成扫描件上传。</w:t>
      </w:r>
    </w:p>
    <w:p w14:paraId="00F7B032">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ascii="宋体" w:hAnsi="宋体" w:eastAsia="宋体"/>
          <w:bCs/>
          <w:color w:val="auto"/>
          <w:sz w:val="24"/>
          <w:highlight w:val="none"/>
        </w:rPr>
        <w:br w:type="page"/>
      </w:r>
      <w:r>
        <w:rPr>
          <w:rFonts w:hint="eastAsia" w:asciiTheme="minorEastAsia" w:hAnsiTheme="minorEastAsia" w:eastAsiaTheme="minorEastAsia"/>
          <w:b/>
          <w:color w:val="auto"/>
          <w:sz w:val="24"/>
          <w:highlight w:val="none"/>
          <w:lang w:val="en-US" w:eastAsia="zh-CN"/>
        </w:rPr>
        <w:t>承诺函</w:t>
      </w:r>
    </w:p>
    <w:p w14:paraId="229294E6">
      <w:pPr>
        <w:spacing w:line="360" w:lineRule="auto"/>
        <w:rPr>
          <w:rFonts w:asciiTheme="minorEastAsia" w:hAnsiTheme="minorEastAsia" w:eastAsiaTheme="minorEastAsia"/>
          <w:b/>
          <w:bCs/>
          <w:color w:val="auto"/>
          <w:sz w:val="24"/>
          <w:highlight w:val="none"/>
        </w:rPr>
      </w:pPr>
    </w:p>
    <w:p w14:paraId="27B03D28">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45CFBFF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如我单位被确定为本项目中标人，我单位承诺在合同签订及履约过程中将严格执行本项目采购文件中关于合同签订及履约的相关规定，</w:t>
      </w:r>
      <w:r>
        <w:rPr>
          <w:rFonts w:hint="eastAsia" w:asciiTheme="minorEastAsia" w:hAnsiTheme="minorEastAsia" w:eastAsiaTheme="minorEastAsia"/>
          <w:bCs/>
          <w:color w:val="auto"/>
          <w:sz w:val="24"/>
          <w:highlight w:val="none"/>
          <w:lang w:val="en-US" w:eastAsia="zh-CN"/>
        </w:rPr>
        <w:t>并且承诺按文件要求提供如下材料</w:t>
      </w:r>
      <w:r>
        <w:rPr>
          <w:rFonts w:hint="eastAsia" w:asciiTheme="minorEastAsia" w:hAnsiTheme="minorEastAsia" w:eastAsiaTheme="minorEastAsia"/>
          <w:bCs/>
          <w:color w:val="auto"/>
          <w:sz w:val="24"/>
          <w:highlight w:val="none"/>
        </w:rPr>
        <w:t>：</w:t>
      </w:r>
    </w:p>
    <w:p w14:paraId="6F066638">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★四、设备验收完成后，出具设备强制检定报告。</w:t>
      </w:r>
    </w:p>
    <w:p w14:paraId="5E8CE3CE">
      <w:pPr>
        <w:pStyle w:val="2"/>
        <w:ind w:firstLine="480" w:firstLineChars="200"/>
        <w:rPr>
          <w:rFonts w:hint="eastAsia" w:cs="@仿宋_GB2312" w:asciiTheme="minorEastAsia" w:hAnsiTheme="minorEastAsia" w:eastAsiaTheme="minorEastAsia"/>
          <w:b w:val="0"/>
          <w:bCs/>
          <w:color w:val="auto"/>
          <w:kern w:val="2"/>
          <w:sz w:val="24"/>
          <w:szCs w:val="20"/>
          <w:highlight w:val="none"/>
          <w:lang w:val="en-US" w:eastAsia="zh-CN" w:bidi="ar-SA"/>
        </w:rPr>
      </w:pPr>
      <w:r>
        <w:rPr>
          <w:rFonts w:hint="eastAsia" w:cs="@仿宋_GB2312" w:asciiTheme="minorEastAsia" w:hAnsiTheme="minorEastAsia" w:eastAsiaTheme="minorEastAsia"/>
          <w:b w:val="0"/>
          <w:bCs/>
          <w:color w:val="auto"/>
          <w:kern w:val="2"/>
          <w:sz w:val="24"/>
          <w:szCs w:val="20"/>
          <w:highlight w:val="none"/>
          <w:lang w:val="en-US" w:eastAsia="zh-CN" w:bidi="ar-SA"/>
        </w:rPr>
        <w:t>特此承诺</w:t>
      </w:r>
    </w:p>
    <w:p w14:paraId="0988AC0F">
      <w:pPr>
        <w:pStyle w:val="2"/>
        <w:rPr>
          <w:color w:val="auto"/>
        </w:rPr>
      </w:pPr>
    </w:p>
    <w:p w14:paraId="6839EA75">
      <w:pPr>
        <w:spacing w:line="360" w:lineRule="auto"/>
        <w:rPr>
          <w:rFonts w:asciiTheme="minorEastAsia" w:hAnsiTheme="minorEastAsia" w:eastAsiaTheme="minorEastAsia"/>
          <w:bCs/>
          <w:color w:val="auto"/>
          <w:sz w:val="24"/>
          <w:highlight w:val="none"/>
        </w:rPr>
      </w:pPr>
    </w:p>
    <w:p w14:paraId="11D3EB8B">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725EA7D">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779EAA4">
      <w:pPr>
        <w:widowControl/>
        <w:jc w:val="left"/>
        <w:rPr>
          <w:rFonts w:ascii="宋体" w:hAnsi="宋体" w:eastAsia="宋体"/>
          <w:bCs/>
          <w:color w:val="auto"/>
          <w:sz w:val="24"/>
          <w:highlight w:val="none"/>
        </w:rPr>
      </w:pPr>
    </w:p>
    <w:p w14:paraId="5780BD78">
      <w:pPr>
        <w:rPr>
          <w:rFonts w:hint="eastAsia" w:asciiTheme="minorEastAsia" w:hAnsiTheme="minorEastAsia" w:eastAsiaTheme="minorEastAsia"/>
          <w:b/>
          <w:color w:val="auto"/>
          <w:sz w:val="28"/>
          <w:highlight w:val="none"/>
        </w:rPr>
      </w:pPr>
      <w:bookmarkStart w:id="79" w:name="_Toc18131"/>
      <w:bookmarkStart w:id="80" w:name="_Toc6435"/>
      <w:r>
        <w:rPr>
          <w:rFonts w:hint="eastAsia" w:asciiTheme="minorEastAsia" w:hAnsiTheme="minorEastAsia" w:eastAsiaTheme="minorEastAsia"/>
          <w:b/>
          <w:color w:val="auto"/>
          <w:sz w:val="28"/>
          <w:highlight w:val="none"/>
        </w:rPr>
        <w:br w:type="page"/>
      </w:r>
    </w:p>
    <w:p w14:paraId="4E44E95B">
      <w:pPr>
        <w:spacing w:line="360" w:lineRule="auto"/>
        <w:jc w:val="center"/>
        <w:outlineLvl w:val="0"/>
        <w:rPr>
          <w:rFonts w:ascii="宋体" w:hAnsi="宋体" w:eastAsia="宋体"/>
          <w:b/>
          <w:bCs/>
          <w:color w:val="auto"/>
          <w:sz w:val="28"/>
          <w:highlight w:val="none"/>
        </w:rPr>
      </w:pPr>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7A40B900">
      <w:pPr>
        <w:spacing w:line="360" w:lineRule="auto"/>
        <w:jc w:val="center"/>
        <w:outlineLvl w:val="1"/>
        <w:rPr>
          <w:rFonts w:ascii="仿宋" w:hAnsi="仿宋" w:eastAsia="仿宋" w:cs="仿宋"/>
          <w:b/>
          <w:bCs/>
          <w:color w:val="auto"/>
          <w:sz w:val="32"/>
          <w:szCs w:val="44"/>
          <w:highlight w:val="none"/>
        </w:rPr>
      </w:pPr>
      <w:bookmarkStart w:id="81" w:name="_Toc27489"/>
      <w:bookmarkStart w:id="82" w:name="_Toc27159"/>
      <w:r>
        <w:rPr>
          <w:rFonts w:hint="eastAsia" w:ascii="仿宋" w:hAnsi="仿宋" w:eastAsia="仿宋" w:cs="仿宋"/>
          <w:b/>
          <w:bCs/>
          <w:color w:val="auto"/>
          <w:sz w:val="32"/>
          <w:szCs w:val="44"/>
          <w:highlight w:val="none"/>
        </w:rPr>
        <w:t>询问函范本</w:t>
      </w:r>
      <w:bookmarkEnd w:id="81"/>
      <w:bookmarkEnd w:id="82"/>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85" w:name="_Toc3245"/>
      <w:bookmarkStart w:id="86" w:name="_Toc1575"/>
      <w:r>
        <w:rPr>
          <w:rFonts w:hint="eastAsia" w:ascii="仿宋" w:hAnsi="仿宋" w:eastAsia="仿宋" w:cs="仿宋"/>
          <w:b/>
          <w:bCs/>
          <w:color w:val="auto"/>
          <w:sz w:val="32"/>
          <w:szCs w:val="44"/>
          <w:highlight w:val="none"/>
        </w:rPr>
        <w:t>质疑函范本</w:t>
      </w:r>
      <w:bookmarkEnd w:id="85"/>
      <w:bookmarkEnd w:id="86"/>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91" w:name="_Toc9754"/>
      <w:bookmarkStart w:id="92" w:name="_Toc26836"/>
      <w:r>
        <w:rPr>
          <w:rFonts w:hint="eastAsia" w:asciiTheme="minorEastAsia" w:hAnsiTheme="minorEastAsia" w:eastAsiaTheme="minorEastAsia"/>
          <w:b/>
          <w:color w:val="auto"/>
          <w:sz w:val="28"/>
          <w:szCs w:val="32"/>
          <w:highlight w:val="none"/>
        </w:rPr>
        <w:t>质疑函制作说明：</w:t>
      </w:r>
      <w:bookmarkEnd w:id="91"/>
      <w:bookmarkEnd w:id="92"/>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AB168F"/>
    <w:rsid w:val="01E93A1B"/>
    <w:rsid w:val="0214602E"/>
    <w:rsid w:val="026B1259"/>
    <w:rsid w:val="03355182"/>
    <w:rsid w:val="03486B27"/>
    <w:rsid w:val="040A094E"/>
    <w:rsid w:val="044947E1"/>
    <w:rsid w:val="056F201D"/>
    <w:rsid w:val="05B664D4"/>
    <w:rsid w:val="064B485A"/>
    <w:rsid w:val="068C65C4"/>
    <w:rsid w:val="07076C01"/>
    <w:rsid w:val="071C12AC"/>
    <w:rsid w:val="07A934B3"/>
    <w:rsid w:val="07C66F31"/>
    <w:rsid w:val="07EB6287"/>
    <w:rsid w:val="07F4584C"/>
    <w:rsid w:val="0806421B"/>
    <w:rsid w:val="0980799C"/>
    <w:rsid w:val="09944B8E"/>
    <w:rsid w:val="0A6A18DB"/>
    <w:rsid w:val="0A975B48"/>
    <w:rsid w:val="0AEF3828"/>
    <w:rsid w:val="0B406381"/>
    <w:rsid w:val="0BB452AA"/>
    <w:rsid w:val="0BBB665B"/>
    <w:rsid w:val="0D176DF3"/>
    <w:rsid w:val="0EEA6FC1"/>
    <w:rsid w:val="0F663B9D"/>
    <w:rsid w:val="0F720275"/>
    <w:rsid w:val="0F790928"/>
    <w:rsid w:val="1077526D"/>
    <w:rsid w:val="10CD72BB"/>
    <w:rsid w:val="12197477"/>
    <w:rsid w:val="131B5CD3"/>
    <w:rsid w:val="13776448"/>
    <w:rsid w:val="1466407E"/>
    <w:rsid w:val="146D7D72"/>
    <w:rsid w:val="14834E28"/>
    <w:rsid w:val="148E7D65"/>
    <w:rsid w:val="14C667C2"/>
    <w:rsid w:val="15231BF9"/>
    <w:rsid w:val="15A326F9"/>
    <w:rsid w:val="15AA7DDD"/>
    <w:rsid w:val="15C4546D"/>
    <w:rsid w:val="15E52C78"/>
    <w:rsid w:val="16044950"/>
    <w:rsid w:val="163A2888"/>
    <w:rsid w:val="1A064976"/>
    <w:rsid w:val="1A3B68AA"/>
    <w:rsid w:val="1A3E1C1E"/>
    <w:rsid w:val="1A7F6458"/>
    <w:rsid w:val="1AC12DA0"/>
    <w:rsid w:val="1B6F4F40"/>
    <w:rsid w:val="1C141836"/>
    <w:rsid w:val="1C76537D"/>
    <w:rsid w:val="1D004EBC"/>
    <w:rsid w:val="1D8452C1"/>
    <w:rsid w:val="1E6B6A14"/>
    <w:rsid w:val="1F8F4381"/>
    <w:rsid w:val="1FBF278C"/>
    <w:rsid w:val="2001516D"/>
    <w:rsid w:val="200A1C59"/>
    <w:rsid w:val="201D417F"/>
    <w:rsid w:val="20550D9A"/>
    <w:rsid w:val="218E2416"/>
    <w:rsid w:val="226915FE"/>
    <w:rsid w:val="228C2C29"/>
    <w:rsid w:val="229273EC"/>
    <w:rsid w:val="22FB7F7F"/>
    <w:rsid w:val="23BC656D"/>
    <w:rsid w:val="241804A5"/>
    <w:rsid w:val="24B97929"/>
    <w:rsid w:val="24D632D7"/>
    <w:rsid w:val="26583EBF"/>
    <w:rsid w:val="27313F6F"/>
    <w:rsid w:val="27D65DBA"/>
    <w:rsid w:val="285F40CA"/>
    <w:rsid w:val="289E1AF0"/>
    <w:rsid w:val="28C01ECB"/>
    <w:rsid w:val="29BF71E3"/>
    <w:rsid w:val="29D6387F"/>
    <w:rsid w:val="2A063491"/>
    <w:rsid w:val="2A127B63"/>
    <w:rsid w:val="2A451A6C"/>
    <w:rsid w:val="2AAA4765"/>
    <w:rsid w:val="2AC21606"/>
    <w:rsid w:val="2AD63D42"/>
    <w:rsid w:val="2B794137"/>
    <w:rsid w:val="2B7E7608"/>
    <w:rsid w:val="2B7F04E9"/>
    <w:rsid w:val="2B8B554A"/>
    <w:rsid w:val="2D496D68"/>
    <w:rsid w:val="2E7A48DE"/>
    <w:rsid w:val="2EBA5177"/>
    <w:rsid w:val="2EDC3ED8"/>
    <w:rsid w:val="2F104B00"/>
    <w:rsid w:val="2F6351B4"/>
    <w:rsid w:val="2F6A44C2"/>
    <w:rsid w:val="2FC86126"/>
    <w:rsid w:val="2FCF199E"/>
    <w:rsid w:val="30483E83"/>
    <w:rsid w:val="30BF3991"/>
    <w:rsid w:val="3111619A"/>
    <w:rsid w:val="314D5E4A"/>
    <w:rsid w:val="319775DB"/>
    <w:rsid w:val="31B139DC"/>
    <w:rsid w:val="32497AF3"/>
    <w:rsid w:val="32FA606D"/>
    <w:rsid w:val="343C0775"/>
    <w:rsid w:val="34C5219B"/>
    <w:rsid w:val="356C50EC"/>
    <w:rsid w:val="35887450"/>
    <w:rsid w:val="36137E45"/>
    <w:rsid w:val="36376E0A"/>
    <w:rsid w:val="3700166C"/>
    <w:rsid w:val="379A1012"/>
    <w:rsid w:val="38694EE9"/>
    <w:rsid w:val="3885236D"/>
    <w:rsid w:val="3A6818FA"/>
    <w:rsid w:val="3B365CC9"/>
    <w:rsid w:val="3B9A7B88"/>
    <w:rsid w:val="3C5A45CF"/>
    <w:rsid w:val="3C620C1F"/>
    <w:rsid w:val="3CA801A9"/>
    <w:rsid w:val="3D2C7AC8"/>
    <w:rsid w:val="3D2E6701"/>
    <w:rsid w:val="3D5474C7"/>
    <w:rsid w:val="3D855D12"/>
    <w:rsid w:val="3D8B42FF"/>
    <w:rsid w:val="3DE86C4C"/>
    <w:rsid w:val="3DF36A6E"/>
    <w:rsid w:val="3E2E0011"/>
    <w:rsid w:val="3E3E5FBB"/>
    <w:rsid w:val="3E592F2B"/>
    <w:rsid w:val="3EBA1EE9"/>
    <w:rsid w:val="3F5D194E"/>
    <w:rsid w:val="3F792F1E"/>
    <w:rsid w:val="40824826"/>
    <w:rsid w:val="40B1743F"/>
    <w:rsid w:val="40E63923"/>
    <w:rsid w:val="40FE77F4"/>
    <w:rsid w:val="43323697"/>
    <w:rsid w:val="43A91E5B"/>
    <w:rsid w:val="43D00179"/>
    <w:rsid w:val="449E0D39"/>
    <w:rsid w:val="45746D7F"/>
    <w:rsid w:val="459070D4"/>
    <w:rsid w:val="45E32B26"/>
    <w:rsid w:val="46007B61"/>
    <w:rsid w:val="463A3650"/>
    <w:rsid w:val="46461627"/>
    <w:rsid w:val="469F0116"/>
    <w:rsid w:val="475259B7"/>
    <w:rsid w:val="488302AE"/>
    <w:rsid w:val="48831CF9"/>
    <w:rsid w:val="48B031BB"/>
    <w:rsid w:val="49024C9C"/>
    <w:rsid w:val="49B1408D"/>
    <w:rsid w:val="49EB7B56"/>
    <w:rsid w:val="4A7D4C52"/>
    <w:rsid w:val="4A7D4FD2"/>
    <w:rsid w:val="4A913C9A"/>
    <w:rsid w:val="4B1F70AC"/>
    <w:rsid w:val="4B240F94"/>
    <w:rsid w:val="4B9759E4"/>
    <w:rsid w:val="4BD765E4"/>
    <w:rsid w:val="4C0832E5"/>
    <w:rsid w:val="4C3C565C"/>
    <w:rsid w:val="4C49426E"/>
    <w:rsid w:val="4CCC79C7"/>
    <w:rsid w:val="4D3D322C"/>
    <w:rsid w:val="4D7555C7"/>
    <w:rsid w:val="4EAE6DA0"/>
    <w:rsid w:val="4FE617D9"/>
    <w:rsid w:val="5016514B"/>
    <w:rsid w:val="509E5922"/>
    <w:rsid w:val="50BD4DF3"/>
    <w:rsid w:val="50DC40D8"/>
    <w:rsid w:val="50FC1A26"/>
    <w:rsid w:val="51723664"/>
    <w:rsid w:val="51CB1C78"/>
    <w:rsid w:val="51FD6A51"/>
    <w:rsid w:val="52203413"/>
    <w:rsid w:val="526B680A"/>
    <w:rsid w:val="52836F71"/>
    <w:rsid w:val="52D26B02"/>
    <w:rsid w:val="541A5D30"/>
    <w:rsid w:val="557C3F5E"/>
    <w:rsid w:val="55C1559C"/>
    <w:rsid w:val="55F068CD"/>
    <w:rsid w:val="566C3136"/>
    <w:rsid w:val="568D04F2"/>
    <w:rsid w:val="5A526582"/>
    <w:rsid w:val="5A5F5C77"/>
    <w:rsid w:val="5A711A0D"/>
    <w:rsid w:val="5B1613E4"/>
    <w:rsid w:val="5B694D7F"/>
    <w:rsid w:val="5B78003B"/>
    <w:rsid w:val="5BC11A60"/>
    <w:rsid w:val="5C071157"/>
    <w:rsid w:val="5C354704"/>
    <w:rsid w:val="5C7A4D54"/>
    <w:rsid w:val="5CD23B73"/>
    <w:rsid w:val="5D2C42B6"/>
    <w:rsid w:val="5F127819"/>
    <w:rsid w:val="60350ED3"/>
    <w:rsid w:val="60B72AEE"/>
    <w:rsid w:val="60E72AA3"/>
    <w:rsid w:val="61025188"/>
    <w:rsid w:val="61057D5F"/>
    <w:rsid w:val="6126068F"/>
    <w:rsid w:val="614D4977"/>
    <w:rsid w:val="61EC126F"/>
    <w:rsid w:val="62FD1A73"/>
    <w:rsid w:val="63C60FC0"/>
    <w:rsid w:val="64BA3D7A"/>
    <w:rsid w:val="64E2007C"/>
    <w:rsid w:val="64F179BC"/>
    <w:rsid w:val="65C9251A"/>
    <w:rsid w:val="665704D3"/>
    <w:rsid w:val="67802610"/>
    <w:rsid w:val="67C065A4"/>
    <w:rsid w:val="67D359C9"/>
    <w:rsid w:val="68042537"/>
    <w:rsid w:val="68FE36DD"/>
    <w:rsid w:val="694E60FC"/>
    <w:rsid w:val="69715E72"/>
    <w:rsid w:val="69E95A08"/>
    <w:rsid w:val="6A256904"/>
    <w:rsid w:val="6A49294B"/>
    <w:rsid w:val="6AC83870"/>
    <w:rsid w:val="6B380F1E"/>
    <w:rsid w:val="6B656832"/>
    <w:rsid w:val="6C675CE6"/>
    <w:rsid w:val="6D4F4321"/>
    <w:rsid w:val="6DF41B82"/>
    <w:rsid w:val="6DFF7360"/>
    <w:rsid w:val="6E7A5F73"/>
    <w:rsid w:val="6E873A42"/>
    <w:rsid w:val="6EE90F9D"/>
    <w:rsid w:val="6FD74228"/>
    <w:rsid w:val="7021106F"/>
    <w:rsid w:val="702F4391"/>
    <w:rsid w:val="70C60851"/>
    <w:rsid w:val="71633091"/>
    <w:rsid w:val="72275556"/>
    <w:rsid w:val="72E25DA2"/>
    <w:rsid w:val="73081CA5"/>
    <w:rsid w:val="74201F7D"/>
    <w:rsid w:val="7487762D"/>
    <w:rsid w:val="74C33AA4"/>
    <w:rsid w:val="750C4CA1"/>
    <w:rsid w:val="75210D7A"/>
    <w:rsid w:val="75385498"/>
    <w:rsid w:val="75F37776"/>
    <w:rsid w:val="766C3C49"/>
    <w:rsid w:val="76BC207F"/>
    <w:rsid w:val="76EB4904"/>
    <w:rsid w:val="77645DCD"/>
    <w:rsid w:val="776A3FFF"/>
    <w:rsid w:val="777378F5"/>
    <w:rsid w:val="777A2D3C"/>
    <w:rsid w:val="77811976"/>
    <w:rsid w:val="78474930"/>
    <w:rsid w:val="78F32400"/>
    <w:rsid w:val="79074B81"/>
    <w:rsid w:val="794F0939"/>
    <w:rsid w:val="79AF0FCA"/>
    <w:rsid w:val="7A1E525A"/>
    <w:rsid w:val="7A903C7E"/>
    <w:rsid w:val="7AF9279C"/>
    <w:rsid w:val="7BD77DB7"/>
    <w:rsid w:val="7CC51958"/>
    <w:rsid w:val="7CD53DF9"/>
    <w:rsid w:val="7D097C86"/>
    <w:rsid w:val="7E0C7AC0"/>
    <w:rsid w:val="7E2936C3"/>
    <w:rsid w:val="7E64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5"/>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5"/>
    <w:autoRedefine/>
    <w:qFormat/>
    <w:uiPriority w:val="99"/>
    <w:rPr>
      <w:rFonts w:ascii="宋体" w:hAnsi="Courier New" w:eastAsiaTheme="minorEastAsia" w:cstheme="minorBidi"/>
      <w:szCs w:val="22"/>
    </w:rPr>
  </w:style>
  <w:style w:type="paragraph" w:styleId="12">
    <w:name w:val="Date"/>
    <w:basedOn w:val="1"/>
    <w:next w:val="1"/>
    <w:link w:val="42"/>
    <w:autoRedefine/>
    <w:qFormat/>
    <w:uiPriority w:val="0"/>
    <w:rPr>
      <w:rFonts w:ascii="Arial" w:hAnsi="Arial" w:eastAsia="宋体" w:cs="Arial"/>
      <w:b/>
      <w:sz w:val="28"/>
    </w:rPr>
  </w:style>
  <w:style w:type="paragraph" w:styleId="13">
    <w:name w:val="Balloon Text"/>
    <w:basedOn w:val="1"/>
    <w:link w:val="29"/>
    <w:autoRedefine/>
    <w:semiHidden/>
    <w:unhideWhenUsed/>
    <w:qFormat/>
    <w:uiPriority w:val="99"/>
    <w:rPr>
      <w:sz w:val="18"/>
      <w:szCs w:val="18"/>
    </w:rPr>
  </w:style>
  <w:style w:type="paragraph" w:styleId="14">
    <w:name w:val="footer"/>
    <w:basedOn w:val="1"/>
    <w:link w:val="34"/>
    <w:autoRedefine/>
    <w:unhideWhenUsed/>
    <w:qFormat/>
    <w:uiPriority w:val="99"/>
    <w:pPr>
      <w:tabs>
        <w:tab w:val="center" w:pos="4153"/>
        <w:tab w:val="right" w:pos="8306"/>
      </w:tabs>
      <w:snapToGrid w:val="0"/>
      <w:jc w:val="left"/>
    </w:pPr>
    <w:rPr>
      <w:sz w:val="18"/>
      <w:szCs w:val="18"/>
    </w:rPr>
  </w:style>
  <w:style w:type="paragraph" w:styleId="15">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6"/>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Emphasis"/>
    <w:basedOn w:val="24"/>
    <w:qFormat/>
    <w:uiPriority w:val="0"/>
    <w:rPr>
      <w:i/>
    </w:rPr>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character" w:customStyle="1" w:styleId="29">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Char"/>
    <w:basedOn w:val="24"/>
    <w:link w:val="15"/>
    <w:autoRedefine/>
    <w:qFormat/>
    <w:uiPriority w:val="99"/>
    <w:rPr>
      <w:rFonts w:ascii="@仿宋_GB2312" w:hAnsi="@仿宋_GB2312" w:eastAsia="@仿宋_GB2312" w:cs="@仿宋_GB2312"/>
      <w:sz w:val="18"/>
      <w:szCs w:val="18"/>
    </w:rPr>
  </w:style>
  <w:style w:type="character" w:customStyle="1" w:styleId="34">
    <w:name w:val="页脚 Char"/>
    <w:basedOn w:val="24"/>
    <w:link w:val="14"/>
    <w:autoRedefine/>
    <w:qFormat/>
    <w:uiPriority w:val="99"/>
    <w:rPr>
      <w:rFonts w:ascii="@仿宋_GB2312" w:hAnsi="@仿宋_GB2312" w:eastAsia="@仿宋_GB2312" w:cs="@仿宋_GB2312"/>
      <w:sz w:val="18"/>
      <w:szCs w:val="18"/>
    </w:rPr>
  </w:style>
  <w:style w:type="character" w:customStyle="1" w:styleId="35">
    <w:name w:val="纯文本 Char"/>
    <w:link w:val="11"/>
    <w:autoRedefine/>
    <w:qFormat/>
    <w:uiPriority w:val="0"/>
    <w:rPr>
      <w:rFonts w:ascii="宋体" w:hAnsi="Courier New"/>
    </w:rPr>
  </w:style>
  <w:style w:type="character" w:customStyle="1" w:styleId="36">
    <w:name w:val="纯文本 字符1"/>
    <w:basedOn w:val="24"/>
    <w:autoRedefine/>
    <w:semiHidden/>
    <w:qFormat/>
    <w:uiPriority w:val="99"/>
    <w:rPr>
      <w:rFonts w:hAnsi="Courier New" w:cs="Courier New" w:asciiTheme="minorEastAsia"/>
      <w:szCs w:val="20"/>
    </w:rPr>
  </w:style>
  <w:style w:type="character" w:customStyle="1" w:styleId="37">
    <w:name w:val="未处理的提及1"/>
    <w:basedOn w:val="24"/>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4"/>
    <w:autoRedefine/>
    <w:semiHidden/>
    <w:qFormat/>
    <w:uiPriority w:val="99"/>
    <w:rPr>
      <w:rFonts w:ascii="@仿宋_GB2312" w:hAnsi="@仿宋_GB2312" w:eastAsia="@仿宋_GB2312" w:cs="@仿宋_GB2312"/>
      <w:szCs w:val="20"/>
    </w:rPr>
  </w:style>
  <w:style w:type="character" w:customStyle="1" w:styleId="42">
    <w:name w:val="日期 Char"/>
    <w:link w:val="12"/>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Char1"/>
    <w:link w:val="7"/>
    <w:autoRedefine/>
    <w:qFormat/>
    <w:uiPriority w:val="0"/>
    <w:rPr>
      <w:rFonts w:ascii="Arial" w:hAnsi="Arial" w:eastAsia="黑体" w:cs="Arial"/>
      <w:szCs w:val="20"/>
    </w:rPr>
  </w:style>
  <w:style w:type="character" w:customStyle="1" w:styleId="46">
    <w:name w:val="标题 1 Char"/>
    <w:basedOn w:val="24"/>
    <w:link w:val="3"/>
    <w:autoRedefine/>
    <w:qFormat/>
    <w:uiPriority w:val="9"/>
    <w:rPr>
      <w:rFonts w:ascii="@仿宋_GB2312" w:hAnsi="@仿宋_GB2312" w:eastAsia="@仿宋_GB2312" w:cs="@仿宋_GB2312"/>
      <w:b/>
      <w:bCs/>
      <w:kern w:val="44"/>
      <w:sz w:val="44"/>
      <w:szCs w:val="44"/>
    </w:rPr>
  </w:style>
  <w:style w:type="paragraph" w:customStyle="1" w:styleId="47">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Char1"/>
    <w:link w:val="5"/>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批注主题 Char"/>
    <w:basedOn w:val="45"/>
    <w:link w:val="20"/>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 w:val="21"/>
      <w:szCs w:val="21"/>
      <w:lang w:val="en-US" w:eastAsia="en-US" w:bidi="ar-SA"/>
    </w:rPr>
  </w:style>
  <w:style w:type="paragraph" w:customStyle="1" w:styleId="5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0">
    <w:name w:val="列出段落1"/>
    <w:basedOn w:val="1"/>
    <w:autoRedefine/>
    <w:qFormat/>
    <w:uiPriority w:val="0"/>
    <w:pPr>
      <w:ind w:firstLine="420" w:firstLineChars="200"/>
    </w:pPr>
    <w:rPr>
      <w:szCs w:val="21"/>
    </w:rPr>
  </w:style>
  <w:style w:type="paragraph" w:customStyle="1" w:styleId="61">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2">
    <w:name w:val="p0"/>
    <w:basedOn w:val="1"/>
    <w:qFormat/>
    <w:uiPriority w:val="0"/>
    <w:pPr>
      <w:widowControl/>
    </w:pPr>
    <w:rPr>
      <w:rFonts w:ascii="Times New Roman" w:hAnsi="Times New Roman"/>
      <w:kern w:val="0"/>
      <w:szCs w:val="21"/>
    </w:rPr>
  </w:style>
  <w:style w:type="character" w:customStyle="1" w:styleId="63">
    <w:name w:val="NormalCharacter"/>
    <w:semiHidden/>
    <w:qFormat/>
    <w:uiPriority w:val="0"/>
  </w:style>
  <w:style w:type="paragraph" w:customStyle="1" w:styleId="64">
    <w:name w:val="列表段落1"/>
    <w:basedOn w:val="1"/>
    <w:qFormat/>
    <w:uiPriority w:val="34"/>
    <w:pPr>
      <w:ind w:firstLine="420" w:firstLineChars="200"/>
    </w:pPr>
  </w:style>
  <w:style w:type="character" w:customStyle="1" w:styleId="65">
    <w:name w:val="标题 2 Char Char"/>
    <w:qFormat/>
    <w:uiPriority w:val="0"/>
    <w:rPr>
      <w:rFonts w:ascii="Arial" w:hAnsi="Arial" w:eastAsia="黑体" w:cs="Times New Roman"/>
      <w:b/>
      <w:bCs/>
      <w:kern w:val="2"/>
      <w:sz w:val="32"/>
      <w:szCs w:val="32"/>
      <w:lang w:val="en-US" w:eastAsia="zh-CN" w:bidi="ar-SA"/>
    </w:rPr>
  </w:style>
  <w:style w:type="paragraph" w:customStyle="1" w:styleId="66">
    <w:name w:val="4号正文"/>
    <w:basedOn w:val="1"/>
    <w:qFormat/>
    <w:uiPriority w:val="0"/>
    <w:pPr>
      <w:spacing w:after="120"/>
      <w:ind w:firstLine="555" w:firstLineChars="196"/>
    </w:pPr>
    <w:rPr>
      <w:rFonts w:ascii="仿宋_GB2312" w:hAnsi="华文细黑" w:eastAsia="仿宋_GB2312"/>
      <w:spacing w:val="10"/>
      <w:sz w:val="2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70</Pages>
  <Words>4410</Words>
  <Characters>4949</Characters>
  <Lines>244</Lines>
  <Paragraphs>68</Paragraphs>
  <TotalTime>18</TotalTime>
  <ScaleCrop>false</ScaleCrop>
  <LinksUpToDate>false</LinksUpToDate>
  <CharactersWithSpaces>5273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贾先生</cp:lastModifiedBy>
  <cp:lastPrinted>2019-12-07T15:18:00Z</cp:lastPrinted>
  <dcterms:modified xsi:type="dcterms:W3CDTF">2026-08-28T07:29:34Z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eyJoZGlkIjoiZGM2NDk5OGFiYzg4ZTEzM2NiYjUxZTQ1OTBjMWNmM2MiLCJ1c2VySWQiOiI0OTcwNTQxMDcifQ==</vt:lpwstr>
  </property>
</Properties>
</file>