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91" w:name="_GoBack"/>
      <w:r>
        <w:rPr>
          <w:rFonts w:hint="eastAsia" w:ascii="宋体" w:hAnsi="宋体" w:eastAsia="宋体"/>
          <w:b/>
          <w:bCs/>
          <w:color w:val="auto"/>
          <w:sz w:val="52"/>
          <w:szCs w:val="52"/>
          <w:highlight w:val="none"/>
          <w:lang w:val="en-US" w:eastAsia="zh-CN"/>
        </w:rPr>
        <w:t xml:space="preserve"> </w:t>
      </w:r>
    </w:p>
    <w:p w14:paraId="28208C84">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360" w:lineRule="auto"/>
        <w:ind w:right="267" w:rightChars="127"/>
        <w:jc w:val="center"/>
        <w:textAlignment w:val="auto"/>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宿州市立医院多导睡眠记录仪采购项目</w:t>
      </w:r>
    </w:p>
    <w:p w14:paraId="20B9F3B4">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360" w:lineRule="auto"/>
        <w:ind w:right="267" w:rightChars="127"/>
        <w:jc w:val="center"/>
        <w:textAlignment w:val="auto"/>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w:t>
      </w:r>
      <w:bookmarkEnd w:id="0"/>
    </w:p>
    <w:p w14:paraId="27483B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326335A">
      <w:pPr>
        <w:tabs>
          <w:tab w:val="left" w:pos="2410"/>
        </w:tabs>
        <w:autoSpaceDE w:val="0"/>
        <w:autoSpaceDN w:val="0"/>
        <w:adjustRightInd w:val="0"/>
        <w:snapToGrid w:val="0"/>
        <w:spacing w:line="360" w:lineRule="auto"/>
        <w:rPr>
          <w:rFonts w:hint="default" w:ascii="宋体" w:hAnsi="宋体" w:eastAsia="宋体"/>
          <w:b/>
          <w:color w:val="auto"/>
          <w:spacing w:val="20"/>
          <w:kern w:val="0"/>
          <w:sz w:val="28"/>
          <w:szCs w:val="28"/>
          <w:highlight w:val="none"/>
          <w:lang w:val="en-US" w:eastAsia="zh-CN"/>
        </w:rPr>
      </w:pPr>
      <w:r>
        <w:rPr>
          <w:rFonts w:hint="eastAsia" w:ascii="宋体" w:hAnsi="宋体" w:eastAsia="宋体"/>
          <w:b/>
          <w:color w:val="auto"/>
          <w:spacing w:val="20"/>
          <w:kern w:val="0"/>
          <w:sz w:val="28"/>
          <w:szCs w:val="28"/>
          <w:highlight w:val="none"/>
        </w:rPr>
        <w:t>项目名称：</w:t>
      </w:r>
      <w:r>
        <w:rPr>
          <w:rFonts w:hint="eastAsia" w:ascii="宋体" w:hAnsi="宋体" w:eastAsia="宋体"/>
          <w:b/>
          <w:color w:val="auto"/>
          <w:spacing w:val="20"/>
          <w:kern w:val="0"/>
          <w:sz w:val="28"/>
          <w:szCs w:val="28"/>
          <w:highlight w:val="none"/>
          <w:u w:val="single"/>
          <w:lang w:val="en-US" w:eastAsia="zh-CN"/>
        </w:rPr>
        <w:t xml:space="preserve">宿州市立医院多导睡眠记录仪采购项目  </w:t>
      </w:r>
    </w:p>
    <w:p w14:paraId="3295737D">
      <w:pPr>
        <w:tabs>
          <w:tab w:val="left" w:pos="2410"/>
        </w:tabs>
        <w:autoSpaceDE w:val="0"/>
        <w:autoSpaceDN w:val="0"/>
        <w:adjustRightInd w:val="0"/>
        <w:snapToGrid w:val="0"/>
        <w:spacing w:line="360" w:lineRule="auto"/>
        <w:rPr>
          <w:rFonts w:ascii="宋体" w:hAnsi="宋体" w:eastAsia="宋体"/>
          <w:b/>
          <w:color w:val="auto"/>
          <w:spacing w:val="20"/>
          <w:kern w:val="0"/>
          <w:sz w:val="28"/>
          <w:szCs w:val="28"/>
          <w:highlight w:val="none"/>
        </w:rPr>
      </w:pPr>
      <w:r>
        <w:rPr>
          <w:rFonts w:hint="eastAsia" w:ascii="宋体" w:hAnsi="宋体" w:eastAsia="宋体"/>
          <w:b/>
          <w:color w:val="auto"/>
          <w:spacing w:val="20"/>
          <w:kern w:val="0"/>
          <w:sz w:val="28"/>
          <w:szCs w:val="28"/>
          <w:highlight w:val="none"/>
        </w:rPr>
        <w:t>项目编号：</w:t>
      </w:r>
      <w:r>
        <w:rPr>
          <w:rFonts w:hint="eastAsia" w:ascii="宋体" w:hAnsi="宋体" w:eastAsia="宋体"/>
          <w:b/>
          <w:color w:val="auto"/>
          <w:spacing w:val="20"/>
          <w:kern w:val="0"/>
          <w:sz w:val="28"/>
          <w:szCs w:val="28"/>
          <w:highlight w:val="none"/>
          <w:u w:val="single"/>
          <w:lang w:val="en-US" w:eastAsia="zh-CN"/>
        </w:rPr>
        <w:t xml:space="preserve"> ******** </w:t>
      </w:r>
    </w:p>
    <w:p w14:paraId="348D8AEC">
      <w:pPr>
        <w:tabs>
          <w:tab w:val="left" w:pos="2410"/>
        </w:tabs>
        <w:autoSpaceDE w:val="0"/>
        <w:autoSpaceDN w:val="0"/>
        <w:adjustRightInd w:val="0"/>
        <w:snapToGrid w:val="0"/>
        <w:spacing w:line="360" w:lineRule="auto"/>
        <w:rPr>
          <w:rFonts w:ascii="宋体" w:hAnsi="宋体" w:eastAsia="宋体"/>
          <w:b/>
          <w:color w:val="auto"/>
          <w:spacing w:val="20"/>
          <w:kern w:val="0"/>
          <w:sz w:val="28"/>
          <w:szCs w:val="28"/>
          <w:highlight w:val="none"/>
        </w:rPr>
      </w:pPr>
      <w:r>
        <w:rPr>
          <w:rFonts w:hint="eastAsia" w:ascii="宋体" w:hAnsi="宋体" w:eastAsia="宋体"/>
          <w:b/>
          <w:color w:val="auto"/>
          <w:spacing w:val="20"/>
          <w:kern w:val="0"/>
          <w:sz w:val="28"/>
          <w:szCs w:val="28"/>
          <w:highlight w:val="none"/>
        </w:rPr>
        <w:t>采 购 人：</w:t>
      </w:r>
      <w:r>
        <w:rPr>
          <w:rFonts w:hint="eastAsia" w:ascii="宋体" w:hAnsi="宋体" w:eastAsia="宋体"/>
          <w:b/>
          <w:color w:val="auto"/>
          <w:spacing w:val="20"/>
          <w:kern w:val="0"/>
          <w:sz w:val="28"/>
          <w:szCs w:val="28"/>
          <w:highlight w:val="none"/>
          <w:u w:val="single"/>
          <w:lang w:val="en-US" w:eastAsia="zh-CN"/>
        </w:rPr>
        <w:t xml:space="preserve"> 安徽省宿州市立医院 </w:t>
      </w:r>
    </w:p>
    <w:p w14:paraId="1CCBBF19">
      <w:pPr>
        <w:tabs>
          <w:tab w:val="left" w:pos="2410"/>
        </w:tabs>
        <w:autoSpaceDE w:val="0"/>
        <w:autoSpaceDN w:val="0"/>
        <w:adjustRightInd w:val="0"/>
        <w:snapToGrid w:val="0"/>
        <w:spacing w:line="360" w:lineRule="auto"/>
        <w:rPr>
          <w:rFonts w:hint="default" w:ascii="宋体" w:hAnsi="宋体" w:eastAsia="宋体"/>
          <w:b/>
          <w:color w:val="auto"/>
          <w:spacing w:val="20"/>
          <w:kern w:val="0"/>
          <w:sz w:val="28"/>
          <w:szCs w:val="28"/>
          <w:highlight w:val="none"/>
          <w:lang w:val="en-US"/>
        </w:rPr>
      </w:pPr>
      <w:r>
        <w:rPr>
          <w:rFonts w:hint="eastAsia" w:ascii="宋体" w:hAnsi="宋体" w:eastAsia="宋体"/>
          <w:b/>
          <w:color w:val="auto"/>
          <w:spacing w:val="20"/>
          <w:kern w:val="0"/>
          <w:sz w:val="28"/>
          <w:szCs w:val="28"/>
          <w:highlight w:val="none"/>
        </w:rPr>
        <w:t>采购代理机构：</w:t>
      </w:r>
      <w:r>
        <w:rPr>
          <w:rFonts w:hint="eastAsia" w:ascii="宋体" w:hAnsi="宋体" w:eastAsia="宋体"/>
          <w:b/>
          <w:color w:val="auto"/>
          <w:spacing w:val="20"/>
          <w:kern w:val="0"/>
          <w:sz w:val="28"/>
          <w:szCs w:val="28"/>
          <w:highlight w:val="none"/>
          <w:u w:val="single"/>
          <w:lang w:val="en-US" w:eastAsia="zh-CN"/>
        </w:rPr>
        <w:t xml:space="preserve"> 安徽中技工程咨询有限公司 </w:t>
      </w:r>
    </w:p>
    <w:p w14:paraId="5681EA1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5BFF3AC">
      <w:pPr>
        <w:tabs>
          <w:tab w:val="left" w:pos="2410"/>
        </w:tabs>
        <w:autoSpaceDE w:val="0"/>
        <w:autoSpaceDN w:val="0"/>
        <w:adjustRightInd w:val="0"/>
        <w:snapToGrid w:val="0"/>
        <w:spacing w:line="360" w:lineRule="auto"/>
        <w:jc w:val="center"/>
        <w:rPr>
          <w:rFonts w:hint="eastAsia" w:ascii="宋体" w:hAnsi="宋体" w:eastAsia="宋体"/>
          <w:b/>
          <w:color w:val="auto"/>
          <w:sz w:val="32"/>
          <w:szCs w:val="18"/>
          <w:highlight w:val="none"/>
        </w:rPr>
      </w:pPr>
      <w:r>
        <w:rPr>
          <w:rFonts w:hint="eastAsia" w:ascii="宋体" w:hAnsi="宋体" w:eastAsia="宋体"/>
          <w:b/>
          <w:color w:val="auto"/>
          <w:sz w:val="32"/>
          <w:szCs w:val="18"/>
          <w:highlight w:val="none"/>
          <w:u w:val="single"/>
        </w:rPr>
        <w:t xml:space="preserve"> </w:t>
      </w:r>
      <w:r>
        <w:rPr>
          <w:rFonts w:hint="eastAsia" w:ascii="宋体" w:hAnsi="宋体" w:eastAsia="宋体"/>
          <w:b/>
          <w:color w:val="auto"/>
          <w:sz w:val="32"/>
          <w:szCs w:val="18"/>
          <w:highlight w:val="none"/>
          <w:u w:val="single"/>
          <w:lang w:val="en-US" w:eastAsia="zh-CN"/>
        </w:rPr>
        <w:t>2026</w:t>
      </w:r>
      <w:r>
        <w:rPr>
          <w:rFonts w:hint="eastAsia" w:ascii="宋体" w:hAnsi="宋体" w:eastAsia="宋体"/>
          <w:b/>
          <w:color w:val="auto"/>
          <w:sz w:val="32"/>
          <w:szCs w:val="18"/>
          <w:highlight w:val="none"/>
          <w:u w:val="single"/>
        </w:rPr>
        <w:t xml:space="preserve"> </w:t>
      </w:r>
      <w:r>
        <w:rPr>
          <w:rFonts w:hint="eastAsia" w:ascii="宋体" w:hAnsi="宋体" w:eastAsia="宋体"/>
          <w:b/>
          <w:color w:val="auto"/>
          <w:sz w:val="32"/>
          <w:szCs w:val="18"/>
          <w:highlight w:val="none"/>
        </w:rPr>
        <w:t>年</w:t>
      </w:r>
      <w:r>
        <w:rPr>
          <w:rFonts w:hint="eastAsia" w:ascii="宋体" w:hAnsi="宋体" w:eastAsia="宋体"/>
          <w:b/>
          <w:color w:val="auto"/>
          <w:sz w:val="32"/>
          <w:szCs w:val="18"/>
          <w:highlight w:val="none"/>
          <w:u w:val="single"/>
        </w:rPr>
        <w:t xml:space="preserve"> </w:t>
      </w:r>
      <w:r>
        <w:rPr>
          <w:rFonts w:hint="eastAsia" w:ascii="宋体" w:hAnsi="宋体" w:eastAsia="宋体"/>
          <w:b/>
          <w:color w:val="auto"/>
          <w:sz w:val="32"/>
          <w:szCs w:val="18"/>
          <w:highlight w:val="none"/>
          <w:u w:val="single"/>
          <w:lang w:val="en-US" w:eastAsia="zh-CN"/>
        </w:rPr>
        <w:t xml:space="preserve">08 </w:t>
      </w:r>
      <w:r>
        <w:rPr>
          <w:rFonts w:hint="eastAsia" w:ascii="宋体" w:hAnsi="宋体" w:eastAsia="宋体"/>
          <w:b/>
          <w:color w:val="auto"/>
          <w:sz w:val="32"/>
          <w:szCs w:val="18"/>
          <w:highlight w:val="none"/>
        </w:rPr>
        <w:t>月</w:t>
      </w:r>
    </w:p>
    <w:p w14:paraId="33E1F0EF">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6908259D">
      <w:pPr>
        <w:pStyle w:val="16"/>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_Toc23443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eastAsiaTheme="minorEastAsia"/>
          <w:color w:val="auto"/>
          <w:szCs w:val="24"/>
          <w:highlight w:val="none"/>
        </w:rPr>
        <w:fldChar w:fldCharType="end"/>
      </w:r>
    </w:p>
    <w:p w14:paraId="38C6091F">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_Toc31935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_Toc31935 \h </w:instrText>
      </w:r>
      <w:r>
        <w:rPr>
          <w:color w:val="auto"/>
          <w:highlight w:val="none"/>
        </w:rPr>
        <w:fldChar w:fldCharType="separate"/>
      </w:r>
      <w:r>
        <w:rPr>
          <w:color w:val="auto"/>
          <w:highlight w:val="none"/>
        </w:rPr>
        <w:t>6</w:t>
      </w:r>
      <w:r>
        <w:rPr>
          <w:color w:val="auto"/>
          <w:highlight w:val="none"/>
        </w:rPr>
        <w:fldChar w:fldCharType="end"/>
      </w:r>
      <w:r>
        <w:rPr>
          <w:rFonts w:asciiTheme="minorEastAsia" w:hAnsiTheme="minorEastAsia" w:eastAsiaTheme="minorEastAsia"/>
          <w:color w:val="auto"/>
          <w:szCs w:val="24"/>
          <w:highlight w:val="none"/>
        </w:rPr>
        <w:fldChar w:fldCharType="end"/>
      </w:r>
    </w:p>
    <w:p w14:paraId="540DF2B9">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_Toc10891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_Toc10891 \h </w:instrText>
      </w:r>
      <w:r>
        <w:rPr>
          <w:color w:val="auto"/>
          <w:highlight w:val="none"/>
        </w:rPr>
        <w:fldChar w:fldCharType="separate"/>
      </w:r>
      <w:r>
        <w:rPr>
          <w:color w:val="auto"/>
          <w:highlight w:val="none"/>
        </w:rPr>
        <w:t>21</w:t>
      </w:r>
      <w:r>
        <w:rPr>
          <w:color w:val="auto"/>
          <w:highlight w:val="none"/>
        </w:rPr>
        <w:fldChar w:fldCharType="end"/>
      </w:r>
      <w:r>
        <w:rPr>
          <w:rFonts w:asciiTheme="minorEastAsia" w:hAnsiTheme="minorEastAsia" w:eastAsiaTheme="minorEastAsia"/>
          <w:color w:val="auto"/>
          <w:szCs w:val="24"/>
          <w:highlight w:val="none"/>
        </w:rPr>
        <w:fldChar w:fldCharType="end"/>
      </w:r>
    </w:p>
    <w:p w14:paraId="2309FF48">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_Toc16417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26</w:t>
      </w:r>
      <w:r>
        <w:rPr>
          <w:color w:val="auto"/>
          <w:highlight w:val="none"/>
        </w:rPr>
        <w:fldChar w:fldCharType="end"/>
      </w:r>
      <w:r>
        <w:rPr>
          <w:rFonts w:asciiTheme="minorEastAsia" w:hAnsiTheme="minorEastAsia" w:eastAsiaTheme="minorEastAsia"/>
          <w:color w:val="auto"/>
          <w:szCs w:val="24"/>
          <w:highlight w:val="none"/>
        </w:rPr>
        <w:fldChar w:fldCharType="end"/>
      </w:r>
    </w:p>
    <w:p w14:paraId="59DCF857">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_Toc4682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采购合同</w:t>
      </w:r>
      <w:r>
        <w:rPr>
          <w:color w:val="auto"/>
          <w:highlight w:val="none"/>
        </w:rPr>
        <w:tab/>
      </w:r>
      <w:r>
        <w:rPr>
          <w:color w:val="auto"/>
          <w:highlight w:val="none"/>
        </w:rPr>
        <w:fldChar w:fldCharType="begin"/>
      </w:r>
      <w:r>
        <w:rPr>
          <w:color w:val="auto"/>
          <w:highlight w:val="none"/>
        </w:rPr>
        <w:instrText xml:space="preserve"> PAGEREF _Toc4682 \h </w:instrText>
      </w:r>
      <w:r>
        <w:rPr>
          <w:color w:val="auto"/>
          <w:highlight w:val="none"/>
        </w:rPr>
        <w:fldChar w:fldCharType="separate"/>
      </w:r>
      <w:r>
        <w:rPr>
          <w:color w:val="auto"/>
          <w:highlight w:val="none"/>
        </w:rPr>
        <w:t>33</w:t>
      </w:r>
      <w:r>
        <w:rPr>
          <w:color w:val="auto"/>
          <w:highlight w:val="none"/>
        </w:rPr>
        <w:fldChar w:fldCharType="end"/>
      </w:r>
      <w:r>
        <w:rPr>
          <w:rFonts w:asciiTheme="minorEastAsia" w:hAnsiTheme="minorEastAsia" w:eastAsiaTheme="minorEastAsia"/>
          <w:color w:val="auto"/>
          <w:szCs w:val="24"/>
          <w:highlight w:val="none"/>
        </w:rPr>
        <w:fldChar w:fldCharType="end"/>
      </w:r>
    </w:p>
    <w:p w14:paraId="3A96B3E5">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_Toc22492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_Toc22492 \h </w:instrText>
      </w:r>
      <w:r>
        <w:rPr>
          <w:color w:val="auto"/>
          <w:highlight w:val="none"/>
        </w:rPr>
        <w:fldChar w:fldCharType="separate"/>
      </w:r>
      <w:r>
        <w:rPr>
          <w:color w:val="auto"/>
          <w:highlight w:val="none"/>
        </w:rPr>
        <w:t>52</w:t>
      </w:r>
      <w:r>
        <w:rPr>
          <w:color w:val="auto"/>
          <w:highlight w:val="none"/>
        </w:rPr>
        <w:fldChar w:fldCharType="end"/>
      </w:r>
      <w:r>
        <w:rPr>
          <w:rFonts w:asciiTheme="minorEastAsia" w:hAnsiTheme="minorEastAsia" w:eastAsiaTheme="minorEastAsia"/>
          <w:color w:val="auto"/>
          <w:szCs w:val="24"/>
          <w:highlight w:val="none"/>
        </w:rPr>
        <w:fldChar w:fldCharType="end"/>
      </w:r>
    </w:p>
    <w:p w14:paraId="5E839302">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_Toc18131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_Toc18131 \h </w:instrText>
      </w:r>
      <w:r>
        <w:rPr>
          <w:color w:val="auto"/>
          <w:highlight w:val="none"/>
        </w:rPr>
        <w:fldChar w:fldCharType="separate"/>
      </w:r>
      <w:r>
        <w:rPr>
          <w:color w:val="auto"/>
          <w:highlight w:val="none"/>
        </w:rPr>
        <w:t>64</w:t>
      </w:r>
      <w:r>
        <w:rPr>
          <w:color w:val="auto"/>
          <w:highlight w:val="none"/>
        </w:rPr>
        <w:fldChar w:fldCharType="end"/>
      </w:r>
      <w:r>
        <w:rPr>
          <w:rFonts w:asciiTheme="minorEastAsia" w:hAnsiTheme="minorEastAsia" w:eastAsiaTheme="minorEastAsia"/>
          <w:color w:val="auto"/>
          <w:szCs w:val="24"/>
          <w:highlight w:val="none"/>
        </w:rPr>
        <w:fldChar w:fldCharType="end"/>
      </w:r>
    </w:p>
    <w:p w14:paraId="1FCBC0B8">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1176B55F">
      <w:pPr>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br w:type="page"/>
      </w:r>
    </w:p>
    <w:p w14:paraId="5720CCCC">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67B94087">
      <w:pPr>
        <w:spacing w:line="360" w:lineRule="auto"/>
        <w:ind w:firstLine="437"/>
        <w:outlineLvl w:val="1"/>
        <w:rPr>
          <w:rFonts w:hint="eastAsia"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6CF39A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p>
    <w:p w14:paraId="5CDF36A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宿州市立医院多导睡眠记录仪采购项目</w:t>
      </w:r>
      <w:r>
        <w:rPr>
          <w:rFonts w:ascii="宋体" w:hAnsi="宋体" w:eastAsia="宋体"/>
          <w:color w:val="auto"/>
          <w:sz w:val="24"/>
          <w:szCs w:val="18"/>
          <w:highlight w:val="none"/>
          <w:u w:val="single"/>
        </w:rPr>
        <w:t xml:space="preserve">         </w:t>
      </w:r>
    </w:p>
    <w:p w14:paraId="0286646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320000元</w:t>
      </w:r>
      <w:r>
        <w:rPr>
          <w:rFonts w:ascii="宋体" w:hAnsi="宋体" w:eastAsia="宋体"/>
          <w:color w:val="auto"/>
          <w:sz w:val="24"/>
          <w:szCs w:val="18"/>
          <w:highlight w:val="none"/>
          <w:u w:val="single"/>
        </w:rPr>
        <w:t xml:space="preserve">         </w:t>
      </w:r>
    </w:p>
    <w:p w14:paraId="747D5EE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320000元</w:t>
      </w:r>
      <w:r>
        <w:rPr>
          <w:rFonts w:ascii="宋体" w:hAnsi="宋体" w:eastAsia="宋体"/>
          <w:color w:val="auto"/>
          <w:sz w:val="24"/>
          <w:szCs w:val="18"/>
          <w:highlight w:val="none"/>
          <w:u w:val="single"/>
        </w:rPr>
        <w:t xml:space="preserve">          </w:t>
      </w:r>
    </w:p>
    <w:p w14:paraId="1FF7CDA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采购一套</w:t>
      </w:r>
      <w:r>
        <w:rPr>
          <w:rFonts w:hint="eastAsia" w:ascii="宋体" w:hAnsi="宋体" w:eastAsia="宋体"/>
          <w:color w:val="auto"/>
          <w:sz w:val="24"/>
          <w:szCs w:val="18"/>
          <w:highlight w:val="none"/>
          <w:u w:val="single"/>
          <w:lang w:eastAsia="zh-CN"/>
        </w:rPr>
        <w:t>多导睡眠记录仪，</w:t>
      </w:r>
      <w:r>
        <w:rPr>
          <w:rFonts w:hint="eastAsia" w:ascii="宋体" w:hAnsi="宋体" w:eastAsia="宋体"/>
          <w:color w:val="auto"/>
          <w:sz w:val="24"/>
          <w:szCs w:val="18"/>
          <w:highlight w:val="none"/>
          <w:u w:val="single"/>
          <w:lang w:val="en-US" w:eastAsia="zh-CN"/>
        </w:rPr>
        <w:t>详见第三章 采购需求。</w:t>
      </w:r>
      <w:r>
        <w:rPr>
          <w:rFonts w:ascii="宋体" w:hAnsi="宋体" w:eastAsia="宋体"/>
          <w:color w:val="auto"/>
          <w:sz w:val="24"/>
          <w:szCs w:val="18"/>
          <w:highlight w:val="none"/>
          <w:u w:val="single"/>
        </w:rPr>
        <w:t xml:space="preserve">        </w:t>
      </w:r>
    </w:p>
    <w:p w14:paraId="1A0D76F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合同签订后30日内</w:t>
      </w:r>
      <w:r>
        <w:rPr>
          <w:rFonts w:hint="eastAsia" w:ascii="宋体" w:hAnsi="宋体" w:eastAsia="宋体"/>
          <w:color w:val="auto"/>
          <w:sz w:val="24"/>
          <w:szCs w:val="18"/>
          <w:highlight w:val="none"/>
          <w:u w:val="single"/>
          <w:lang w:val="en-US" w:eastAsia="zh-CN"/>
        </w:rPr>
        <w:t>完成供货、安装及调试</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p>
    <w:p w14:paraId="22848A5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接受联合体投标。</w:t>
      </w:r>
    </w:p>
    <w:p w14:paraId="07547E18">
      <w:pPr>
        <w:spacing w:line="360" w:lineRule="auto"/>
        <w:ind w:firstLine="437"/>
        <w:outlineLvl w:val="1"/>
        <w:rPr>
          <w:rFonts w:hint="eastAsia"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60D53DFB">
      <w:pPr>
        <w:spacing w:line="360" w:lineRule="auto"/>
        <w:ind w:firstLine="435"/>
        <w:rPr>
          <w:rFonts w:hint="eastAsia" w:asciiTheme="minorEastAsia" w:hAnsiTheme="minorEastAsia" w:eastAsiaTheme="minorEastAsia"/>
          <w:color w:val="auto"/>
          <w:sz w:val="24"/>
          <w:highlight w:val="none"/>
        </w:rPr>
      </w:pPr>
      <w:bookmarkStart w:id="6" w:name="_Toc30110"/>
      <w:bookmarkStart w:id="7" w:name="_Toc32089"/>
      <w:r>
        <w:rPr>
          <w:rFonts w:hint="eastAsia" w:asciiTheme="minorEastAsia" w:hAnsiTheme="minorEastAsia" w:eastAsiaTheme="minorEastAsia"/>
          <w:color w:val="auto"/>
          <w:sz w:val="24"/>
          <w:highlight w:val="none"/>
        </w:rPr>
        <w:t>1.满足《中华人民共和国政府采购法》第二十二条规定；</w:t>
      </w:r>
    </w:p>
    <w:p w14:paraId="2B336F4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2.本项目的特定资格要求：</w:t>
      </w:r>
    </w:p>
    <w:p w14:paraId="0DA8474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如是依法纳入医疗器械管理的投标产品须满足以下条件：</w:t>
      </w:r>
    </w:p>
    <w:p w14:paraId="1884F3E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（1）中国境内（不含港、澳、台地区）制造商参与投标时，应具有投标产品相应有效的医疗器械生产许可证（适用第二类和第三类医疗器械）。</w:t>
      </w:r>
    </w:p>
    <w:p w14:paraId="071A030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（2）投标人应具有投标产品相应有效的医疗器械经营许可证（适用第三类医疗器械）或医疗器械经营备案凭证（适用第二类医疗器械）。</w:t>
      </w:r>
    </w:p>
    <w:p w14:paraId="0B1BBE3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投标无效。”（由采购人或者采购代理机构现场核查投标人信用情况）</w:t>
      </w:r>
    </w:p>
    <w:p w14:paraId="037205D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注：“有效”是指“情形”规定的程度、起止期间处于有效状态。</w:t>
      </w:r>
    </w:p>
    <w:p w14:paraId="3C4AAEE9">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372AB798">
      <w:pPr>
        <w:spacing w:line="360" w:lineRule="auto"/>
        <w:ind w:firstLine="540"/>
        <w:rPr>
          <w:rFonts w:hint="eastAsia" w:ascii="宋体" w:hAnsi="宋体" w:eastAsia="宋体" w:cs="宋体"/>
          <w:color w:val="auto"/>
          <w:sz w:val="24"/>
          <w:szCs w:val="24"/>
          <w:highlight w:val="none"/>
          <w:u w:val="single"/>
          <w:lang w:val="en-US" w:eastAsia="zh-CN"/>
        </w:rPr>
      </w:pPr>
      <w:bookmarkStart w:id="8" w:name="_Toc7957"/>
      <w:r>
        <w:rPr>
          <w:rFonts w:hint="eastAsia" w:asciiTheme="minorEastAsia" w:hAnsiTheme="minorEastAsia" w:eastAsiaTheme="minorEastAsia" w:cstheme="minorEastAsia"/>
          <w:color w:val="auto"/>
          <w:sz w:val="24"/>
          <w:szCs w:val="24"/>
          <w:highlight w:val="none"/>
        </w:rPr>
        <w:t>时间：</w:t>
      </w:r>
      <w:r>
        <w:rPr>
          <w:rFonts w:hint="eastAsia" w:ascii="宋体" w:hAnsi="宋体" w:eastAsia="宋体" w:cs="宋体"/>
          <w:color w:val="auto"/>
          <w:sz w:val="24"/>
          <w:szCs w:val="24"/>
          <w:highlight w:val="none"/>
          <w:u w:val="single"/>
          <w:lang w:val="en-US" w:eastAsia="zh-CN"/>
        </w:rPr>
        <w:t>自公告发布之日至2026年 月 日09:00</w:t>
      </w:r>
    </w:p>
    <w:p w14:paraId="3A609FE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bookmarkStart w:id="9" w:name="_Toc19726"/>
      <w:r>
        <w:rPr>
          <w:rFonts w:hint="eastAsia" w:asciiTheme="minorEastAsia" w:hAnsiTheme="minorEastAsia" w:eastAsiaTheme="minorEastAsia" w:cstheme="minorEastAsia"/>
          <w:color w:val="auto"/>
          <w:sz w:val="24"/>
          <w:szCs w:val="24"/>
          <w:highlight w:val="none"/>
          <w:u w:val="none"/>
        </w:rPr>
        <w:t>地点：网上获取。</w:t>
      </w:r>
    </w:p>
    <w:p w14:paraId="065D6C4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 xml:space="preserve">方式：（1）凡有意参加投标者，在招标文件获取时间范围内均可在宿州市公共资源交易中心新版交易系统会员端登录地址（网址：http://60.171.247.212:8111/TPBidder/memberLogin）交易平台登录处进行用户登记，登记为供应商后使用CA锁登录进入宿州市公共资源交易系统，进入系统—》招标公告列表—》筛选项目类型为“采购”—》选中相应项目公告—》点击“文件下载”下载获取招标文件，也可以通过输入标段包编号，在关键字中搜索，找到需要投标的标段。（详细操作流程：详见本公告附件《投标单位操作手册7.1.40.5版本》），并请随时关注网站答疑澄清。（用户登记操作及审核联系电话：0557-3030327） </w:t>
      </w:r>
    </w:p>
    <w:p w14:paraId="010C310A">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（2）请在招标文件获取时间范围内下载获取招标文件，逾期系统将自动关闭，无法下载招标文件。</w:t>
      </w:r>
    </w:p>
    <w:p w14:paraId="4286E9C9">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（3）潜在投标人应合理安排时间，尽量避开开标前等可能存在的高峰期。</w:t>
      </w:r>
    </w:p>
    <w:p w14:paraId="3D37B71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none"/>
        </w:rPr>
        <w:t>售价：每套人民币0元整，招标文件售后不退。</w:t>
      </w:r>
    </w:p>
    <w:p w14:paraId="2C8EDA0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6EC81AB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zh-CN" w:eastAsia="zh-CN"/>
        </w:rPr>
      </w:pPr>
      <w:bookmarkStart w:id="10" w:name="_Toc5082"/>
      <w:r>
        <w:rPr>
          <w:rFonts w:hint="eastAsia" w:ascii="宋体" w:hAnsi="宋体" w:eastAsia="宋体" w:cs="宋体"/>
          <w:color w:val="auto"/>
          <w:sz w:val="24"/>
          <w:szCs w:val="24"/>
          <w:highlight w:val="none"/>
          <w:lang w:val="zh-CN" w:eastAsia="zh-CN"/>
        </w:rPr>
        <w:t>截止时间：</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lang w:val="zh-CN" w:eastAsia="zh-CN"/>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zh-CN"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zh-CN" w:eastAsia="zh-CN"/>
        </w:rPr>
        <w:t>日</w:t>
      </w:r>
      <w:r>
        <w:rPr>
          <w:rFonts w:hint="eastAsia" w:ascii="宋体" w:hAnsi="宋体" w:eastAsia="宋体" w:cs="宋体"/>
          <w:color w:val="auto"/>
          <w:sz w:val="24"/>
          <w:szCs w:val="24"/>
          <w:highlight w:val="none"/>
          <w:u w:val="single"/>
          <w:lang w:val="en-US" w:eastAsia="zh-CN"/>
        </w:rPr>
        <w:t>09</w:t>
      </w:r>
      <w:r>
        <w:rPr>
          <w:rFonts w:hint="eastAsia" w:ascii="宋体" w:hAnsi="宋体" w:eastAsia="宋体" w:cs="宋体"/>
          <w:color w:val="auto"/>
          <w:sz w:val="24"/>
          <w:szCs w:val="24"/>
          <w:highlight w:val="none"/>
          <w:u w:val="single"/>
          <w:lang w:val="zh-CN" w:eastAsia="zh-CN"/>
        </w:rPr>
        <w:t>点</w:t>
      </w:r>
      <w:r>
        <w:rPr>
          <w:rFonts w:hint="eastAsia" w:ascii="宋体" w:hAnsi="宋体" w:eastAsia="宋体" w:cs="宋体"/>
          <w:color w:val="auto"/>
          <w:sz w:val="24"/>
          <w:szCs w:val="24"/>
          <w:highlight w:val="none"/>
          <w:u w:val="single"/>
          <w:lang w:val="en-US" w:eastAsia="zh-CN"/>
        </w:rPr>
        <w:t>00</w:t>
      </w:r>
      <w:r>
        <w:rPr>
          <w:rFonts w:hint="eastAsia" w:ascii="宋体" w:hAnsi="宋体" w:eastAsia="宋体" w:cs="宋体"/>
          <w:color w:val="auto"/>
          <w:sz w:val="24"/>
          <w:szCs w:val="24"/>
          <w:highlight w:val="none"/>
          <w:u w:val="single"/>
          <w:lang w:val="zh-CN" w:eastAsia="zh-CN"/>
        </w:rPr>
        <w:t>分（北京时间）</w:t>
      </w:r>
    </w:p>
    <w:p w14:paraId="58F59AF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地点：宿州市公共资源交易中心第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室，因本项目实行全流程电子化交易，供应商原则上不到现场参与交易活动，将通过在线视频直播。供应商可通过登录宿州市公共资源交易网（http://ggzyjy.ahsz.gov.cn/szfront/）点击进入不见面开标大厅观看开标直播。具体操作详见公告附件或宿州市公共资源交易网上的关于《宿州不见面开标大厅操作视频及常见问题》的操作指南。</w:t>
      </w:r>
    </w:p>
    <w:p w14:paraId="2519072A">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注：本项目通过宿州不见面开标大厅直播，无直播二维码。</w:t>
      </w:r>
    </w:p>
    <w:p w14:paraId="5E0C0E8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65085C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565A103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3" w:name="_Toc35393626"/>
      <w:bookmarkStart w:id="14" w:name="_Toc35393795"/>
      <w:bookmarkStart w:id="15" w:name="_Toc8807"/>
      <w:r>
        <w:rPr>
          <w:rFonts w:hint="eastAsia" w:ascii="宋体" w:hAnsi="宋体" w:eastAsia="宋体"/>
          <w:b/>
          <w:bCs/>
          <w:color w:val="auto"/>
          <w:sz w:val="24"/>
          <w:szCs w:val="18"/>
          <w:highlight w:val="none"/>
        </w:rPr>
        <w:t>六、其他补充事宜</w:t>
      </w:r>
      <w:bookmarkEnd w:id="13"/>
      <w:bookmarkEnd w:id="14"/>
      <w:bookmarkEnd w:id="15"/>
    </w:p>
    <w:bookmarkEnd w:id="12"/>
    <w:p w14:paraId="7E9218CF">
      <w:pPr>
        <w:spacing w:line="360" w:lineRule="auto"/>
        <w:ind w:firstLine="480" w:firstLineChars="200"/>
        <w:rPr>
          <w:rFonts w:hint="eastAsia" w:ascii="宋体" w:hAnsi="宋体" w:eastAsia="宋体" w:cs="宋体"/>
          <w:color w:val="auto"/>
          <w:sz w:val="24"/>
          <w:szCs w:val="24"/>
          <w:highlight w:val="none"/>
          <w:lang w:val="en-US" w:eastAsia="zh-CN"/>
        </w:rPr>
      </w:pPr>
      <w:bookmarkStart w:id="16" w:name="_Toc7265"/>
      <w:bookmarkStart w:id="17" w:name="_Toc3854"/>
      <w:r>
        <w:rPr>
          <w:rFonts w:hint="eastAsia" w:ascii="宋体" w:hAnsi="宋体" w:eastAsia="宋体" w:cs="宋体"/>
          <w:color w:val="auto"/>
          <w:sz w:val="24"/>
          <w:szCs w:val="24"/>
          <w:highlight w:val="none"/>
          <w:lang w:val="en-US" w:eastAsia="zh-CN"/>
        </w:rPr>
        <w:t>1、本招标项目电子投标文件的解密采用远程方式进行，投标人须在规定的时间内对其加密的电子投标文件进行解密，请提前登录系统，按《不见面开标大厅-投标人操作手册》提供的方法操作。解密时间不超过开始解密时间 30 分钟，若超过 30 分钟视为解密失败，按无效处理</w:t>
      </w:r>
    </w:p>
    <w:p w14:paraId="19D30639">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2、本招标项目的询标、澄清等程序均采用远程方式进行，请各投标人在评审结束前不要离开电脑，按《投标人操作手册》提供的方法操作，询标响应时间不超过询标发起后 15 分钟，若超过 15 分钟，视为放弃解释权力，评委按不利于投标人解释处理。</w:t>
      </w:r>
    </w:p>
    <w:p w14:paraId="6F083814">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lang w:val="en-US" w:eastAsia="zh-CN"/>
        </w:rPr>
        <w:t>投标人自身原因导致解密失败的，风险由投标人自行承担。因投标人没有及时登录系统、未完成远程网上解密、询标、澄清等环节导致无法接受评审委员会评审等情形的风险，由投标人自行承担。</w:t>
      </w:r>
    </w:p>
    <w:p w14:paraId="1A07881E">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53387FF1">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1.采购人信息</w:t>
      </w:r>
    </w:p>
    <w:p w14:paraId="3862CC25">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称：安徽省宿州市立医院</w:t>
      </w:r>
    </w:p>
    <w:p w14:paraId="460FE428">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址：宿州市汴阳三路616号</w:t>
      </w:r>
    </w:p>
    <w:p w14:paraId="266381CD">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 系 人：王老师</w:t>
      </w:r>
    </w:p>
    <w:p w14:paraId="557BBFF4">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联系方式：15155780921</w:t>
      </w:r>
    </w:p>
    <w:p w14:paraId="60545BEA">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2.采购代理机构信息</w:t>
      </w:r>
    </w:p>
    <w:p w14:paraId="6E78C701">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称：安徽中技工程咨询有限公司</w:t>
      </w:r>
    </w:p>
    <w:p w14:paraId="5A77F2FD">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址：安徽省合肥市高新区长宁社区服务中心合肥软件园一期A3栋A3-613室</w:t>
      </w:r>
    </w:p>
    <w:p w14:paraId="795E74D2">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项目联系人：王俊烈、李少明</w:t>
      </w:r>
    </w:p>
    <w:p w14:paraId="59470A4E">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      话：17755795622、15656186680</w:t>
      </w:r>
    </w:p>
    <w:p w14:paraId="6D4B7F7C">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3.采购监督管理部门信息</w:t>
      </w:r>
    </w:p>
    <w:p w14:paraId="0C4BADD4">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w:t>
      </w:r>
      <w:r>
        <w:rPr>
          <w:rFonts w:hint="default" w:ascii="宋体" w:hAnsi="宋体" w:eastAsia="宋体" w:cs="宋体"/>
          <w:color w:val="auto"/>
          <w:sz w:val="24"/>
          <w:szCs w:val="24"/>
          <w:highlight w:val="none"/>
          <w:lang w:val="en-US" w:eastAsia="zh-CN"/>
        </w:rPr>
        <w:t>宿州市卫生健康委员会</w:t>
      </w:r>
      <w:r>
        <w:rPr>
          <w:rFonts w:hint="eastAsia" w:ascii="宋体" w:hAnsi="宋体" w:eastAsia="宋体" w:cs="宋体"/>
          <w:color w:val="auto"/>
          <w:sz w:val="24"/>
          <w:szCs w:val="24"/>
          <w:highlight w:val="none"/>
          <w:lang w:val="en-US" w:eastAsia="zh-CN"/>
        </w:rPr>
        <w:t>     </w:t>
      </w:r>
    </w:p>
    <w:p w14:paraId="206A7615">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default" w:ascii="宋体" w:hAnsi="宋体" w:eastAsia="宋体" w:cs="宋体"/>
          <w:color w:val="auto"/>
          <w:sz w:val="24"/>
          <w:szCs w:val="24"/>
          <w:highlight w:val="none"/>
          <w:lang w:val="en-US" w:eastAsia="zh-CN"/>
        </w:rPr>
        <w:t>安徽省宿州市埇桥区银河一路 530 号</w:t>
      </w:r>
      <w:r>
        <w:rPr>
          <w:rFonts w:hint="eastAsia" w:ascii="宋体" w:hAnsi="宋体" w:eastAsia="宋体" w:cs="宋体"/>
          <w:color w:val="auto"/>
          <w:sz w:val="24"/>
          <w:szCs w:val="24"/>
          <w:highlight w:val="none"/>
          <w:lang w:val="en-US" w:eastAsia="zh-CN"/>
        </w:rPr>
        <w:t> </w:t>
      </w:r>
    </w:p>
    <w:p w14:paraId="6E44BB6D">
      <w:pPr>
        <w:spacing w:line="360" w:lineRule="auto"/>
        <w:ind w:firstLine="480" w:firstLineChars="200"/>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联系方式：</w:t>
      </w:r>
      <w:r>
        <w:rPr>
          <w:rFonts w:hint="default" w:ascii="宋体" w:hAnsi="宋体" w:eastAsia="宋体" w:cs="宋体"/>
          <w:color w:val="auto"/>
          <w:sz w:val="24"/>
          <w:szCs w:val="24"/>
          <w:highlight w:val="none"/>
          <w:lang w:val="en-US" w:eastAsia="zh-CN"/>
        </w:rPr>
        <w:t>0557-3040047</w:t>
      </w: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1C2B44DB">
      <w:pPr>
        <w:spacing w:line="360" w:lineRule="auto"/>
        <w:jc w:val="center"/>
        <w:outlineLvl w:val="1"/>
        <w:rPr>
          <w:rFonts w:asciiTheme="minorEastAsia" w:hAnsiTheme="minorEastAsia" w:eastAsiaTheme="minorEastAsia"/>
          <w:b/>
          <w:color w:val="auto"/>
          <w:sz w:val="24"/>
          <w:highlight w:val="none"/>
        </w:rPr>
      </w:pPr>
      <w:bookmarkStart w:id="19" w:name="_Toc7178"/>
      <w:bookmarkStart w:id="20"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2"/>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6F6B5C">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6B4D4B7D">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467D9BEB">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B3A31A">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2B65B3B9">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244" w:type="pct"/>
            <w:vAlign w:val="center"/>
          </w:tcPr>
          <w:p w14:paraId="3BA8AF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C0A8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43E4B47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6398A99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66C260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B94A396">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20AE6E">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6A4467E4">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06B28AA9">
            <w:pPr>
              <w:pStyle w:val="31"/>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23162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7D418D49">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05C2A4AD">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7D8B005F">
            <w:pPr>
              <w:pStyle w:val="31"/>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1E07874">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5E9DB8A">
            <w:pPr>
              <w:pStyle w:val="3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722B02D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278B6A">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49DD7E9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4DC007A3">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5EE5787">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65AB894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6280D24C">
            <w:pPr>
              <w:pStyle w:val="31"/>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30   </w:t>
            </w:r>
            <w:r>
              <w:rPr>
                <w:rFonts w:hint="eastAsia" w:ascii="宋体" w:hAnsi="宋体" w:eastAsia="宋体"/>
                <w:b w:val="0"/>
                <w:color w:val="auto"/>
                <w:sz w:val="24"/>
                <w:highlight w:val="none"/>
                <w:u w:val="none"/>
              </w:rPr>
              <w:t>分钟内</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5005F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096C4419">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7B7A520C">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0769FA36">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p w14:paraId="1C503B22">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lang w:val="en-US" w:eastAsia="zh-CN"/>
              </w:rPr>
              <w:t>评标委员会</w:t>
            </w:r>
            <w:r>
              <w:rPr>
                <w:rFonts w:hint="eastAsia" w:ascii="宋体" w:hAnsi="宋体" w:eastAsia="宋体"/>
                <w:b w:val="0"/>
                <w:bCs w:val="0"/>
                <w:color w:val="auto"/>
                <w:sz w:val="24"/>
                <w:highlight w:val="none"/>
              </w:rPr>
              <w:t>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54424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4361BC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CDCAA6">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30D5F75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2B1E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E497DCD">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17.3</w:t>
            </w:r>
          </w:p>
        </w:tc>
        <w:tc>
          <w:tcPr>
            <w:tcW w:w="2033" w:type="dxa"/>
            <w:vAlign w:val="center"/>
          </w:tcPr>
          <w:p w14:paraId="15751C7E">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报价扣除</w:t>
            </w:r>
          </w:p>
        </w:tc>
        <w:tc>
          <w:tcPr>
            <w:tcW w:w="5618" w:type="dxa"/>
            <w:vAlign w:val="center"/>
          </w:tcPr>
          <w:p w14:paraId="44A36561">
            <w:pPr>
              <w:keepNext w:val="0"/>
              <w:keepLines w:val="0"/>
              <w:widowControl/>
              <w:suppressLineNumbers w:val="0"/>
              <w:jc w:val="left"/>
              <w:rPr>
                <w:rFonts w:hint="eastAsia" w:ascii="宋体" w:hAnsi="宋体" w:eastAsia="宋体"/>
                <w:b w:val="0"/>
                <w:bCs w:val="0"/>
                <w:color w:val="auto"/>
                <w:sz w:val="24"/>
                <w:szCs w:val="24"/>
                <w:highlight w:val="none"/>
                <w:u w:val="none"/>
                <w:lang w:eastAsia="zh-CN"/>
              </w:rPr>
            </w:pPr>
            <w:r>
              <w:rPr>
                <w:rFonts w:hint="eastAsia" w:ascii="宋体" w:hAnsi="宋体" w:eastAsia="宋体" w:cs="宋体"/>
                <w:color w:val="auto"/>
                <w:kern w:val="0"/>
                <w:sz w:val="24"/>
                <w:szCs w:val="24"/>
                <w:highlight w:val="none"/>
                <w:lang w:val="en-US" w:eastAsia="zh-CN" w:bidi="ar"/>
              </w:rPr>
              <w:t>本项目不适用</w:t>
            </w:r>
          </w:p>
        </w:tc>
      </w:tr>
      <w:tr w14:paraId="0952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9CD649A">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033" w:type="dxa"/>
            <w:vAlign w:val="center"/>
          </w:tcPr>
          <w:p w14:paraId="610434D9">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本国产品价格扣</w:t>
            </w:r>
          </w:p>
          <w:p w14:paraId="10394DA8">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除</w:t>
            </w:r>
          </w:p>
        </w:tc>
        <w:tc>
          <w:tcPr>
            <w:tcW w:w="5618" w:type="dxa"/>
            <w:vAlign w:val="center"/>
          </w:tcPr>
          <w:p w14:paraId="5EC80D73">
            <w:pPr>
              <w:pStyle w:val="31"/>
              <w:widowControl w:val="0"/>
              <w:spacing w:before="0" w:beforeAutospacing="0" w:after="0" w:afterAutospacing="0" w:line="360" w:lineRule="auto"/>
              <w:jc w:val="both"/>
              <w:rPr>
                <w:rFonts w:hint="eastAsia" w:ascii="宋体" w:hAnsi="宋体" w:eastAsia="宋体"/>
                <w:b w:val="0"/>
                <w:bCs w:val="0"/>
                <w:color w:val="auto"/>
                <w:sz w:val="24"/>
                <w:szCs w:val="24"/>
                <w:highlight w:val="none"/>
                <w:u w:val="none"/>
                <w:lang w:eastAsia="zh-CN"/>
              </w:rPr>
            </w:pPr>
            <w:r>
              <w:rPr>
                <w:rFonts w:hint="eastAsia" w:ascii="宋体" w:hAnsi="宋体" w:eastAsia="宋体"/>
                <w:b w:val="0"/>
                <w:bCs w:val="0"/>
                <w:color w:val="auto"/>
                <w:sz w:val="24"/>
                <w:szCs w:val="24"/>
                <w:highlight w:val="none"/>
                <w:u w:val="none"/>
                <w:lang w:eastAsia="zh-CN"/>
              </w:rPr>
              <w:t>本项目不适用</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63C6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6422F33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5289A58C">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lang w:val="en-US" w:eastAsia="zh-CN"/>
              </w:rPr>
              <w:t xml:space="preserve">   1-3个     </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57674C">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4140DBC8">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2F27320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692662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4F1035C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3A99AF53">
            <w:pPr>
              <w:pStyle w:val="31"/>
              <w:widowControl w:val="0"/>
              <w:spacing w:before="0" w:beforeAutospacing="0" w:after="0" w:afterAutospacing="0" w:line="360" w:lineRule="auto"/>
              <w:jc w:val="both"/>
              <w:rPr>
                <w:rFonts w:hint="eastAsia" w:ascii="宋体" w:hAnsi="宋体" w:eastAsia="宋体"/>
                <w:b w:val="0"/>
                <w:bCs w:val="0"/>
                <w:color w:val="auto"/>
                <w:sz w:val="24"/>
                <w:szCs w:val="24"/>
                <w:highlight w:val="none"/>
                <w:lang w:eastAsia="zh-CN"/>
              </w:rPr>
            </w:pPr>
            <w:r>
              <w:rPr>
                <w:rFonts w:hint="eastAsia" w:ascii="宋体" w:hAnsi="宋体" w:eastAsia="宋体"/>
                <w:b w:val="0"/>
                <w:color w:val="auto"/>
                <w:sz w:val="24"/>
                <w:highlight w:val="none"/>
                <w:u w:val="none"/>
                <w:lang w:val="en-US" w:eastAsia="zh-CN"/>
              </w:rPr>
              <w:t>无</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5B88ED">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2999B215">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331BFCC4">
            <w:pPr>
              <w:pStyle w:val="31"/>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0FDD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66EEB43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063D6ABB">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p w14:paraId="661F44BA">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w:t>
            </w:r>
            <w:r>
              <w:rPr>
                <w:rFonts w:hint="eastAsia" w:asciiTheme="minorEastAsia" w:hAnsiTheme="minorEastAsia" w:eastAsiaTheme="minorEastAsia"/>
                <w:b w:val="0"/>
                <w:bCs w:val="0"/>
                <w:color w:val="auto"/>
                <w:kern w:val="2"/>
                <w:sz w:val="24"/>
                <w:szCs w:val="24"/>
                <w:highlight w:val="none"/>
                <w:u w:val="single"/>
                <w:lang w:val="en-US" w:eastAsia="zh-CN"/>
              </w:rPr>
              <w:t xml:space="preserve">     /       </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1FB940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033" w:type="dxa"/>
            <w:vAlign w:val="center"/>
          </w:tcPr>
          <w:p w14:paraId="0EDB326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618" w:type="dxa"/>
            <w:vAlign w:val="top"/>
          </w:tcPr>
          <w:p w14:paraId="5F0AED18">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02C8F5A3">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4DBD745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76A1B80">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24254FB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57966A7C">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D736C9F">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安徽省宿州市立医院 </w:t>
            </w:r>
            <w:r>
              <w:rPr>
                <w:rFonts w:hint="eastAsia" w:ascii="宋体" w:hAnsi="宋体" w:eastAsia="宋体"/>
                <w:bCs/>
                <w:color w:val="auto"/>
                <w:kern w:val="0"/>
                <w:sz w:val="24"/>
                <w:szCs w:val="28"/>
                <w:highlight w:val="none"/>
              </w:rPr>
              <w:t xml:space="preserve">              </w:t>
            </w:r>
          </w:p>
          <w:p w14:paraId="3CD760C6">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12126001040027226  </w:t>
            </w:r>
          </w:p>
          <w:p w14:paraId="56C66C18">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合同货物全部交货验收合格后，乙方提出申请后退还。 </w:t>
            </w:r>
          </w:p>
          <w:p w14:paraId="3F00082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注： </w:t>
            </w:r>
          </w:p>
          <w:p w14:paraId="73E258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（1）履约保证金因中标人原因导致交货期限延长的， </w:t>
            </w:r>
          </w:p>
          <w:p w14:paraId="1B5A41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其履约保证金有效期应相应延长。 </w:t>
            </w:r>
          </w:p>
          <w:p w14:paraId="00A72A6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（2）发生下列之一者，则不予退还履约保证金： </w:t>
            </w:r>
          </w:p>
          <w:p w14:paraId="32A1A6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①中标人发生违约行为而完全终止合同； </w:t>
            </w:r>
          </w:p>
          <w:p w14:paraId="2B6F7A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②中标人不履行实质性承诺。 </w:t>
            </w:r>
          </w:p>
          <w:p w14:paraId="48AC8E5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（3）履约保证金的退还或不予退还并不免除中标人对已交付合同货物的质量责任。</w:t>
            </w:r>
          </w:p>
          <w:p w14:paraId="0F85F270">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31F407F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61D600F9">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91C91A2">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1919AE48">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5DB05C9A">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（1）采购人与成交供应商应当自发出成交通知书之日起30日内签订合同。</w:t>
            </w:r>
          </w:p>
          <w:p w14:paraId="62D59618">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（2）采购人与成交供应商不得擅自变更合同。</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9C4D0DD">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1A987307">
            <w:pPr>
              <w:pStyle w:val="31"/>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563EFF97">
            <w:pPr>
              <w:pStyle w:val="62"/>
              <w:tabs>
                <w:tab w:val="left" w:pos="2213"/>
              </w:tabs>
              <w:spacing w:line="440" w:lineRule="atLeas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本项目采购代理服务费：代理服务费按照按计委计价格[2002]1980号文件和发改委发改价格 [2011]534号文件规定标准的60%，计取收费的计算基数为代理项目的中标金额，由中标人支付；</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成交供应商是否交纳采购代理服务费：☑是 □否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（1）供应商总报价中应考虑采购代理服务费；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（2）成交候选供应商被确定为成交供应商后，须在领取成交通知书之日起3个工作日内向</w:t>
            </w:r>
            <w:r>
              <w:rPr>
                <w:rFonts w:hint="eastAsia" w:ascii="宋体" w:hAnsi="宋体" w:eastAsia="宋体" w:cs="宋体"/>
                <w:color w:val="auto"/>
                <w:sz w:val="24"/>
                <w:szCs w:val="24"/>
                <w:highlight w:val="none"/>
                <w:lang w:eastAsia="zh-CN"/>
              </w:rPr>
              <w:t>安徽中技工程咨询有限公司</w:t>
            </w:r>
            <w:r>
              <w:rPr>
                <w:rFonts w:hint="eastAsia" w:ascii="宋体" w:hAnsi="宋体" w:eastAsia="宋体" w:cs="宋体"/>
                <w:color w:val="auto"/>
                <w:sz w:val="24"/>
                <w:szCs w:val="24"/>
                <w:highlight w:val="none"/>
              </w:rPr>
              <w:t>支付采购代理服务费。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（3）采购代理服务费以汇款形式支付；</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（4）成交供应商须在以下账户交纳采购代理服务费：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账户名：</w:t>
            </w:r>
            <w:r>
              <w:rPr>
                <w:rFonts w:hint="eastAsia" w:ascii="宋体" w:hAnsi="宋体" w:eastAsia="宋体" w:cs="宋体"/>
                <w:color w:val="auto"/>
                <w:sz w:val="24"/>
                <w:szCs w:val="24"/>
                <w:highlight w:val="none"/>
                <w:lang w:eastAsia="zh-CN"/>
              </w:rPr>
              <w:t>安徽中技工程咨询有限公司</w:t>
            </w:r>
          </w:p>
          <w:p w14:paraId="001F4FF1">
            <w:pPr>
              <w:pStyle w:val="62"/>
              <w:tabs>
                <w:tab w:val="left" w:pos="2213"/>
              </w:tabs>
              <w:spacing w:line="440" w:lineRule="atLeas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lang w:eastAsia="zh-CN"/>
              </w:rPr>
              <w:t>交通银行合肥分行黄山路支行</w:t>
            </w:r>
          </w:p>
          <w:p w14:paraId="309F3075">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lang w:eastAsia="zh-CN"/>
              </w:rPr>
              <w:t>341314000018150070757</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6EC6AE">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56604392">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0043393B">
            <w:pPr>
              <w:pStyle w:val="31"/>
              <w:keepNext w:val="0"/>
              <w:keepLines w:val="0"/>
              <w:pageBreakBefore w:val="0"/>
              <w:widowControl w:val="0"/>
              <w:kinsoku w:val="0"/>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auto"/>
                <w:kern w:val="0"/>
                <w:sz w:val="24"/>
                <w:szCs w:val="28"/>
                <w:highlight w:val="none"/>
                <w:u w:val="single"/>
              </w:rPr>
            </w:pPr>
            <w:r>
              <w:rPr>
                <w:rFonts w:hint="eastAsia" w:ascii="宋体" w:hAnsi="宋体" w:eastAsia="宋体" w:cs="宋体"/>
                <w:b w:val="0"/>
                <w:color w:val="auto"/>
                <w:sz w:val="24"/>
                <w:highlight w:val="none"/>
              </w:rPr>
              <w:t>递交方式：</w:t>
            </w:r>
            <w:r>
              <w:rPr>
                <w:rFonts w:hint="eastAsia" w:ascii="宋体" w:hAnsi="宋体" w:eastAsia="宋体" w:cs="宋体"/>
                <w:b w:val="0"/>
                <w:bCs w:val="0"/>
                <w:color w:val="auto"/>
                <w:kern w:val="0"/>
                <w:sz w:val="24"/>
                <w:szCs w:val="28"/>
                <w:highlight w:val="none"/>
                <w:u w:val="single"/>
              </w:rPr>
              <w:t>按采购公告载明的采购人或采购代理机构信息，向其提出。</w:t>
            </w:r>
            <w:r>
              <w:rPr>
                <w:rFonts w:hint="eastAsia" w:ascii="宋体" w:hAnsi="宋体" w:eastAsia="宋体" w:cs="宋体"/>
                <w:b w:val="0"/>
                <w:bCs w:val="0"/>
                <w:color w:val="auto"/>
                <w:kern w:val="0"/>
                <w:sz w:val="24"/>
                <w:szCs w:val="28"/>
                <w:highlight w:val="none"/>
                <w:u w:val="single"/>
                <w:lang w:val="en-US" w:eastAsia="zh-CN"/>
              </w:rPr>
              <w:t>也</w:t>
            </w:r>
            <w:r>
              <w:rPr>
                <w:rFonts w:hint="eastAsia" w:ascii="宋体" w:hAnsi="宋体" w:eastAsia="宋体" w:cs="宋体"/>
                <w:b w:val="0"/>
                <w:bCs w:val="0"/>
                <w:color w:val="auto"/>
                <w:kern w:val="0"/>
                <w:sz w:val="24"/>
                <w:szCs w:val="28"/>
                <w:highlight w:val="none"/>
                <w:u w:val="single"/>
              </w:rPr>
              <w:t>可登录电子交易系统</w:t>
            </w:r>
          </w:p>
          <w:p w14:paraId="6E991426">
            <w:pPr>
              <w:pStyle w:val="31"/>
              <w:keepNext w:val="0"/>
              <w:keepLines w:val="0"/>
              <w:pageBreakBefore w:val="0"/>
              <w:widowControl w:val="0"/>
              <w:kinsoku w:val="0"/>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color w:val="auto"/>
                <w:sz w:val="24"/>
                <w:highlight w:val="none"/>
              </w:rPr>
            </w:pPr>
            <w:r>
              <w:rPr>
                <w:rFonts w:hint="eastAsia" w:ascii="宋体" w:hAnsi="宋体" w:eastAsia="宋体" w:cs="宋体"/>
                <w:b w:val="0"/>
                <w:bCs w:val="0"/>
                <w:color w:val="auto"/>
                <w:kern w:val="0"/>
                <w:sz w:val="24"/>
                <w:szCs w:val="28"/>
                <w:highlight w:val="none"/>
                <w:u w:val="single"/>
              </w:rPr>
              <w:t>http://60.171.247.212:8111/TPBidder/memberLogin 点击网上“质疑菜单”发起在线质疑，招标人或招标代理会在约定期限内做出答复。</w:t>
            </w:r>
          </w:p>
          <w:p w14:paraId="5AF7EFB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接收部门：</w:t>
            </w:r>
            <w:r>
              <w:rPr>
                <w:rFonts w:hint="eastAsia" w:ascii="宋体" w:hAnsi="宋体" w:eastAsia="宋体" w:cs="宋体"/>
                <w:b w:val="0"/>
                <w:bCs w:val="0"/>
                <w:color w:val="auto"/>
                <w:kern w:val="0"/>
                <w:sz w:val="24"/>
                <w:szCs w:val="28"/>
                <w:highlight w:val="none"/>
                <w:u w:val="single"/>
              </w:rPr>
              <w:t xml:space="preserve"> </w:t>
            </w:r>
            <w:r>
              <w:rPr>
                <w:rFonts w:hint="eastAsia" w:ascii="宋体" w:hAnsi="宋体" w:eastAsia="宋体" w:cs="宋体"/>
                <w:b w:val="0"/>
                <w:bCs w:val="0"/>
                <w:color w:val="auto"/>
                <w:kern w:val="0"/>
                <w:sz w:val="24"/>
                <w:szCs w:val="28"/>
                <w:highlight w:val="none"/>
                <w:u w:val="single"/>
                <w:lang w:eastAsia="zh-CN"/>
              </w:rPr>
              <w:t>安徽中技工程咨询有限公司</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80F19C">
            <w:pPr>
              <w:pStyle w:val="32"/>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746E8AD2">
            <w:pPr>
              <w:pStyle w:val="31"/>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718C588D">
            <w:pPr>
              <w:pStyle w:val="31"/>
              <w:widowControl w:val="0"/>
              <w:numPr>
                <w:ilvl w:val="0"/>
                <w:numId w:val="0"/>
              </w:numPr>
              <w:spacing w:before="0" w:beforeAutospacing="0" w:after="0" w:afterAutospacing="0" w:line="360" w:lineRule="auto"/>
              <w:jc w:val="both"/>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1、解释权：</w:t>
            </w:r>
          </w:p>
          <w:p w14:paraId="7B39DDF4">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rPr>
              <w:t>文件的各个组成文件应互为解释，互为说明；</w:t>
            </w:r>
          </w:p>
          <w:p w14:paraId="7C1A80EA">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55597C2D">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4E61A649">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（4）除谈判文件中有特别规定外，仅适用于谈判及响应文件提交阶段的规定，按竞争性谈判公告、谈判邀请、供应商须知、评审方法和标准、响应文件格式的先后顺序解释；</w:t>
            </w:r>
          </w:p>
          <w:p w14:paraId="75612FE7">
            <w:pPr>
              <w:pStyle w:val="31"/>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（5）按本款前述规定仍不能形成结论的，由采购人负责解释。</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14880"/>
      <w:bookmarkStart w:id="22"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1BF44B3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6447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.1采购人：是指依法开展采购活动的国家机关、事业单位、团体组织。</w:t>
      </w:r>
    </w:p>
    <w:p w14:paraId="45B9DC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22A9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.3采购监督管理部门：</w:t>
      </w:r>
      <w:r>
        <w:rPr>
          <w:rFonts w:hint="eastAsia" w:ascii="宋体" w:hAnsi="宋体" w:eastAsia="宋体"/>
          <w:color w:val="auto"/>
          <w:sz w:val="24"/>
          <w:highlight w:val="none"/>
        </w:rPr>
        <w:t>各级人民政府指定的有关部门依法履行与采购活动有关的监督管理职责。</w:t>
      </w:r>
    </w:p>
    <w:p w14:paraId="174AD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分支机构不得参加采购活动，但银行、保险、石油石化、电力、电信等特殊行业除外。</w:t>
      </w:r>
      <w:r>
        <w:rPr>
          <w:rFonts w:ascii="宋体" w:hAnsi="宋体" w:eastAsia="宋体"/>
          <w:color w:val="auto"/>
          <w:sz w:val="24"/>
          <w:highlight w:val="none"/>
        </w:rPr>
        <w:t>本项目的投标人须满足以下条件：</w:t>
      </w:r>
    </w:p>
    <w:p w14:paraId="7EB5FA6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w:t>
      </w:r>
      <w:r>
        <w:rPr>
          <w:rFonts w:hint="eastAsia" w:ascii="宋体" w:hAnsi="宋体" w:eastAsia="宋体"/>
          <w:color w:val="auto"/>
          <w:sz w:val="24"/>
          <w:highlight w:val="none"/>
          <w:lang w:val="en-US" w:eastAsia="zh-CN"/>
        </w:rPr>
        <w:t>招标公告</w:t>
      </w:r>
      <w:r>
        <w:rPr>
          <w:rFonts w:ascii="宋体" w:hAnsi="宋体" w:eastAsia="宋体"/>
          <w:color w:val="auto"/>
          <w:sz w:val="24"/>
          <w:highlight w:val="none"/>
        </w:rPr>
        <w:t>供应商条件的规定，遵守本项目采购人本级和上级部门采购的有关规定。</w:t>
      </w:r>
    </w:p>
    <w:p w14:paraId="2D5D32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348DA6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9D57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543AD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8AB8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0D555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5.2联合体各方均应符合规定的条件。</w:t>
      </w:r>
    </w:p>
    <w:p w14:paraId="3AC83E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CBBC58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4326D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5024E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F3C4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6A5B6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AF83CA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21683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0F1B9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CBE5DC4">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本项目采购人、采购代理机构、投标人、评标委员会的相关行为均受采购有关规定的约束，其权利受到上述法律法规的保护。</w:t>
      </w:r>
    </w:p>
    <w:p w14:paraId="6751937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0778BD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BA1FAD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5DE63B8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F79922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038F69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1F50D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采购合同</w:t>
      </w:r>
    </w:p>
    <w:p w14:paraId="0AE1236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26B47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F1B6A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2F13D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E4488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6466F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93F4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在网</w:t>
      </w:r>
      <w:r>
        <w:rPr>
          <w:rFonts w:hint="eastAsia" w:asciiTheme="minorEastAsia" w:hAnsiTheme="minorEastAsia" w:eastAsiaTheme="minorEastAsia"/>
          <w:color w:val="auto"/>
          <w:sz w:val="24"/>
          <w:highlight w:val="none"/>
          <w:lang w:val="en-US" w:eastAsia="zh-CN"/>
        </w:rPr>
        <w:t>上</w:t>
      </w:r>
      <w:r>
        <w:rPr>
          <w:rFonts w:hint="eastAsia" w:asciiTheme="minorEastAsia" w:hAnsiTheme="minorEastAsia" w:eastAsiaTheme="minorEastAsia"/>
          <w:color w:val="auto"/>
          <w:sz w:val="24"/>
          <w:highlight w:val="none"/>
        </w:rPr>
        <w:t>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064E3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2EC030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81763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A35AA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9E23BA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2CE909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F5AC4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25B292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lang w:val="en-US" w:eastAsia="zh-CN"/>
        </w:rPr>
        <w:t>等。</w:t>
      </w:r>
    </w:p>
    <w:bookmarkEnd w:id="24"/>
    <w:p w14:paraId="34822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3C4D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3800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08F58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1FF7AA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323B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436AE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B006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0405A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52B8EB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73D2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4BC8B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458F10A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85D6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BF0DE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8BC47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80C78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2E08B2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3C118CB9">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B968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63737D2B">
      <w:pPr>
        <w:spacing w:line="360" w:lineRule="auto"/>
        <w:ind w:firstLine="435"/>
        <w:rPr>
          <w:rFonts w:hint="eastAsia"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lang w:val="en-US" w:eastAsia="zh-CN"/>
        </w:rPr>
        <w:t>14.2</w:t>
      </w:r>
      <w:r>
        <w:rPr>
          <w:rFonts w:hint="eastAsia" w:ascii="宋体" w:hAnsi="宋体" w:eastAsia="宋体" w:cs="宋体"/>
          <w:color w:val="auto"/>
          <w:sz w:val="24"/>
          <w:szCs w:val="24"/>
          <w:highlight w:val="none"/>
        </w:rPr>
        <w:t>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DAD8C5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793C5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32CF1F0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677CDB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5506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ECDC9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4B6A6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84ED1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51D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B14E3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13B7E9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A1124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20B829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5A45EFD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DD6BC8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0C911C7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D5876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FB7194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572738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CAFD6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B4310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BA0A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6328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7075D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C0C8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4BEDAB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755B073D">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B4BAE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68479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5622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DA914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17638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CC32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6E065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2A56F4A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EDF63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00D30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8EB5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962E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57C254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7D17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采购监督管理部门</w:t>
      </w:r>
      <w:r>
        <w:rPr>
          <w:rFonts w:hint="eastAsia" w:asciiTheme="minorEastAsia" w:hAnsiTheme="minorEastAsia" w:eastAsiaTheme="minorEastAsia"/>
          <w:color w:val="auto"/>
          <w:sz w:val="24"/>
          <w:highlight w:val="none"/>
        </w:rPr>
        <w:t>批准。</w:t>
      </w:r>
    </w:p>
    <w:p w14:paraId="2248A9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87A3E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2B916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F65F2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4DA52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91D26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出现两家或两家以上相同者，则采取评标委员会随机抽取的方式确定中标候选顺序。</w:t>
      </w:r>
    </w:p>
    <w:p w14:paraId="16E9C88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03106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4B7C34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363C6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1471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A55E3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64D10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w:t>
      </w:r>
      <w:r>
        <w:rPr>
          <w:rFonts w:hint="eastAsia" w:ascii="宋体" w:hAnsi="宋体" w:eastAsia="宋体"/>
          <w:color w:val="auto"/>
          <w:sz w:val="24"/>
          <w:szCs w:val="18"/>
          <w:highlight w:val="none"/>
          <w:lang w:val="en-US" w:eastAsia="zh-CN"/>
        </w:rPr>
        <w:t>网</w:t>
      </w:r>
      <w:r>
        <w:rPr>
          <w:rFonts w:hint="eastAsia" w:ascii="宋体" w:hAnsi="宋体" w:eastAsia="宋体"/>
          <w:color w:val="auto"/>
          <w:sz w:val="24"/>
          <w:szCs w:val="18"/>
          <w:highlight w:val="none"/>
        </w:rPr>
        <w:t>上发布中标结果公告。</w:t>
      </w:r>
    </w:p>
    <w:p w14:paraId="3BC6F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1210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DE7C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A9F6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3F498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CC149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1E4A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0A18F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55F6B44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8D95C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383EA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的时间内完成采购合同签订及合同公告。</w:t>
      </w:r>
    </w:p>
    <w:p w14:paraId="60CF4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21623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，也可以重新开展采购活动。</w:t>
      </w:r>
    </w:p>
    <w:p w14:paraId="290980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254764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926190C">
      <w:pPr>
        <w:spacing w:line="360" w:lineRule="auto"/>
        <w:ind w:firstLine="437"/>
        <w:outlineLvl w:val="2"/>
        <w:rPr>
          <w:rFonts w:asciiTheme="minorEastAsia" w:hAnsiTheme="minorEastAsia" w:eastAsiaTheme="minorEastAsia"/>
          <w:b/>
          <w:color w:val="auto"/>
          <w:sz w:val="24"/>
          <w:highlight w:val="none"/>
        </w:rPr>
      </w:pPr>
      <w:bookmarkStart w:id="26" w:name="_Toc518923100"/>
      <w:bookmarkStart w:id="27"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6"/>
      <w:bookmarkEnd w:id="27"/>
    </w:p>
    <w:p w14:paraId="18C4DC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不得以不正当手段获取采购代理业务，不得与采购人、供应商恶意串通。</w:t>
      </w:r>
    </w:p>
    <w:p w14:paraId="032283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28"/>
      <w:bookmarkEnd w:id="29"/>
    </w:p>
    <w:p w14:paraId="0B1192DE">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71F19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DF9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质疑供应商应按照《采购供应商质疑函范本》格式（详见招标文件）要求，在法定质疑期内以书面形式提出质疑，超出法定质疑期提交的质疑将被拒绝。针对同一采购程序环节的质疑应一次性提出。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CCC8C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258F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4323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30" w:name="_Toc10891"/>
      <w:r>
        <w:rPr>
          <w:rFonts w:hint="eastAsia" w:asciiTheme="minorEastAsia" w:hAnsiTheme="minorEastAsia" w:eastAsiaTheme="minorEastAsia"/>
          <w:b/>
          <w:color w:val="auto"/>
          <w:sz w:val="28"/>
          <w:highlight w:val="none"/>
        </w:rPr>
        <w:t>第三章  采购需求</w:t>
      </w:r>
      <w:bookmarkEnd w:id="30"/>
    </w:p>
    <w:p w14:paraId="54F2F63D">
      <w:pPr>
        <w:spacing w:line="360" w:lineRule="auto"/>
        <w:rPr>
          <w:rFonts w:ascii="宋体" w:hAnsi="宋体" w:eastAsia="宋体"/>
          <w:b/>
          <w:color w:val="auto"/>
          <w:sz w:val="24"/>
          <w:highlight w:val="none"/>
        </w:rPr>
      </w:pPr>
      <w:bookmarkStart w:id="31" w:name="_Toc32151"/>
      <w:bookmarkStart w:id="32" w:name="_Toc2554"/>
      <w:r>
        <w:rPr>
          <w:rFonts w:hint="eastAsia" w:ascii="宋体" w:hAnsi="宋体" w:eastAsia="宋体"/>
          <w:b/>
          <w:color w:val="auto"/>
          <w:sz w:val="24"/>
          <w:highlight w:val="none"/>
        </w:rPr>
        <w:t>前注：</w:t>
      </w:r>
    </w:p>
    <w:p w14:paraId="4FBFF3E3">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0B897484">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29EED18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150952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7182B5B">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7CE414AD">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w:t>
      </w:r>
    </w:p>
    <w:p w14:paraId="2E0565C9">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b/>
          <w:bCs/>
          <w:color w:val="auto"/>
          <w:sz w:val="24"/>
          <w:szCs w:val="18"/>
          <w:highlight w:val="none"/>
          <w:lang w:val="en-US" w:eastAsia="zh-CN"/>
        </w:rPr>
        <w:t>5.投标产品具有相应有效的医疗器械注册证（适用第二类和第三类医疗器械）或备案凭证（适用第一类医疗器械）</w:t>
      </w:r>
      <w:r>
        <w:rPr>
          <w:rFonts w:hint="eastAsia" w:ascii="宋体" w:hAnsi="宋体" w:eastAsia="宋体" w:cs="宋体"/>
          <w:b/>
          <w:bCs/>
          <w:color w:val="auto"/>
          <w:kern w:val="0"/>
          <w:sz w:val="24"/>
          <w:szCs w:val="24"/>
          <w:highlight w:val="none"/>
          <w:lang w:bidi="ar"/>
        </w:rPr>
        <w:t>。</w:t>
      </w:r>
    </w:p>
    <w:p w14:paraId="1FDF67F4">
      <w:pPr>
        <w:spacing w:line="360" w:lineRule="auto"/>
        <w:ind w:firstLine="437"/>
        <w:outlineLvl w:val="1"/>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b/>
          <w:bCs/>
          <w:color w:val="auto"/>
          <w:sz w:val="24"/>
          <w:szCs w:val="18"/>
          <w:highlight w:val="none"/>
          <w:lang w:val="en-US" w:eastAsia="zh-CN"/>
        </w:rPr>
        <w:t>6.</w:t>
      </w:r>
      <w:r>
        <w:rPr>
          <w:rFonts w:hint="eastAsia" w:ascii="宋体" w:hAnsi="宋体" w:eastAsia="宋体" w:cs="宋体"/>
          <w:b/>
          <w:bCs/>
          <w:color w:val="auto"/>
          <w:kern w:val="0"/>
          <w:sz w:val="24"/>
          <w:szCs w:val="24"/>
          <w:highlight w:val="none"/>
          <w:lang w:val="en-US" w:eastAsia="zh-CN" w:bidi="ar"/>
        </w:rPr>
        <w:t>货物需求相关标识符号说明</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1125"/>
        <w:gridCol w:w="5370"/>
      </w:tblGrid>
      <w:tr w14:paraId="0AFF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7" w:type="dxa"/>
            <w:noWrap w:val="0"/>
            <w:vAlign w:val="center"/>
          </w:tcPr>
          <w:p w14:paraId="61FA7759">
            <w:pPr>
              <w:widowControl/>
              <w:jc w:val="center"/>
              <w:rPr>
                <w:rFonts w:hint="eastAsia"/>
                <w:color w:val="auto"/>
                <w:highlight w:val="none"/>
              </w:rPr>
            </w:pPr>
            <w:r>
              <w:rPr>
                <w:rFonts w:hint="eastAsia" w:ascii="宋体" w:hAnsi="宋体" w:eastAsia="宋体" w:cs="宋体"/>
                <w:b/>
                <w:bCs/>
                <w:color w:val="auto"/>
                <w:kern w:val="0"/>
                <w:sz w:val="24"/>
                <w:szCs w:val="24"/>
                <w:highlight w:val="none"/>
                <w:lang w:bidi="ar"/>
              </w:rPr>
              <w:t>标识重要性</w:t>
            </w:r>
          </w:p>
        </w:tc>
        <w:tc>
          <w:tcPr>
            <w:tcW w:w="1125" w:type="dxa"/>
            <w:noWrap w:val="0"/>
            <w:vAlign w:val="center"/>
          </w:tcPr>
          <w:p w14:paraId="7458B9D0">
            <w:pPr>
              <w:widowControl/>
              <w:jc w:val="center"/>
              <w:rPr>
                <w:rFonts w:hint="eastAsia"/>
                <w:color w:val="auto"/>
                <w:highlight w:val="none"/>
              </w:rPr>
            </w:pPr>
            <w:r>
              <w:rPr>
                <w:rFonts w:hint="eastAsia" w:ascii="宋体" w:hAnsi="宋体" w:eastAsia="宋体" w:cs="宋体"/>
                <w:b/>
                <w:bCs/>
                <w:color w:val="auto"/>
                <w:kern w:val="0"/>
                <w:sz w:val="24"/>
                <w:szCs w:val="24"/>
                <w:highlight w:val="none"/>
                <w:lang w:bidi="ar"/>
              </w:rPr>
              <w:t>标识符号</w:t>
            </w:r>
          </w:p>
        </w:tc>
        <w:tc>
          <w:tcPr>
            <w:tcW w:w="5370" w:type="dxa"/>
            <w:noWrap w:val="0"/>
            <w:vAlign w:val="center"/>
          </w:tcPr>
          <w:p w14:paraId="068D7158">
            <w:pPr>
              <w:widowControl/>
              <w:jc w:val="center"/>
              <w:rPr>
                <w:rFonts w:hint="eastAsia"/>
                <w:color w:val="auto"/>
                <w:highlight w:val="none"/>
              </w:rPr>
            </w:pPr>
            <w:r>
              <w:rPr>
                <w:rFonts w:hint="eastAsia" w:ascii="宋体" w:hAnsi="宋体" w:eastAsia="宋体" w:cs="宋体"/>
                <w:b/>
                <w:bCs/>
                <w:color w:val="auto"/>
                <w:kern w:val="0"/>
                <w:sz w:val="24"/>
                <w:szCs w:val="24"/>
                <w:highlight w:val="none"/>
                <w:lang w:bidi="ar"/>
              </w:rPr>
              <w:t>代表意思</w:t>
            </w:r>
          </w:p>
        </w:tc>
      </w:tr>
      <w:tr w14:paraId="4BBA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27" w:type="dxa"/>
            <w:noWrap w:val="0"/>
            <w:vAlign w:val="center"/>
          </w:tcPr>
          <w:p w14:paraId="747F8E9B">
            <w:pPr>
              <w:widowControl/>
              <w:jc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关键指标项</w:t>
            </w:r>
          </w:p>
        </w:tc>
        <w:tc>
          <w:tcPr>
            <w:tcW w:w="1125" w:type="dxa"/>
            <w:noWrap w:val="0"/>
            <w:vAlign w:val="center"/>
          </w:tcPr>
          <w:p w14:paraId="3DE801FC">
            <w:pPr>
              <w:widowControl/>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w:t>
            </w:r>
          </w:p>
        </w:tc>
        <w:tc>
          <w:tcPr>
            <w:tcW w:w="5370" w:type="dxa"/>
            <w:noWrap w:val="0"/>
            <w:vAlign w:val="center"/>
          </w:tcPr>
          <w:p w14:paraId="14130FFE">
            <w:pPr>
              <w:widowControl/>
              <w:jc w:val="center"/>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符合性审查项，未响应或负偏离的，将导致投标无效</w:t>
            </w:r>
          </w:p>
        </w:tc>
      </w:tr>
      <w:tr w14:paraId="063D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27" w:type="dxa"/>
            <w:noWrap w:val="0"/>
            <w:vAlign w:val="center"/>
          </w:tcPr>
          <w:p w14:paraId="08022E07">
            <w:pPr>
              <w:widowControl/>
              <w:jc w:val="center"/>
              <w:rPr>
                <w:rFonts w:hint="eastAsia"/>
                <w:color w:val="auto"/>
                <w:highlight w:val="none"/>
              </w:rPr>
            </w:pPr>
            <w:r>
              <w:rPr>
                <w:rFonts w:hint="eastAsia" w:ascii="宋体" w:hAnsi="宋体" w:eastAsia="宋体" w:cs="宋体"/>
                <w:color w:val="auto"/>
                <w:kern w:val="0"/>
                <w:sz w:val="24"/>
                <w:szCs w:val="24"/>
                <w:highlight w:val="none"/>
                <w:lang w:bidi="ar"/>
              </w:rPr>
              <w:t>重要指标项</w:t>
            </w:r>
          </w:p>
        </w:tc>
        <w:tc>
          <w:tcPr>
            <w:tcW w:w="1125" w:type="dxa"/>
            <w:noWrap w:val="0"/>
            <w:vAlign w:val="center"/>
          </w:tcPr>
          <w:p w14:paraId="2A7577E2">
            <w:pPr>
              <w:widowControl/>
              <w:jc w:val="center"/>
              <w:rPr>
                <w:rFonts w:hint="eastAsia"/>
                <w:color w:val="auto"/>
                <w:highlight w:val="none"/>
              </w:rPr>
            </w:pPr>
            <w:r>
              <w:rPr>
                <w:rFonts w:hint="eastAsia"/>
                <w:color w:val="auto"/>
                <w:highlight w:val="none"/>
              </w:rPr>
              <w:t>*</w:t>
            </w:r>
          </w:p>
        </w:tc>
        <w:tc>
          <w:tcPr>
            <w:tcW w:w="5370" w:type="dxa"/>
            <w:noWrap w:val="0"/>
            <w:vAlign w:val="center"/>
          </w:tcPr>
          <w:p w14:paraId="52CBEB9E">
            <w:pPr>
              <w:widowControl/>
              <w:jc w:val="center"/>
              <w:rPr>
                <w:rFonts w:hint="eastAsia"/>
                <w:b w:val="0"/>
                <w:bCs w:val="0"/>
                <w:color w:val="auto"/>
                <w:highlight w:val="none"/>
              </w:rPr>
            </w:pPr>
            <w:r>
              <w:rPr>
                <w:rFonts w:hint="eastAsia" w:ascii="宋体" w:hAnsi="宋体" w:eastAsia="宋体" w:cs="宋体"/>
                <w:b w:val="0"/>
                <w:bCs w:val="0"/>
                <w:color w:val="auto"/>
                <w:kern w:val="0"/>
                <w:sz w:val="24"/>
                <w:szCs w:val="24"/>
                <w:highlight w:val="none"/>
                <w:lang w:bidi="ar"/>
              </w:rPr>
              <w:t>评分项，详见第四章评分细则</w:t>
            </w:r>
          </w:p>
        </w:tc>
      </w:tr>
      <w:tr w14:paraId="1433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027" w:type="dxa"/>
            <w:noWrap w:val="0"/>
            <w:vAlign w:val="center"/>
          </w:tcPr>
          <w:p w14:paraId="1AA77DBD">
            <w:pPr>
              <w:widowControl/>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无标识项</w:t>
            </w:r>
          </w:p>
        </w:tc>
        <w:tc>
          <w:tcPr>
            <w:tcW w:w="1125" w:type="dxa"/>
            <w:noWrap w:val="0"/>
            <w:vAlign w:val="center"/>
          </w:tcPr>
          <w:p w14:paraId="59D609A5">
            <w:pPr>
              <w:widowControl/>
              <w:jc w:val="center"/>
              <w:rPr>
                <w:rFonts w:hint="eastAsia" w:ascii="宋体" w:hAnsi="宋体" w:eastAsia="宋体" w:cs="宋体"/>
                <w:color w:val="auto"/>
                <w:kern w:val="0"/>
                <w:sz w:val="24"/>
                <w:szCs w:val="24"/>
                <w:highlight w:val="none"/>
                <w:lang w:bidi="ar"/>
              </w:rPr>
            </w:pPr>
          </w:p>
        </w:tc>
        <w:tc>
          <w:tcPr>
            <w:tcW w:w="5370" w:type="dxa"/>
            <w:noWrap w:val="0"/>
            <w:vAlign w:val="center"/>
          </w:tcPr>
          <w:p w14:paraId="2C7204C6">
            <w:pPr>
              <w:widowControl/>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评分项，详见评分细则。</w:t>
            </w:r>
          </w:p>
        </w:tc>
      </w:tr>
      <w:tr w14:paraId="1C76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noWrap w:val="0"/>
            <w:vAlign w:val="top"/>
          </w:tcPr>
          <w:p w14:paraId="372277A3">
            <w:pPr>
              <w:widowControl/>
              <w:jc w:val="left"/>
              <w:rPr>
                <w:rFonts w:hint="eastAsia"/>
                <w:color w:val="auto"/>
                <w:highlight w:val="none"/>
              </w:rPr>
            </w:pPr>
            <w:r>
              <w:rPr>
                <w:rFonts w:hint="eastAsia" w:ascii="宋体" w:hAnsi="宋体" w:eastAsia="宋体" w:cs="宋体"/>
                <w:b/>
                <w:bCs/>
                <w:color w:val="auto"/>
                <w:kern w:val="0"/>
                <w:sz w:val="24"/>
                <w:szCs w:val="24"/>
                <w:highlight w:val="none"/>
                <w:lang w:bidi="ar"/>
              </w:rPr>
              <w:t xml:space="preserve">注： </w:t>
            </w:r>
          </w:p>
          <w:p w14:paraId="7F36B833">
            <w:pPr>
              <w:widowControl/>
              <w:spacing w:line="360" w:lineRule="auto"/>
              <w:jc w:val="left"/>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1）其中标注</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的条款，投标文件中提供能反映其所在条款的相关证明材料扫描件，证明材料包括：产品彩页、技术白皮书、产品说明书、检测/检验报告或“技术参数及要求”中要求的其他证明材料，提供其中之一即可，否则视为负偏离（为便于评审，建议投标人在投标文件中标明证明材料对应的页码，并对参数指标进行标注（如下划线、背景颜色等））。</w:t>
            </w:r>
          </w:p>
          <w:p w14:paraId="34510BBA">
            <w:pPr>
              <w:widowControl/>
              <w:spacing w:line="360" w:lineRule="auto"/>
              <w:jc w:val="left"/>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2）</w:t>
            </w:r>
            <w:r>
              <w:rPr>
                <w:rFonts w:hint="eastAsia" w:ascii="宋体" w:hAnsi="宋体" w:eastAsia="宋体" w:cs="宋体"/>
                <w:b/>
                <w:bCs/>
                <w:color w:val="auto"/>
                <w:kern w:val="0"/>
                <w:sz w:val="24"/>
                <w:szCs w:val="24"/>
                <w:highlight w:val="none"/>
                <w:lang w:val="en-US" w:eastAsia="zh-CN" w:bidi="ar"/>
              </w:rPr>
              <w:t>其中</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无标识项</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的条款按照对应参数</w:t>
            </w:r>
            <w:r>
              <w:rPr>
                <w:rFonts w:hint="eastAsia" w:ascii="宋体" w:hAnsi="宋体" w:eastAsia="宋体" w:cs="宋体"/>
                <w:b/>
                <w:bCs/>
                <w:color w:val="auto"/>
                <w:kern w:val="0"/>
                <w:sz w:val="24"/>
                <w:szCs w:val="24"/>
                <w:highlight w:val="none"/>
                <w:lang w:val="en-US" w:eastAsia="zh-CN" w:bidi="ar"/>
              </w:rPr>
              <w:t>中</w:t>
            </w:r>
            <w:r>
              <w:rPr>
                <w:rFonts w:hint="eastAsia" w:ascii="宋体" w:hAnsi="宋体" w:eastAsia="宋体" w:cs="宋体"/>
                <w:b/>
                <w:bCs/>
                <w:color w:val="auto"/>
                <w:kern w:val="0"/>
                <w:sz w:val="24"/>
                <w:szCs w:val="24"/>
                <w:highlight w:val="none"/>
                <w:lang w:eastAsia="zh-CN" w:bidi="ar"/>
              </w:rPr>
              <w:t>的</w:t>
            </w:r>
            <w:r>
              <w:rPr>
                <w:rFonts w:hint="eastAsia" w:ascii="宋体" w:hAnsi="宋体" w:eastAsia="宋体" w:cs="宋体"/>
                <w:b/>
                <w:bCs/>
                <w:color w:val="auto"/>
                <w:kern w:val="0"/>
                <w:sz w:val="24"/>
                <w:szCs w:val="24"/>
                <w:highlight w:val="none"/>
                <w:lang w:bidi="ar"/>
              </w:rPr>
              <w:t>要求提供证明材料（未提供证明材料的不得分），若对应参数没有要求提供证明材料，投标人可以不提供证明材料，投标人须真实填写</w:t>
            </w:r>
            <w:r>
              <w:rPr>
                <w:rFonts w:hint="eastAsia" w:ascii="宋体" w:hAnsi="宋体" w:eastAsia="宋体" w:cs="宋体"/>
                <w:b/>
                <w:bCs/>
                <w:color w:val="auto"/>
                <w:kern w:val="0"/>
                <w:sz w:val="24"/>
                <w:szCs w:val="24"/>
                <w:highlight w:val="none"/>
                <w:lang w:eastAsia="zh-CN" w:bidi="ar"/>
              </w:rPr>
              <w:t>“技术响应表”</w:t>
            </w:r>
            <w:r>
              <w:rPr>
                <w:rFonts w:hint="eastAsia" w:ascii="宋体" w:hAnsi="宋体" w:eastAsia="宋体" w:cs="宋体"/>
                <w:b/>
                <w:bCs/>
                <w:color w:val="auto"/>
                <w:kern w:val="0"/>
                <w:sz w:val="24"/>
                <w:szCs w:val="24"/>
                <w:highlight w:val="none"/>
                <w:lang w:bidi="ar"/>
              </w:rPr>
              <w:t>，评标委员会按照“技术响应表”响应情况进行评审。</w:t>
            </w:r>
          </w:p>
          <w:p w14:paraId="3B3437CE">
            <w:pPr>
              <w:widowControl/>
              <w:spacing w:line="360" w:lineRule="auto"/>
              <w:jc w:val="left"/>
              <w:rPr>
                <w:rFonts w:hint="default"/>
                <w:color w:val="auto"/>
                <w:highlight w:val="none"/>
                <w:lang w:val="en-US"/>
              </w:rPr>
            </w:pPr>
            <w:r>
              <w:rPr>
                <w:rFonts w:hint="eastAsia" w:ascii="宋体" w:hAnsi="宋体" w:eastAsia="宋体" w:cs="宋体"/>
                <w:b/>
                <w:bCs/>
                <w:color w:val="auto"/>
                <w:kern w:val="0"/>
                <w:sz w:val="24"/>
                <w:szCs w:val="24"/>
                <w:highlight w:val="none"/>
                <w:lang w:val="en-US" w:eastAsia="zh-CN" w:bidi="ar"/>
              </w:rPr>
              <w:t>3</w:t>
            </w:r>
            <w:r>
              <w:rPr>
                <w:rFonts w:hint="eastAsia" w:ascii="宋体" w:hAnsi="宋体" w:eastAsia="宋体" w:cs="宋体"/>
                <w:b/>
                <w:bCs/>
                <w:color w:val="auto"/>
                <w:kern w:val="0"/>
                <w:sz w:val="24"/>
                <w:szCs w:val="24"/>
                <w:highlight w:val="none"/>
                <w:lang w:bidi="ar"/>
              </w:rPr>
              <w:t>）如某项标识同时存在一级标识和二级标识时，则以二级标识为最小单位计算条目数量；如某项标识同时存在二级标识和三级标识时，则以三级标识为最小单位计算条目数量</w:t>
            </w:r>
            <w:r>
              <w:rPr>
                <w:rFonts w:hint="eastAsia" w:ascii="宋体" w:hAnsi="宋体" w:eastAsia="宋体" w:cs="宋体"/>
                <w:b/>
                <w:bCs/>
                <w:color w:val="auto"/>
                <w:kern w:val="0"/>
                <w:sz w:val="24"/>
                <w:szCs w:val="24"/>
                <w:highlight w:val="none"/>
                <w:lang w:eastAsia="zh-CN" w:bidi="ar"/>
              </w:rPr>
              <w:t>，以此类推</w:t>
            </w:r>
            <w:r>
              <w:rPr>
                <w:rFonts w:hint="eastAsia" w:ascii="宋体" w:hAnsi="宋体" w:eastAsia="宋体" w:cs="宋体"/>
                <w:b/>
                <w:bCs/>
                <w:color w:val="auto"/>
                <w:kern w:val="0"/>
                <w:sz w:val="24"/>
                <w:szCs w:val="24"/>
                <w:highlight w:val="none"/>
                <w:lang w:bidi="ar"/>
              </w:rPr>
              <w:t>。</w:t>
            </w:r>
          </w:p>
        </w:tc>
      </w:tr>
    </w:tbl>
    <w:p w14:paraId="4FC42BB1">
      <w:pPr>
        <w:spacing w:line="360" w:lineRule="auto"/>
        <w:ind w:firstLine="437"/>
        <w:outlineLvl w:val="1"/>
        <w:rPr>
          <w:rFonts w:hint="eastAsia" w:ascii="宋体" w:hAnsi="宋体" w:eastAsia="宋体"/>
          <w:b/>
          <w:color w:val="auto"/>
          <w:sz w:val="24"/>
          <w:szCs w:val="18"/>
          <w:highlight w:val="none"/>
        </w:rPr>
      </w:pPr>
    </w:p>
    <w:p w14:paraId="374C49B2">
      <w:pPr>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br w:type="page"/>
      </w:r>
    </w:p>
    <w:p w14:paraId="30B0ED33">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&lt;</w:t>
      </w:r>
      <w:r>
        <w:rPr>
          <w:rFonts w:hint="eastAsia" w:ascii="宋体" w:hAnsi="宋体" w:eastAsia="宋体"/>
          <w:b/>
          <w:color w:val="auto"/>
          <w:sz w:val="24"/>
          <w:szCs w:val="18"/>
          <w:highlight w:val="none"/>
        </w:rPr>
        <w:t>一</w:t>
      </w:r>
      <w:r>
        <w:rPr>
          <w:rFonts w:hint="eastAsia" w:ascii="宋体" w:hAnsi="宋体" w:eastAsia="宋体"/>
          <w:b/>
          <w:color w:val="auto"/>
          <w:sz w:val="24"/>
          <w:szCs w:val="18"/>
          <w:highlight w:val="none"/>
          <w:lang w:val="en-US" w:eastAsia="zh-CN"/>
        </w:rPr>
        <w:t>&gt;</w:t>
      </w:r>
      <w:r>
        <w:rPr>
          <w:rFonts w:hint="eastAsia" w:ascii="宋体" w:hAnsi="宋体" w:eastAsia="宋体"/>
          <w:b/>
          <w:color w:val="auto"/>
          <w:sz w:val="24"/>
          <w:szCs w:val="18"/>
          <w:highlight w:val="none"/>
        </w:rPr>
        <w:t>采购需求前附表</w:t>
      </w:r>
      <w:bookmarkEnd w:id="31"/>
      <w:bookmarkEnd w:id="32"/>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32"/>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2B8C4E7">
            <w:pPr>
              <w:pStyle w:val="31"/>
              <w:widowControl w:val="0"/>
              <w:spacing w:before="0" w:beforeAutospacing="0" w:after="0" w:afterAutospacing="0" w:line="360" w:lineRule="auto"/>
              <w:jc w:val="left"/>
              <w:rPr>
                <w:rFonts w:ascii="宋体" w:hAnsi="宋体" w:eastAsia="宋体"/>
                <w:b w:val="0"/>
                <w:bCs/>
                <w:color w:val="auto"/>
                <w:sz w:val="24"/>
                <w:highlight w:val="none"/>
                <w:u w:val="none"/>
              </w:rPr>
            </w:pPr>
            <w:r>
              <w:rPr>
                <w:rFonts w:hint="eastAsia" w:ascii="宋体" w:hAnsi="宋体" w:eastAsia="宋体"/>
                <w:b w:val="0"/>
                <w:bCs/>
                <w:color w:val="auto"/>
                <w:sz w:val="24"/>
                <w:highlight w:val="none"/>
                <w:u w:val="none"/>
              </w:rPr>
              <w:t>经验收合格后6个月后依照医院付款流程支付。</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31"/>
              <w:widowControl w:val="0"/>
              <w:spacing w:before="0" w:beforeAutospacing="0" w:after="0" w:afterAutospacing="0" w:line="360" w:lineRule="auto"/>
              <w:jc w:val="left"/>
              <w:rPr>
                <w:rFonts w:ascii="宋体" w:hAnsi="宋体" w:eastAsia="宋体"/>
                <w:b w:val="0"/>
                <w:bCs/>
                <w:color w:val="auto"/>
                <w:sz w:val="24"/>
                <w:highlight w:val="none"/>
                <w:u w:val="none"/>
              </w:rPr>
            </w:pPr>
            <w:r>
              <w:rPr>
                <w:rFonts w:hint="eastAsia" w:ascii="宋体" w:hAnsi="宋体" w:eastAsia="宋体"/>
                <w:b w:val="0"/>
                <w:bCs/>
                <w:color w:val="auto"/>
                <w:sz w:val="24"/>
                <w:highlight w:val="none"/>
                <w:u w:val="none"/>
                <w:lang w:val="en-US" w:eastAsia="zh-CN"/>
              </w:rPr>
              <w:t>宿州市立医院，采购人指定地点</w:t>
            </w:r>
            <w:r>
              <w:rPr>
                <w:rFonts w:hint="eastAsia" w:ascii="宋体" w:hAnsi="宋体" w:eastAsia="宋体"/>
                <w:b w:val="0"/>
                <w:bCs/>
                <w:color w:val="auto"/>
                <w:sz w:val="24"/>
                <w:highlight w:val="none"/>
                <w:u w:val="none"/>
              </w:rPr>
              <w:t xml:space="preserve"> </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4AB9F940">
            <w:pPr>
              <w:pStyle w:val="31"/>
              <w:widowControl w:val="0"/>
              <w:spacing w:before="0" w:beforeAutospacing="0" w:after="0" w:afterAutospacing="0" w:line="360" w:lineRule="auto"/>
              <w:jc w:val="left"/>
              <w:rPr>
                <w:rFonts w:hint="eastAsia" w:ascii="宋体" w:hAnsi="宋体" w:eastAsia="宋体"/>
                <w:b w:val="0"/>
                <w:bCs/>
                <w:color w:val="auto"/>
                <w:sz w:val="24"/>
                <w:szCs w:val="18"/>
                <w:highlight w:val="none"/>
                <w:u w:val="none"/>
                <w:lang w:val="en-US" w:eastAsia="zh-CN"/>
              </w:rPr>
            </w:pPr>
            <w:r>
              <w:rPr>
                <w:rFonts w:hint="eastAsia" w:ascii="宋体" w:hAnsi="宋体" w:eastAsia="宋体"/>
                <w:b w:val="0"/>
                <w:bCs/>
                <w:color w:val="auto"/>
                <w:sz w:val="24"/>
                <w:szCs w:val="18"/>
                <w:highlight w:val="none"/>
                <w:u w:val="none"/>
              </w:rPr>
              <w:t>合同签订后30日内</w:t>
            </w:r>
            <w:r>
              <w:rPr>
                <w:rFonts w:hint="eastAsia" w:ascii="宋体" w:hAnsi="宋体" w:eastAsia="宋体"/>
                <w:b w:val="0"/>
                <w:bCs/>
                <w:color w:val="auto"/>
                <w:sz w:val="24"/>
                <w:szCs w:val="18"/>
                <w:highlight w:val="none"/>
                <w:u w:val="none"/>
                <w:lang w:val="en-US" w:eastAsia="zh-CN"/>
              </w:rPr>
              <w:t>完成供货、安装及调试</w:t>
            </w:r>
            <w:r>
              <w:rPr>
                <w:rFonts w:hint="eastAsia" w:ascii="宋体" w:hAnsi="宋体" w:eastAsia="宋体"/>
                <w:b w:val="0"/>
                <w:bCs/>
                <w:color w:val="auto"/>
                <w:sz w:val="24"/>
                <w:szCs w:val="18"/>
                <w:highlight w:val="none"/>
                <w:u w:val="none"/>
              </w:rPr>
              <w:t>。</w:t>
            </w:r>
            <w:r>
              <w:rPr>
                <w:rFonts w:hint="eastAsia" w:ascii="宋体" w:hAnsi="宋体" w:eastAsia="宋体"/>
                <w:b w:val="0"/>
                <w:bCs/>
                <w:color w:val="auto"/>
                <w:sz w:val="24"/>
                <w:szCs w:val="18"/>
                <w:highlight w:val="none"/>
                <w:u w:val="none"/>
                <w:lang w:val="en-US" w:eastAsia="zh-CN"/>
              </w:rPr>
              <w:t xml:space="preserve">     </w:t>
            </w:r>
          </w:p>
          <w:p w14:paraId="64A45A16">
            <w:pPr>
              <w:pStyle w:val="31"/>
              <w:widowControl w:val="0"/>
              <w:spacing w:before="0" w:beforeAutospacing="0" w:after="0" w:afterAutospacing="0" w:line="360" w:lineRule="auto"/>
              <w:jc w:val="left"/>
              <w:rPr>
                <w:rFonts w:ascii="宋体" w:hAnsi="宋体" w:eastAsia="宋体"/>
                <w:b w:val="0"/>
                <w:bCs/>
                <w:color w:val="auto"/>
                <w:sz w:val="24"/>
                <w:highlight w:val="none"/>
                <w:u w:val="none"/>
              </w:rPr>
            </w:pPr>
            <w:r>
              <w:rPr>
                <w:rFonts w:hint="eastAsia" w:ascii="宋体" w:hAnsi="宋体" w:eastAsia="宋体"/>
                <w:b w:val="0"/>
                <w:bCs/>
                <w:color w:val="auto"/>
                <w:sz w:val="24"/>
                <w:highlight w:val="none"/>
                <w:u w:val="none"/>
              </w:rPr>
              <w:t>保修生效期为：设备安装后验收合格后</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32" w:type="dxa"/>
            <w:vAlign w:val="center"/>
          </w:tcPr>
          <w:p w14:paraId="6BA5A37C">
            <w:pPr>
              <w:pStyle w:val="31"/>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rPr>
              <w:t>免费质保期</w:t>
            </w:r>
          </w:p>
        </w:tc>
        <w:tc>
          <w:tcPr>
            <w:tcW w:w="5484" w:type="dxa"/>
            <w:vAlign w:val="center"/>
          </w:tcPr>
          <w:p w14:paraId="54491F6A">
            <w:pPr>
              <w:pStyle w:val="31"/>
              <w:widowControl w:val="0"/>
              <w:spacing w:before="0" w:beforeAutospacing="0" w:after="0" w:afterAutospacing="0" w:line="360" w:lineRule="auto"/>
              <w:jc w:val="both"/>
              <w:rPr>
                <w:rFonts w:ascii="宋体" w:hAnsi="宋体" w:eastAsia="宋体"/>
                <w:b w:val="0"/>
                <w:bCs/>
                <w:color w:val="auto"/>
                <w:sz w:val="24"/>
                <w:highlight w:val="none"/>
                <w:u w:val="none"/>
              </w:rPr>
            </w:pPr>
            <w:r>
              <w:rPr>
                <w:rFonts w:hint="eastAsia" w:ascii="宋体" w:hAnsi="宋体" w:eastAsia="宋体"/>
                <w:b w:val="0"/>
                <w:bCs/>
                <w:color w:val="auto"/>
                <w:sz w:val="24"/>
                <w:szCs w:val="18"/>
                <w:highlight w:val="none"/>
                <w:u w:val="none"/>
                <w:lang w:val="en-US" w:eastAsia="zh-CN"/>
              </w:rPr>
              <w:t xml:space="preserve"> 整机质保自验收合格之日起不少于3年。 </w:t>
            </w:r>
          </w:p>
        </w:tc>
      </w:tr>
    </w:tbl>
    <w:p w14:paraId="3E806DB2">
      <w:pPr>
        <w:spacing w:line="360" w:lineRule="auto"/>
        <w:ind w:firstLine="437"/>
        <w:outlineLvl w:val="1"/>
        <w:rPr>
          <w:rFonts w:ascii="宋体" w:hAnsi="宋体" w:eastAsia="宋体"/>
          <w:b/>
          <w:bCs/>
          <w:color w:val="auto"/>
          <w:sz w:val="24"/>
          <w:szCs w:val="18"/>
          <w:highlight w:val="none"/>
        </w:rPr>
      </w:pPr>
      <w:bookmarkStart w:id="33" w:name="_Toc5944"/>
      <w:bookmarkStart w:id="34" w:name="_Toc7671"/>
      <w:r>
        <w:rPr>
          <w:rFonts w:hint="eastAsia" w:ascii="宋体" w:hAnsi="宋体" w:eastAsia="宋体"/>
          <w:b/>
          <w:bCs/>
          <w:color w:val="auto"/>
          <w:sz w:val="24"/>
          <w:szCs w:val="18"/>
          <w:highlight w:val="none"/>
          <w:lang w:val="en-US" w:eastAsia="zh-CN"/>
        </w:rPr>
        <w:t>&lt;</w:t>
      </w:r>
      <w:r>
        <w:rPr>
          <w:rFonts w:hint="eastAsia" w:ascii="宋体" w:hAnsi="宋体" w:eastAsia="宋体"/>
          <w:b/>
          <w:bCs/>
          <w:color w:val="auto"/>
          <w:sz w:val="24"/>
          <w:szCs w:val="18"/>
          <w:highlight w:val="none"/>
        </w:rPr>
        <w:t>二</w:t>
      </w:r>
      <w:r>
        <w:rPr>
          <w:rFonts w:hint="eastAsia" w:ascii="宋体" w:hAnsi="宋体" w:eastAsia="宋体"/>
          <w:b/>
          <w:bCs/>
          <w:color w:val="auto"/>
          <w:sz w:val="24"/>
          <w:szCs w:val="18"/>
          <w:highlight w:val="none"/>
          <w:lang w:val="en-US" w:eastAsia="zh-CN"/>
        </w:rPr>
        <w:t>&gt;</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tbl>
      <w:tblPr>
        <w:tblStyle w:val="22"/>
        <w:tblW w:w="45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3025"/>
        <w:gridCol w:w="1358"/>
        <w:gridCol w:w="1515"/>
        <w:gridCol w:w="827"/>
      </w:tblGrid>
      <w:tr w14:paraId="1B7C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65" w:type="pct"/>
            <w:tcBorders>
              <w:top w:val="single" w:color="auto" w:sz="4" w:space="0"/>
              <w:left w:val="single" w:color="auto" w:sz="4" w:space="0"/>
              <w:bottom w:val="single" w:color="auto" w:sz="4" w:space="0"/>
              <w:right w:val="single" w:color="auto" w:sz="4" w:space="0"/>
            </w:tcBorders>
            <w:noWrap w:val="0"/>
            <w:vAlign w:val="center"/>
          </w:tcPr>
          <w:p w14:paraId="129D46BD">
            <w:pPr>
              <w:spacing w:line="500" w:lineRule="exact"/>
              <w:jc w:val="center"/>
              <w:rPr>
                <w:rFonts w:hint="eastAsia" w:ascii="宋体" w:hAnsi="宋体" w:eastAsia="宋体" w:cs="宋体"/>
                <w:color w:val="auto"/>
                <w:sz w:val="24"/>
                <w:szCs w:val="24"/>
                <w:highlight w:val="none"/>
                <w:lang w:val="en-US" w:eastAsia="zh-CN"/>
              </w:rPr>
            </w:pPr>
            <w:bookmarkStart w:id="35" w:name="_Toc4843"/>
            <w:bookmarkStart w:id="36" w:name="_Toc7421"/>
            <w:r>
              <w:rPr>
                <w:rFonts w:hint="eastAsia" w:ascii="宋体" w:hAnsi="宋体" w:eastAsia="宋体" w:cs="宋体"/>
                <w:color w:val="auto"/>
                <w:sz w:val="24"/>
                <w:szCs w:val="24"/>
                <w:highlight w:val="none"/>
                <w:lang w:val="en-US" w:eastAsia="zh-CN"/>
              </w:rPr>
              <w:t>序号</w:t>
            </w:r>
          </w:p>
        </w:tc>
        <w:tc>
          <w:tcPr>
            <w:tcW w:w="1949" w:type="pct"/>
            <w:tcBorders>
              <w:top w:val="single" w:color="auto" w:sz="4" w:space="0"/>
              <w:left w:val="single" w:color="auto" w:sz="4" w:space="0"/>
              <w:bottom w:val="single" w:color="auto" w:sz="4" w:space="0"/>
              <w:right w:val="single" w:color="auto" w:sz="4" w:space="0"/>
            </w:tcBorders>
            <w:noWrap w:val="0"/>
            <w:vAlign w:val="center"/>
          </w:tcPr>
          <w:p w14:paraId="40B4DAB6">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采购内容</w:t>
            </w:r>
          </w:p>
        </w:tc>
        <w:tc>
          <w:tcPr>
            <w:tcW w:w="875" w:type="pct"/>
            <w:tcBorders>
              <w:top w:val="single" w:color="auto" w:sz="4" w:space="0"/>
              <w:left w:val="single" w:color="auto" w:sz="4" w:space="0"/>
              <w:bottom w:val="single" w:color="auto" w:sz="4" w:space="0"/>
              <w:right w:val="single" w:color="auto" w:sz="4" w:space="0"/>
            </w:tcBorders>
            <w:noWrap w:val="0"/>
            <w:vAlign w:val="center"/>
          </w:tcPr>
          <w:p w14:paraId="02C34FD5">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采购数量</w:t>
            </w:r>
          </w:p>
        </w:tc>
        <w:tc>
          <w:tcPr>
            <w:tcW w:w="976" w:type="pct"/>
            <w:tcBorders>
              <w:top w:val="single" w:color="auto" w:sz="4" w:space="0"/>
              <w:left w:val="single" w:color="auto" w:sz="4" w:space="0"/>
              <w:bottom w:val="single" w:color="auto" w:sz="4" w:space="0"/>
              <w:right w:val="single" w:color="auto" w:sz="4" w:space="0"/>
            </w:tcBorders>
            <w:noWrap w:val="0"/>
            <w:vAlign w:val="center"/>
          </w:tcPr>
          <w:p w14:paraId="6434E975">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详细参数</w:t>
            </w:r>
          </w:p>
        </w:tc>
        <w:tc>
          <w:tcPr>
            <w:tcW w:w="533" w:type="pct"/>
            <w:tcBorders>
              <w:top w:val="single" w:color="auto" w:sz="4" w:space="0"/>
              <w:left w:val="single" w:color="auto" w:sz="4" w:space="0"/>
              <w:bottom w:val="single" w:color="auto" w:sz="4" w:space="0"/>
              <w:right w:val="single" w:color="auto" w:sz="4" w:space="0"/>
            </w:tcBorders>
            <w:noWrap w:val="0"/>
            <w:vAlign w:val="center"/>
          </w:tcPr>
          <w:p w14:paraId="47AE0490">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5DB0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pct"/>
            <w:tcBorders>
              <w:top w:val="single" w:color="auto" w:sz="4" w:space="0"/>
              <w:left w:val="single" w:color="auto" w:sz="4" w:space="0"/>
              <w:bottom w:val="single" w:color="auto" w:sz="4" w:space="0"/>
              <w:right w:val="single" w:color="auto" w:sz="4" w:space="0"/>
            </w:tcBorders>
            <w:noWrap w:val="0"/>
            <w:vAlign w:val="center"/>
          </w:tcPr>
          <w:p w14:paraId="1798D72E">
            <w:pPr>
              <w:spacing w:line="5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949" w:type="pct"/>
            <w:tcBorders>
              <w:top w:val="single" w:color="auto" w:sz="4" w:space="0"/>
              <w:left w:val="single" w:color="auto" w:sz="4" w:space="0"/>
              <w:bottom w:val="single" w:color="auto" w:sz="4" w:space="0"/>
              <w:right w:val="single" w:color="auto" w:sz="4" w:space="0"/>
            </w:tcBorders>
            <w:noWrap w:val="0"/>
            <w:vAlign w:val="center"/>
          </w:tcPr>
          <w:p w14:paraId="42812A2F">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多导睡眠记录仪</w:t>
            </w:r>
          </w:p>
        </w:tc>
        <w:tc>
          <w:tcPr>
            <w:tcW w:w="875" w:type="pct"/>
            <w:tcBorders>
              <w:top w:val="single" w:color="auto" w:sz="4" w:space="0"/>
              <w:left w:val="single" w:color="auto" w:sz="4" w:space="0"/>
              <w:bottom w:val="single" w:color="auto" w:sz="4" w:space="0"/>
              <w:right w:val="single" w:color="auto" w:sz="4" w:space="0"/>
            </w:tcBorders>
            <w:noWrap w:val="0"/>
            <w:vAlign w:val="center"/>
          </w:tcPr>
          <w:p w14:paraId="7767FF80">
            <w:pPr>
              <w:spacing w:line="5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1套</w:t>
            </w:r>
          </w:p>
        </w:tc>
        <w:tc>
          <w:tcPr>
            <w:tcW w:w="976" w:type="pct"/>
            <w:tcBorders>
              <w:top w:val="single" w:color="auto" w:sz="4" w:space="0"/>
              <w:left w:val="single" w:color="auto" w:sz="4" w:space="0"/>
              <w:bottom w:val="single" w:color="auto" w:sz="4" w:space="0"/>
              <w:right w:val="single" w:color="auto" w:sz="4" w:space="0"/>
            </w:tcBorders>
            <w:noWrap w:val="0"/>
            <w:vAlign w:val="center"/>
          </w:tcPr>
          <w:p w14:paraId="6F54AE00">
            <w:pPr>
              <w:spacing w:line="5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详见下文</w:t>
            </w:r>
          </w:p>
        </w:tc>
        <w:tc>
          <w:tcPr>
            <w:tcW w:w="533" w:type="pct"/>
            <w:tcBorders>
              <w:top w:val="single" w:color="auto" w:sz="4" w:space="0"/>
              <w:left w:val="single" w:color="auto" w:sz="4" w:space="0"/>
              <w:bottom w:val="single" w:color="auto" w:sz="4" w:space="0"/>
              <w:right w:val="single" w:color="auto" w:sz="4" w:space="0"/>
            </w:tcBorders>
            <w:noWrap w:val="0"/>
            <w:vAlign w:val="center"/>
          </w:tcPr>
          <w:p w14:paraId="427471E1">
            <w:pPr>
              <w:spacing w:line="500" w:lineRule="exact"/>
              <w:jc w:val="center"/>
              <w:rPr>
                <w:rFonts w:hint="eastAsia" w:ascii="宋体" w:hAnsi="宋体" w:eastAsia="宋体" w:cs="宋体"/>
                <w:color w:val="auto"/>
                <w:sz w:val="24"/>
                <w:szCs w:val="24"/>
                <w:highlight w:val="none"/>
              </w:rPr>
            </w:pPr>
          </w:p>
        </w:tc>
      </w:tr>
    </w:tbl>
    <w:p w14:paraId="77B92F9F">
      <w:pPr>
        <w:numPr>
          <w:ilvl w:val="0"/>
          <w:numId w:val="0"/>
        </w:numPr>
        <w:ind w:left="210" w:leftChars="100" w:firstLine="440" w:firstLineChars="200"/>
        <w:rPr>
          <w:rFonts w:hint="eastAsia" w:ascii="宋体" w:hAnsi="宋体" w:eastAsia="宋体" w:cs="宋体"/>
          <w:color w:val="auto"/>
          <w:kern w:val="2"/>
          <w:sz w:val="22"/>
          <w:szCs w:val="22"/>
          <w:highlight w:val="none"/>
          <w:lang w:val="en-US" w:eastAsia="zh-CN" w:bidi="ar-SA"/>
        </w:rPr>
      </w:pPr>
    </w:p>
    <w:p w14:paraId="04639BA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8"/>
          <w:szCs w:val="36"/>
          <w:highlight w:val="none"/>
          <w:lang w:val="en-US" w:eastAsia="zh-CN"/>
        </w:rPr>
        <w:t>★</w:t>
      </w:r>
      <w:r>
        <w:rPr>
          <w:rFonts w:hint="eastAsia" w:ascii="宋体" w:hAnsi="宋体" w:eastAsia="宋体" w:cs="宋体"/>
          <w:color w:val="auto"/>
          <w:sz w:val="24"/>
          <w:szCs w:val="24"/>
          <w:highlight w:val="none"/>
          <w:lang w:val="en-US" w:eastAsia="zh-CN"/>
        </w:rPr>
        <w:t>一、整体要求：</w:t>
      </w:r>
    </w:p>
    <w:p w14:paraId="427E257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一级（Ⅰ级）标准多导睡眠监测（PSG）</w:t>
      </w:r>
      <w:r>
        <w:rPr>
          <w:rFonts w:hint="eastAsia"/>
          <w:color w:val="auto"/>
          <w:sz w:val="24"/>
          <w:szCs w:val="24"/>
          <w:highlight w:val="none"/>
        </w:rPr>
        <w:t>。</w:t>
      </w:r>
      <w:r>
        <w:rPr>
          <w:rFonts w:hint="eastAsia" w:ascii="宋体" w:hAnsi="宋体" w:eastAsia="宋体" w:cs="宋体"/>
          <w:color w:val="auto"/>
          <w:sz w:val="24"/>
          <w:szCs w:val="24"/>
          <w:highlight w:val="none"/>
        </w:rPr>
        <w:t>一级PSG必须在专业睡眠实验室中进行，且检查全程必须有经过训练的专业技术人员</w:t>
      </w:r>
      <w:r>
        <w:rPr>
          <w:rFonts w:hint="eastAsia" w:ascii="宋体" w:hAnsi="宋体" w:eastAsia="宋体" w:cs="宋体"/>
          <w:color w:val="auto"/>
          <w:sz w:val="24"/>
          <w:szCs w:val="24"/>
          <w:highlight w:val="none"/>
          <w:lang w:val="en-US" w:eastAsia="zh-CN"/>
        </w:rPr>
        <w:t>实时</w:t>
      </w:r>
      <w:r>
        <w:rPr>
          <w:rFonts w:hint="eastAsia" w:ascii="宋体" w:hAnsi="宋体" w:eastAsia="宋体" w:cs="宋体"/>
          <w:color w:val="auto"/>
          <w:sz w:val="24"/>
          <w:szCs w:val="24"/>
          <w:highlight w:val="none"/>
        </w:rPr>
        <w:t>值守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非便携机</w:t>
      </w:r>
      <w:r>
        <w:rPr>
          <w:rFonts w:hint="eastAsia" w:ascii="宋体" w:hAnsi="宋体" w:eastAsia="宋体" w:cs="宋体"/>
          <w:color w:val="auto"/>
          <w:sz w:val="24"/>
          <w:szCs w:val="24"/>
          <w:highlight w:val="none"/>
        </w:rPr>
        <w:t>。</w:t>
      </w:r>
    </w:p>
    <w:p w14:paraId="41C240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二、</w:t>
      </w:r>
      <w:r>
        <w:rPr>
          <w:rFonts w:hint="eastAsia" w:ascii="宋体" w:hAnsi="宋体" w:eastAsia="宋体" w:cs="宋体"/>
          <w:b w:val="0"/>
          <w:bCs w:val="0"/>
          <w:color w:val="auto"/>
          <w:sz w:val="24"/>
          <w:szCs w:val="24"/>
          <w:highlight w:val="none"/>
        </w:rPr>
        <w:t>核心监测</w:t>
      </w:r>
      <w:r>
        <w:rPr>
          <w:rFonts w:hint="eastAsia" w:ascii="宋体" w:hAnsi="宋体" w:eastAsia="宋体" w:cs="宋体"/>
          <w:b w:val="0"/>
          <w:bCs w:val="0"/>
          <w:color w:val="auto"/>
          <w:sz w:val="24"/>
          <w:szCs w:val="24"/>
          <w:highlight w:val="none"/>
          <w:lang w:val="en-US" w:eastAsia="zh-CN"/>
        </w:rPr>
        <w:t>要求</w:t>
      </w:r>
      <w:r>
        <w:rPr>
          <w:rFonts w:hint="eastAsia" w:ascii="宋体" w:hAnsi="宋体" w:eastAsia="宋体" w:cs="宋体"/>
          <w:b w:val="0"/>
          <w:bCs w:val="0"/>
          <w:color w:val="auto"/>
          <w:sz w:val="24"/>
          <w:szCs w:val="24"/>
          <w:highlight w:val="none"/>
        </w:rPr>
        <w:t>：</w:t>
      </w:r>
    </w:p>
    <w:p w14:paraId="2518F30F">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1、具备</w:t>
      </w:r>
      <w:r>
        <w:rPr>
          <w:rFonts w:hint="eastAsia" w:ascii="宋体" w:hAnsi="宋体" w:eastAsia="宋体" w:cs="宋体"/>
          <w:color w:val="auto"/>
          <w:sz w:val="24"/>
          <w:szCs w:val="24"/>
          <w:highlight w:val="none"/>
        </w:rPr>
        <w:t>脑电图：用于判断睡眠分期和觉醒。</w:t>
      </w:r>
    </w:p>
    <w:p w14:paraId="6192424E">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2、具备</w:t>
      </w:r>
      <w:r>
        <w:rPr>
          <w:rFonts w:hint="eastAsia" w:ascii="宋体" w:hAnsi="宋体" w:eastAsia="宋体" w:cs="宋体"/>
          <w:color w:val="auto"/>
          <w:sz w:val="24"/>
          <w:szCs w:val="24"/>
          <w:highlight w:val="none"/>
        </w:rPr>
        <w:t>眼动电图：用于区分快速眼动睡眠（REM）与非快速眼动睡眠（NREM）。</w:t>
      </w:r>
    </w:p>
    <w:p w14:paraId="394ADF29">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3、具备</w:t>
      </w:r>
      <w:r>
        <w:rPr>
          <w:rFonts w:hint="eastAsia" w:ascii="宋体" w:hAnsi="宋体" w:eastAsia="宋体" w:cs="宋体"/>
          <w:color w:val="auto"/>
          <w:sz w:val="24"/>
          <w:szCs w:val="24"/>
          <w:highlight w:val="none"/>
        </w:rPr>
        <w:t>下颌肌电</w:t>
      </w:r>
      <w:r>
        <w:rPr>
          <w:rFonts w:hint="eastAsia" w:ascii="宋体" w:hAnsi="宋体" w:eastAsia="宋体" w:cs="宋体"/>
          <w:color w:val="auto"/>
          <w:sz w:val="24"/>
          <w:szCs w:val="24"/>
          <w:highlight w:val="none"/>
          <w:lang w:val="en-US" w:eastAsia="zh-CN"/>
        </w:rPr>
        <w:t>和胫骨肌电</w:t>
      </w:r>
      <w:r>
        <w:rPr>
          <w:rFonts w:hint="eastAsia" w:ascii="宋体" w:hAnsi="宋体" w:eastAsia="宋体" w:cs="宋体"/>
          <w:color w:val="auto"/>
          <w:sz w:val="24"/>
          <w:szCs w:val="24"/>
          <w:highlight w:val="none"/>
        </w:rPr>
        <w:t>图：辅助睡眠分期，并监测磨牙</w:t>
      </w:r>
      <w:r>
        <w:rPr>
          <w:rFonts w:hint="eastAsia" w:ascii="宋体" w:hAnsi="宋体" w:eastAsia="宋体" w:cs="宋体"/>
          <w:color w:val="auto"/>
          <w:sz w:val="24"/>
          <w:szCs w:val="24"/>
          <w:highlight w:val="none"/>
          <w:lang w:val="en-US" w:eastAsia="zh-CN"/>
        </w:rPr>
        <w:t>和腿动</w:t>
      </w:r>
      <w:r>
        <w:rPr>
          <w:rFonts w:hint="eastAsia" w:ascii="宋体" w:hAnsi="宋体" w:eastAsia="宋体" w:cs="宋体"/>
          <w:color w:val="auto"/>
          <w:sz w:val="24"/>
          <w:szCs w:val="24"/>
          <w:highlight w:val="none"/>
        </w:rPr>
        <w:t>等事件。</w:t>
      </w:r>
    </w:p>
    <w:p w14:paraId="123FC47A">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4、具备</w:t>
      </w:r>
      <w:r>
        <w:rPr>
          <w:rFonts w:hint="eastAsia" w:ascii="宋体" w:hAnsi="宋体" w:eastAsia="宋体" w:cs="宋体"/>
          <w:color w:val="auto"/>
          <w:sz w:val="24"/>
          <w:szCs w:val="24"/>
          <w:highlight w:val="none"/>
        </w:rPr>
        <w:t>心电图：监测睡眠期间的心脏电活动。</w:t>
      </w:r>
    </w:p>
    <w:p w14:paraId="17B29EA0">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5、具备</w:t>
      </w:r>
      <w:r>
        <w:rPr>
          <w:rFonts w:hint="eastAsia" w:ascii="宋体" w:hAnsi="宋体" w:eastAsia="宋体" w:cs="宋体"/>
          <w:color w:val="auto"/>
          <w:sz w:val="24"/>
          <w:szCs w:val="24"/>
          <w:highlight w:val="none"/>
        </w:rPr>
        <w:t>呼吸气流：通常通过口鼻压力传感器和热敏传感器共同监测。</w:t>
      </w:r>
    </w:p>
    <w:p w14:paraId="74E28CB5">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6、具备</w:t>
      </w:r>
      <w:r>
        <w:rPr>
          <w:rFonts w:hint="eastAsia" w:ascii="宋体" w:hAnsi="宋体" w:eastAsia="宋体" w:cs="宋体"/>
          <w:color w:val="auto"/>
          <w:sz w:val="24"/>
          <w:szCs w:val="24"/>
          <w:highlight w:val="none"/>
        </w:rPr>
        <w:t>呼吸努力：通过胸腹运动传感器（如RIP带）监测。</w:t>
      </w:r>
    </w:p>
    <w:p w14:paraId="603469D6">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7、具备</w:t>
      </w:r>
      <w:r>
        <w:rPr>
          <w:rFonts w:hint="eastAsia" w:ascii="宋体" w:hAnsi="宋体" w:eastAsia="宋体" w:cs="宋体"/>
          <w:color w:val="auto"/>
          <w:sz w:val="24"/>
          <w:szCs w:val="24"/>
          <w:highlight w:val="none"/>
        </w:rPr>
        <w:t>血氧饱和度：监测血液中的氧含量。</w:t>
      </w:r>
    </w:p>
    <w:p w14:paraId="6BE2950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8、具备体动监测、鼾声传感器、视频和音频记录</w:t>
      </w:r>
    </w:p>
    <w:p w14:paraId="5225EE3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val="0"/>
          <w:bCs w:val="0"/>
          <w:color w:val="auto"/>
          <w:sz w:val="24"/>
          <w:szCs w:val="24"/>
          <w:highlight w:val="none"/>
          <w:lang w:val="en-US" w:eastAsia="zh-CN"/>
        </w:rPr>
        <w:t>精准采集要求</w:t>
      </w:r>
    </w:p>
    <w:p w14:paraId="6664AA42">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通道数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32导</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采样率：≥1000Hz</w:t>
      </w:r>
      <w:r>
        <w:rPr>
          <w:rFonts w:hint="eastAsia" w:ascii="宋体" w:hAnsi="宋体" w:eastAsia="宋体" w:cs="宋体"/>
          <w:color w:val="auto"/>
          <w:sz w:val="24"/>
          <w:szCs w:val="24"/>
          <w:highlight w:val="none"/>
          <w:lang w:eastAsia="zh-CN"/>
        </w:rPr>
        <w:t>；</w:t>
      </w:r>
    </w:p>
    <w:p w14:paraId="77BC0FA0">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2、脑电、眼电采样频率200HZ-500HZ，低频滤波≤0.3HZ，高频率波≥35HZ；</w:t>
      </w:r>
    </w:p>
    <w:p w14:paraId="4E18CC62">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3、颠肌电采样频率200HZ-500HZ，肌电：低频滤波≤10HZ，高频率波≥100HZ；</w:t>
      </w:r>
    </w:p>
    <w:p w14:paraId="452752B9">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4、心电采样频率200HZ-500HZ，低频滤波≤0.3HZ，高频率波≥70HZ；</w:t>
      </w:r>
    </w:p>
    <w:p w14:paraId="077F282C">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5、气流，胸、腹运动采样频率25HZ-100HZ，鼻湿度气流/胸、腹运动：低频滤波≤0.1HZ，高频率波≥15HZ；</w:t>
      </w:r>
    </w:p>
    <w:p w14:paraId="07E44D1F">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6、血氧饱和度/经皮PCO2采样频率10HZ-25HZ；</w:t>
      </w:r>
    </w:p>
    <w:p w14:paraId="6A7FFFB2">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7、鼻压力/呼气末PCO2/PAP设备气流、食管压采样频率25HZ-100HZ；鼻压力气流：低频滤波≤0.03HZ或DC，高频率波≥100HZ；PAP设备气流：低频滤波DC，高频率波DC；</w:t>
      </w:r>
    </w:p>
    <w:p w14:paraId="08FBADD4">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8、体位采样频率1HZ；</w:t>
      </w:r>
    </w:p>
    <w:p w14:paraId="6CC40869">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9、鼾声采样频率200HZ-500HZ，低频滤波≤10HZ，高频率波≥100HZ；</w:t>
      </w:r>
    </w:p>
    <w:p w14:paraId="444A4D7C">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输入阻抗通常要求≥10MΩ，共模抑制比要求≥80dB。</w:t>
      </w:r>
    </w:p>
    <w:p w14:paraId="5DE27661">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模数转换：≥24位的A/D转换</w:t>
      </w:r>
    </w:p>
    <w:p w14:paraId="1680BE16">
      <w:pPr>
        <w:pStyle w:val="2"/>
        <w:ind w:firstLine="220" w:firstLineChars="100"/>
        <w:rPr>
          <w:b w:val="0"/>
          <w:bCs w:val="0"/>
          <w:color w:val="auto"/>
          <w:sz w:val="22"/>
          <w:szCs w:val="22"/>
          <w:highlight w:val="none"/>
        </w:rPr>
      </w:pPr>
      <w:r>
        <w:rPr>
          <w:rFonts w:hint="eastAsia"/>
          <w:b w:val="0"/>
          <w:bCs w:val="0"/>
          <w:color w:val="auto"/>
          <w:sz w:val="22"/>
          <w:szCs w:val="22"/>
          <w:highlight w:val="none"/>
        </w:rPr>
        <w:t>备注：“★”为废标项</w:t>
      </w:r>
    </w:p>
    <w:bookmarkEnd w:id="35"/>
    <w:bookmarkEnd w:id="36"/>
    <w:p w14:paraId="44A7FD62">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&lt;</w:t>
      </w:r>
      <w:r>
        <w:rPr>
          <w:rFonts w:hint="eastAsia" w:ascii="宋体" w:hAnsi="宋体" w:eastAsia="宋体"/>
          <w:b/>
          <w:bCs/>
          <w:color w:val="auto"/>
          <w:sz w:val="24"/>
          <w:szCs w:val="18"/>
          <w:highlight w:val="none"/>
        </w:rPr>
        <w:t>三</w:t>
      </w:r>
      <w:r>
        <w:rPr>
          <w:rFonts w:hint="eastAsia" w:ascii="宋体" w:hAnsi="宋体" w:eastAsia="宋体"/>
          <w:b/>
          <w:bCs/>
          <w:color w:val="auto"/>
          <w:sz w:val="24"/>
          <w:szCs w:val="18"/>
          <w:highlight w:val="none"/>
          <w:lang w:val="en-US" w:eastAsia="zh-CN"/>
        </w:rPr>
        <w:t>&gt;</w:t>
      </w:r>
      <w:r>
        <w:rPr>
          <w:rFonts w:hint="eastAsia" w:ascii="宋体" w:hAnsi="宋体" w:eastAsia="宋体"/>
          <w:b/>
          <w:bCs/>
          <w:color w:val="auto"/>
          <w:sz w:val="24"/>
          <w:szCs w:val="18"/>
          <w:highlight w:val="none"/>
        </w:rPr>
        <w:t>报价要求</w:t>
      </w:r>
    </w:p>
    <w:p w14:paraId="58B54A8B">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1.本项目报总价，投标报价不得超过最高限价，单台（套）设备报价不得超过单台（套）最高限价。</w:t>
      </w:r>
    </w:p>
    <w:p w14:paraId="36A7CED4">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投标报价包括货物从设计、采购、制造、交货（包括运输至采购人指定地点卸车就位）至售后服务、人工、管理、税金（除上述采购需求列明的货物需求外，如投标人所投产品须配套其他必要的货物方可正常使用的，投标人须为本项目配备，费用包含在报价中），中标后采购人不再另行追加其他任何费用，请投标人自行考虑报价风险。</w:t>
      </w:r>
    </w:p>
    <w:p w14:paraId="6AC1742D">
      <w:pPr>
        <w:spacing w:line="360" w:lineRule="auto"/>
        <w:ind w:firstLine="437"/>
        <w:outlineLvl w:val="1"/>
        <w:rPr>
          <w:rFonts w:ascii="宋体" w:hAnsi="宋体" w:eastAsia="宋体"/>
          <w:b/>
          <w:bCs/>
          <w:color w:val="auto"/>
          <w:sz w:val="24"/>
          <w:szCs w:val="18"/>
          <w:highlight w:val="none"/>
        </w:rPr>
      </w:pPr>
      <w:bookmarkStart w:id="37" w:name="_Toc3905"/>
      <w:bookmarkStart w:id="38" w:name="_Toc14698"/>
      <w:bookmarkStart w:id="39" w:name="_Toc15293"/>
      <w:r>
        <w:rPr>
          <w:rFonts w:hint="eastAsia" w:ascii="宋体" w:hAnsi="宋体" w:eastAsia="宋体"/>
          <w:b/>
          <w:bCs/>
          <w:color w:val="auto"/>
          <w:sz w:val="24"/>
          <w:szCs w:val="18"/>
          <w:highlight w:val="none"/>
          <w:lang w:val="en-US" w:eastAsia="zh-CN"/>
        </w:rPr>
        <w:t>&lt;</w:t>
      </w:r>
      <w:r>
        <w:rPr>
          <w:rFonts w:hint="eastAsia" w:ascii="宋体" w:hAnsi="宋体" w:eastAsia="宋体"/>
          <w:b/>
          <w:bCs/>
          <w:color w:val="auto"/>
          <w:sz w:val="24"/>
          <w:szCs w:val="18"/>
          <w:highlight w:val="none"/>
        </w:rPr>
        <w:t>四</w:t>
      </w:r>
      <w:r>
        <w:rPr>
          <w:rFonts w:hint="eastAsia" w:ascii="宋体" w:hAnsi="宋体" w:eastAsia="宋体"/>
          <w:b/>
          <w:bCs/>
          <w:color w:val="auto"/>
          <w:sz w:val="24"/>
          <w:szCs w:val="18"/>
          <w:highlight w:val="none"/>
          <w:lang w:val="en-US" w:eastAsia="zh-CN"/>
        </w:rPr>
        <w:t>&gt;</w:t>
      </w:r>
      <w:r>
        <w:rPr>
          <w:rFonts w:hint="eastAsia" w:ascii="宋体" w:hAnsi="宋体" w:eastAsia="宋体"/>
          <w:b/>
          <w:bCs/>
          <w:color w:val="auto"/>
          <w:sz w:val="24"/>
          <w:szCs w:val="18"/>
          <w:highlight w:val="none"/>
        </w:rPr>
        <w:t>其他要求</w:t>
      </w:r>
      <w:bookmarkEnd w:id="37"/>
      <w:bookmarkEnd w:id="38"/>
      <w:bookmarkEnd w:id="39"/>
    </w:p>
    <w:p w14:paraId="266C591C">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（一）</w:t>
      </w:r>
      <w:r>
        <w:rPr>
          <w:rFonts w:hint="eastAsia" w:ascii="宋体" w:hAnsi="宋体" w:eastAsia="宋体"/>
          <w:b w:val="0"/>
          <w:bCs w:val="0"/>
          <w:color w:val="auto"/>
          <w:sz w:val="24"/>
          <w:szCs w:val="18"/>
          <w:highlight w:val="none"/>
          <w:lang w:eastAsia="zh-CN"/>
        </w:rPr>
        <w:t>验收标准</w:t>
      </w:r>
    </w:p>
    <w:p w14:paraId="0468051D">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卖方交付货物需符合国家相关标准、行业标准、地方标准或者其他标准、规范；卖方交付货物需满足采购技术要求。</w:t>
      </w:r>
    </w:p>
    <w:p w14:paraId="0902ED34">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2</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在货物到达买方指定地点后，卖方按买方通知时间派技术人员到买方的项目现场，在买方技术人员在场的情况下开箱清点货物，进行安装、调试，直至设备正常运行，并承担因此发生的一切费用。</w:t>
      </w:r>
    </w:p>
    <w:p w14:paraId="1B5C3BCF">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3</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卖方向买方提供详细的验收标准、验收手册；设备安装后，仪器所有技术参数经检验应符合国家标准及厂方标准；买方有权委托中国有资格的单位对上述仪器进行精度校核；如果由于仪器本身原因而在三十天内调试没有通过，卖方必须更换一套新的相同型号或符合技术性能的仪器设备。</w:t>
      </w:r>
    </w:p>
    <w:p w14:paraId="32051CD3">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4</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所有技术要求采购人验收时将逐条核对，如发现投标人投标响应的技术参数与最终供货的实际情况不符、虚假响应等，由此产生的责任与后果均由中标人承担。</w:t>
      </w:r>
    </w:p>
    <w:p w14:paraId="33A4C60C">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5</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设备验收合格后，出具验收报告，买卖双方在验收文件上签字并加盖公章生效。</w:t>
      </w:r>
    </w:p>
    <w:p w14:paraId="0DB2A50A">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w:t>
      </w:r>
      <w:r>
        <w:rPr>
          <w:rFonts w:hint="eastAsia" w:ascii="宋体" w:hAnsi="宋体" w:eastAsia="宋体"/>
          <w:b w:val="0"/>
          <w:bCs w:val="0"/>
          <w:color w:val="auto"/>
          <w:sz w:val="24"/>
          <w:szCs w:val="18"/>
          <w:highlight w:val="none"/>
          <w:lang w:val="en-US" w:eastAsia="zh-CN"/>
        </w:rPr>
        <w:t>二</w:t>
      </w:r>
      <w:r>
        <w:rPr>
          <w:rFonts w:hint="eastAsia" w:ascii="宋体" w:hAnsi="宋体" w:eastAsia="宋体"/>
          <w:b w:val="0"/>
          <w:bCs w:val="0"/>
          <w:color w:val="auto"/>
          <w:sz w:val="24"/>
          <w:szCs w:val="18"/>
          <w:highlight w:val="none"/>
          <w:lang w:eastAsia="zh-CN"/>
        </w:rPr>
        <w:t>）售后服务及其他要求</w:t>
      </w:r>
    </w:p>
    <w:p w14:paraId="3CD33FDC">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质量保证期：</w:t>
      </w:r>
      <w:r>
        <w:rPr>
          <w:rFonts w:hint="eastAsia" w:ascii="宋体" w:hAnsi="宋体" w:eastAsia="宋体"/>
          <w:b w:val="0"/>
          <w:color w:val="auto"/>
          <w:sz w:val="24"/>
          <w:highlight w:val="none"/>
          <w:u w:val="single"/>
        </w:rPr>
        <w:t>整机质保自验收合格之日不少于3年。</w:t>
      </w:r>
    </w:p>
    <w:p w14:paraId="5B6ECB9E">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2</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在保修期内，属产品质量问题，需免费更换，所发生的一切费用由卖方负担，更换后的零部件质量保证期从更换之日起计算。</w:t>
      </w:r>
    </w:p>
    <w:p w14:paraId="19EFB6A8">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rPr>
        <w:t>保修期内提供每年不低于两次免费维护保养服务，保修期外工程师维护保养维修免上门费。</w:t>
      </w:r>
    </w:p>
    <w:p w14:paraId="3EF76327">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4.</w:t>
      </w:r>
      <w:r>
        <w:rPr>
          <w:rFonts w:hint="eastAsia" w:ascii="宋体" w:hAnsi="宋体" w:eastAsia="宋体"/>
          <w:bCs/>
          <w:color w:val="auto"/>
          <w:sz w:val="24"/>
          <w:szCs w:val="18"/>
          <w:highlight w:val="none"/>
        </w:rPr>
        <w:t>合同签订前需提供原厂质保承诺或买保记录相关证明文件。</w:t>
      </w:r>
    </w:p>
    <w:p w14:paraId="1EE2011B">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Cs/>
          <w:color w:val="auto"/>
          <w:sz w:val="24"/>
          <w:szCs w:val="18"/>
          <w:highlight w:val="none"/>
          <w:lang w:val="en-US" w:eastAsia="zh-CN"/>
        </w:rPr>
        <w:t>5.如发生医患纠纷，经认定为设备原因，造成重大影响的由供应商承担相应责任。所有损失由供应商承担，包含但不限于经济赔偿责任</w:t>
      </w:r>
      <w:r>
        <w:rPr>
          <w:rFonts w:hint="eastAsia" w:ascii="宋体" w:hAnsi="宋体" w:eastAsia="宋体"/>
          <w:bCs/>
          <w:color w:val="auto"/>
          <w:sz w:val="24"/>
          <w:szCs w:val="18"/>
          <w:highlight w:val="none"/>
        </w:rPr>
        <w:t>。</w:t>
      </w:r>
    </w:p>
    <w:p w14:paraId="1BFAE2EF">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6.</w:t>
      </w:r>
      <w:r>
        <w:rPr>
          <w:rFonts w:hint="eastAsia" w:ascii="宋体" w:hAnsi="宋体" w:eastAsia="宋体"/>
          <w:b w:val="0"/>
          <w:bCs w:val="0"/>
          <w:color w:val="auto"/>
          <w:sz w:val="24"/>
          <w:szCs w:val="18"/>
          <w:highlight w:val="none"/>
          <w:lang w:eastAsia="zh-CN"/>
        </w:rPr>
        <w:t>卖方应有效保证售后维修服务，提供7*24维保技术服务。卖方应提供技术支持，保证系统的正常工作；在保修期外提供成本价维修服务，如需更换零部件，应以成本价提供合格的正品，保证更换的质量。</w:t>
      </w:r>
    </w:p>
    <w:p w14:paraId="6B3A5553">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7.</w:t>
      </w:r>
      <w:r>
        <w:rPr>
          <w:rFonts w:hint="eastAsia" w:ascii="宋体" w:hAnsi="宋体" w:eastAsia="宋体"/>
          <w:b w:val="0"/>
          <w:bCs w:val="0"/>
          <w:color w:val="auto"/>
          <w:sz w:val="24"/>
          <w:szCs w:val="18"/>
          <w:highlight w:val="none"/>
          <w:lang w:eastAsia="zh-CN"/>
        </w:rPr>
        <w:t>卖方负责对买方技术人员、操作人员进行现场培训，培训内容包括设备操作、设备维护及简单的设备维修等。</w:t>
      </w:r>
    </w:p>
    <w:p w14:paraId="76943228">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8.</w:t>
      </w:r>
      <w:r>
        <w:rPr>
          <w:rFonts w:hint="eastAsia" w:ascii="宋体" w:hAnsi="宋体" w:eastAsia="宋体"/>
          <w:b w:val="0"/>
          <w:bCs w:val="0"/>
          <w:color w:val="auto"/>
          <w:sz w:val="24"/>
          <w:szCs w:val="18"/>
          <w:highlight w:val="none"/>
          <w:lang w:eastAsia="zh-CN"/>
        </w:rPr>
        <w:t>所投机型开发的所有软件均须免费对招标人开放，信息接口费用由投标人承担。在质保期内可提供软件免费升级、临床项目指导等。</w:t>
      </w:r>
    </w:p>
    <w:p w14:paraId="62DC7094">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color w:val="auto"/>
          <w:sz w:val="24"/>
          <w:highlight w:val="none"/>
          <w:lang w:val="en-US" w:eastAsia="zh-CN"/>
        </w:rPr>
        <w:t>9</w:t>
      </w:r>
      <w:r>
        <w:rPr>
          <w:rFonts w:hint="eastAsia" w:ascii="宋体" w:hAnsi="宋体" w:eastAsia="宋体"/>
          <w:color w:val="auto"/>
          <w:sz w:val="24"/>
          <w:highlight w:val="none"/>
        </w:rPr>
        <w:t>.所投设备为自合同签订之日起（进口产品前后六个月，国内产品前后三个月）生产的最新产品，</w:t>
      </w:r>
      <w:r>
        <w:rPr>
          <w:rFonts w:hint="eastAsia" w:ascii="宋体" w:hAnsi="宋体" w:eastAsia="宋体"/>
          <w:b/>
          <w:bCs/>
          <w:color w:val="auto"/>
          <w:sz w:val="24"/>
          <w:highlight w:val="none"/>
        </w:rPr>
        <w:t>提供承诺书并加盖公章（提供承诺）。</w:t>
      </w:r>
    </w:p>
    <w:p w14:paraId="6E27B022">
      <w:pPr>
        <w:spacing w:line="360" w:lineRule="auto"/>
        <w:ind w:firstLine="437"/>
        <w:outlineLvl w:val="1"/>
        <w:rPr>
          <w:rFonts w:hint="eastAsia" w:ascii="宋体" w:hAnsi="宋体" w:eastAsia="宋体"/>
          <w:b/>
          <w:bCs/>
          <w:color w:val="auto"/>
          <w:sz w:val="24"/>
          <w:szCs w:val="18"/>
          <w:highlight w:val="none"/>
          <w:lang w:eastAsia="zh-CN"/>
        </w:rPr>
      </w:pPr>
      <w:r>
        <w:rPr>
          <w:rFonts w:hint="eastAsia" w:ascii="宋体" w:hAnsi="宋体" w:eastAsia="宋体"/>
          <w:b w:val="0"/>
          <w:bCs w:val="0"/>
          <w:color w:val="auto"/>
          <w:sz w:val="24"/>
          <w:szCs w:val="18"/>
          <w:highlight w:val="none"/>
          <w:lang w:val="en-US" w:eastAsia="zh-CN"/>
        </w:rPr>
        <w:t>10</w:t>
      </w:r>
      <w:r>
        <w:rPr>
          <w:rFonts w:hint="eastAsia" w:ascii="宋体" w:hAnsi="宋体" w:eastAsia="宋体"/>
          <w:b w:val="0"/>
          <w:bCs w:val="0"/>
          <w:color w:val="auto"/>
          <w:sz w:val="24"/>
          <w:szCs w:val="18"/>
          <w:highlight w:val="none"/>
          <w:lang w:eastAsia="zh-CN"/>
        </w:rPr>
        <w:t>.所投产品不含专机专用耗材，如有专机专用耗材终身免费提供使用，</w:t>
      </w:r>
      <w:r>
        <w:rPr>
          <w:rFonts w:hint="eastAsia" w:ascii="宋体" w:hAnsi="宋体" w:eastAsia="宋体"/>
          <w:b/>
          <w:bCs/>
          <w:color w:val="auto"/>
          <w:sz w:val="24"/>
          <w:szCs w:val="18"/>
          <w:highlight w:val="none"/>
          <w:lang w:eastAsia="zh-CN"/>
        </w:rPr>
        <w:t>提供承诺书并加盖公章（提供承诺）。</w:t>
      </w:r>
    </w:p>
    <w:p w14:paraId="15D04563">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9C25AF">
      <w:pPr>
        <w:spacing w:line="360" w:lineRule="auto"/>
        <w:jc w:val="center"/>
        <w:outlineLvl w:val="0"/>
        <w:rPr>
          <w:rFonts w:asciiTheme="minorEastAsia" w:hAnsiTheme="minorEastAsia" w:eastAsiaTheme="minorEastAsia"/>
          <w:b/>
          <w:color w:val="auto"/>
          <w:sz w:val="28"/>
          <w:highlight w:val="none"/>
        </w:rPr>
      </w:pPr>
      <w:bookmarkStart w:id="40" w:name="_Toc16417"/>
      <w:r>
        <w:rPr>
          <w:rFonts w:hint="eastAsia" w:asciiTheme="minorEastAsia" w:hAnsiTheme="minorEastAsia" w:eastAsiaTheme="minorEastAsia"/>
          <w:b/>
          <w:color w:val="auto"/>
          <w:sz w:val="28"/>
          <w:highlight w:val="none"/>
        </w:rPr>
        <w:t>第四章  评标方法和标准（综合评分法）</w:t>
      </w:r>
      <w:bookmarkEnd w:id="40"/>
    </w:p>
    <w:p w14:paraId="32727DD1">
      <w:pPr>
        <w:spacing w:line="360" w:lineRule="auto"/>
        <w:ind w:firstLine="437"/>
        <w:outlineLvl w:val="1"/>
        <w:rPr>
          <w:rFonts w:asciiTheme="minorEastAsia" w:hAnsiTheme="minorEastAsia" w:eastAsiaTheme="minorEastAsia"/>
          <w:b/>
          <w:color w:val="auto"/>
          <w:sz w:val="24"/>
          <w:highlight w:val="none"/>
        </w:rPr>
      </w:pPr>
      <w:bookmarkStart w:id="41" w:name="_Toc1246"/>
      <w:bookmarkStart w:id="42" w:name="_Toc11823"/>
      <w:r>
        <w:rPr>
          <w:rFonts w:hint="eastAsia" w:asciiTheme="minorEastAsia" w:hAnsiTheme="minorEastAsia" w:eastAsiaTheme="minorEastAsia"/>
          <w:b/>
          <w:color w:val="auto"/>
          <w:sz w:val="24"/>
          <w:highlight w:val="none"/>
        </w:rPr>
        <w:t>一、总则</w:t>
      </w:r>
      <w:bookmarkEnd w:id="41"/>
      <w:bookmarkEnd w:id="42"/>
    </w:p>
    <w:p w14:paraId="7D0A83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0B31407E">
      <w:pPr>
        <w:spacing w:line="360" w:lineRule="auto"/>
        <w:ind w:firstLine="437"/>
        <w:outlineLvl w:val="1"/>
        <w:rPr>
          <w:rFonts w:asciiTheme="minorEastAsia" w:hAnsiTheme="minorEastAsia" w:eastAsiaTheme="minorEastAsia"/>
          <w:b/>
          <w:color w:val="auto"/>
          <w:sz w:val="24"/>
          <w:highlight w:val="none"/>
        </w:rPr>
      </w:pPr>
      <w:bookmarkStart w:id="43" w:name="_Toc31871"/>
      <w:bookmarkStart w:id="44" w:name="_Toc13117"/>
      <w:r>
        <w:rPr>
          <w:rFonts w:hint="eastAsia" w:asciiTheme="minorEastAsia" w:hAnsiTheme="minorEastAsia" w:eastAsiaTheme="minorEastAsia"/>
          <w:b/>
          <w:color w:val="auto"/>
          <w:sz w:val="24"/>
          <w:highlight w:val="none"/>
        </w:rPr>
        <w:t>二、评标方法</w:t>
      </w:r>
      <w:bookmarkEnd w:id="43"/>
      <w:bookmarkEnd w:id="44"/>
    </w:p>
    <w:p w14:paraId="19F4B211">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2"/>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651"/>
        <w:gridCol w:w="4561"/>
        <w:gridCol w:w="1889"/>
      </w:tblGrid>
      <w:tr w14:paraId="3B53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30DF6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0129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4EB16D5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71FEB743">
            <w:pPr>
              <w:pStyle w:val="32"/>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3" w:type="pct"/>
            <w:tcBorders>
              <w:bottom w:val="single" w:color="auto" w:sz="4" w:space="0"/>
            </w:tcBorders>
            <w:vAlign w:val="center"/>
          </w:tcPr>
          <w:p w14:paraId="30803EEB">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6" w:type="pct"/>
            <w:tcBorders>
              <w:bottom w:val="single" w:color="auto" w:sz="4" w:space="0"/>
            </w:tcBorders>
            <w:vAlign w:val="center"/>
          </w:tcPr>
          <w:p w14:paraId="56183EF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4150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7" w:type="pct"/>
            <w:tcBorders>
              <w:bottom w:val="single" w:color="auto" w:sz="4" w:space="0"/>
            </w:tcBorders>
            <w:vAlign w:val="center"/>
          </w:tcPr>
          <w:p w14:paraId="08FBCF02">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42076691">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3" w:type="pct"/>
            <w:tcBorders>
              <w:bottom w:val="single" w:color="auto" w:sz="4" w:space="0"/>
            </w:tcBorders>
            <w:vAlign w:val="center"/>
          </w:tcPr>
          <w:p w14:paraId="40FFC84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02E125B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7C7E8DE1">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4F51A2B">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BD0ADF6">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6" w:type="pct"/>
            <w:vAlign w:val="center"/>
          </w:tcPr>
          <w:p w14:paraId="66551251">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07D1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7" w:type="pct"/>
            <w:tcBorders>
              <w:bottom w:val="single" w:color="auto" w:sz="4" w:space="0"/>
            </w:tcBorders>
            <w:vAlign w:val="center"/>
          </w:tcPr>
          <w:p w14:paraId="2FF5016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137D570E">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3" w:type="pct"/>
            <w:tcBorders>
              <w:bottom w:val="single" w:color="auto" w:sz="4" w:space="0"/>
            </w:tcBorders>
            <w:vAlign w:val="center"/>
          </w:tcPr>
          <w:p w14:paraId="7591BA19">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6" w:type="pct"/>
            <w:vAlign w:val="center"/>
          </w:tcPr>
          <w:p w14:paraId="4737FF0A">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3042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1B87175C">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40D96A57">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06932063">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eastAsia="zh-CN"/>
              </w:rPr>
              <w:t>投标人不得存在投标人须知正文第1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6" w:type="pct"/>
            <w:tcBorders>
              <w:bottom w:val="single" w:color="auto" w:sz="4" w:space="0"/>
            </w:tcBorders>
            <w:vAlign w:val="center"/>
          </w:tcPr>
          <w:p w14:paraId="41BF118C">
            <w:pPr>
              <w:spacing w:line="360" w:lineRule="auto"/>
              <w:jc w:val="left"/>
              <w:rPr>
                <w:rFonts w:hint="eastAsia" w:ascii="@仿宋_GB2312" w:hAnsi="@仿宋_GB2312" w:eastAsia="宋体"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随评标报告一起留存</w:t>
            </w:r>
            <w:r>
              <w:rPr>
                <w:rFonts w:hint="eastAsia" w:ascii="宋体" w:hAnsi="宋体" w:eastAsia="宋体" w:cs="宋体"/>
                <w:color w:val="auto"/>
                <w:sz w:val="24"/>
                <w:szCs w:val="24"/>
                <w:highlight w:val="none"/>
                <w:lang w:eastAsia="zh-CN"/>
              </w:rPr>
              <w:t>。</w:t>
            </w:r>
          </w:p>
        </w:tc>
      </w:tr>
      <w:tr w14:paraId="7254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77C33C4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14:paraId="2F5FD024">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603" w:type="pct"/>
            <w:tcBorders>
              <w:bottom w:val="single" w:color="auto" w:sz="4" w:space="0"/>
            </w:tcBorders>
            <w:vAlign w:val="center"/>
          </w:tcPr>
          <w:p w14:paraId="18FF0883">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6" w:type="pct"/>
            <w:tcBorders>
              <w:bottom w:val="single" w:color="auto" w:sz="4" w:space="0"/>
            </w:tcBorders>
            <w:vAlign w:val="center"/>
          </w:tcPr>
          <w:p w14:paraId="7E76CF47">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F1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vAlign w:val="center"/>
          </w:tcPr>
          <w:p w14:paraId="1E140DA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42" w:type="pct"/>
            <w:vAlign w:val="center"/>
          </w:tcPr>
          <w:p w14:paraId="34D8973F">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603" w:type="pct"/>
            <w:vAlign w:val="center"/>
          </w:tcPr>
          <w:p w14:paraId="6E4DCC4D">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6" w:type="pct"/>
            <w:vAlign w:val="center"/>
          </w:tcPr>
          <w:p w14:paraId="7EAB58B4">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52C22705">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资格审查指标通过标准：资格审查由评标委员会审查，投标人必须通过资格审查表中的全部评审指标。</w:t>
      </w:r>
    </w:p>
    <w:p w14:paraId="5F34D909">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B43DC5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117"/>
        <w:gridCol w:w="3128"/>
        <w:gridCol w:w="2512"/>
      </w:tblGrid>
      <w:tr w14:paraId="0174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FCC3444">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66D3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tcBorders>
              <w:bottom w:val="single" w:color="auto" w:sz="4" w:space="0"/>
            </w:tcBorders>
            <w:vAlign w:val="center"/>
          </w:tcPr>
          <w:p w14:paraId="0BAE612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5B9797D5">
            <w:pPr>
              <w:pStyle w:val="32"/>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1C248D59">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3" w:type="pct"/>
            <w:tcBorders>
              <w:bottom w:val="single" w:color="auto" w:sz="4" w:space="0"/>
            </w:tcBorders>
            <w:vAlign w:val="center"/>
          </w:tcPr>
          <w:p w14:paraId="74C9D66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7A0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1BC09F7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05CA5A7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4F18198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33F46967">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063F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253F69C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2F4114A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1C94931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54B461D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184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4B4BC29">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310EB9D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4FFE545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572D49D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5FF9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66E384F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2B75BBA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4E01FA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3" w:type="pct"/>
            <w:vAlign w:val="center"/>
          </w:tcPr>
          <w:p w14:paraId="3BD91CF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B49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634A305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7602CF1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32CFC33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3" w:type="pct"/>
            <w:vAlign w:val="center"/>
          </w:tcPr>
          <w:p w14:paraId="7E76DF9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14B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7D74325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2A9FB58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1835" w:type="pct"/>
            <w:vAlign w:val="center"/>
          </w:tcPr>
          <w:p w14:paraId="52FADE30">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473" w:type="pct"/>
            <w:vAlign w:val="center"/>
          </w:tcPr>
          <w:p w14:paraId="1B75504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266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3634CAF3">
            <w:pPr>
              <w:adjustRightInd w:val="0"/>
              <w:snapToGrid w:val="0"/>
              <w:spacing w:line="360" w:lineRule="auto"/>
              <w:ind w:right="-1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2D2595A9">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宋体" w:hAnsi="宋体" w:eastAsia="宋体"/>
                <w:color w:val="auto"/>
                <w:sz w:val="24"/>
                <w:szCs w:val="28"/>
                <w:highlight w:val="none"/>
              </w:rPr>
              <w:t>所投产品要求</w:t>
            </w:r>
          </w:p>
        </w:tc>
        <w:tc>
          <w:tcPr>
            <w:tcW w:w="1835" w:type="pct"/>
            <w:vAlign w:val="center"/>
          </w:tcPr>
          <w:p w14:paraId="2C57DE03">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宋体" w:hAnsi="宋体" w:eastAsia="宋体"/>
                <w:color w:val="auto"/>
                <w:sz w:val="24"/>
                <w:szCs w:val="28"/>
                <w:highlight w:val="none"/>
              </w:rPr>
              <w:t>符合招标文件采购需求要求</w:t>
            </w:r>
          </w:p>
        </w:tc>
        <w:tc>
          <w:tcPr>
            <w:tcW w:w="1473" w:type="pct"/>
            <w:vAlign w:val="center"/>
          </w:tcPr>
          <w:p w14:paraId="737E8B68">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b/>
                <w:bCs/>
                <w:color w:val="auto"/>
                <w:sz w:val="24"/>
                <w:szCs w:val="18"/>
                <w:highlight w:val="none"/>
                <w:lang w:val="en-US" w:eastAsia="zh-CN"/>
              </w:rPr>
              <w:t>投标产品具有相应有效的医疗器械注册证（适用第二类和第三类医疗器械）或备案凭证（适用第一类医疗器械）</w:t>
            </w:r>
            <w:r>
              <w:rPr>
                <w:rFonts w:hint="eastAsia" w:ascii="宋体" w:hAnsi="宋体" w:eastAsia="宋体" w:cs="宋体"/>
                <w:b/>
                <w:bCs/>
                <w:color w:val="auto"/>
                <w:kern w:val="0"/>
                <w:sz w:val="24"/>
                <w:szCs w:val="24"/>
                <w:highlight w:val="none"/>
                <w:lang w:bidi="ar"/>
              </w:rPr>
              <w:t>。</w:t>
            </w:r>
          </w:p>
        </w:tc>
      </w:tr>
      <w:tr w14:paraId="24EE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9DB2FD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8</w:t>
            </w:r>
          </w:p>
        </w:tc>
        <w:tc>
          <w:tcPr>
            <w:tcW w:w="1242" w:type="pct"/>
            <w:vAlign w:val="center"/>
          </w:tcPr>
          <w:p w14:paraId="045D6E1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5" w:type="pct"/>
            <w:vAlign w:val="center"/>
          </w:tcPr>
          <w:p w14:paraId="284BD460">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3" w:type="pct"/>
            <w:vAlign w:val="center"/>
          </w:tcPr>
          <w:p w14:paraId="69067724">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7FC96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10FC729C">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2"/>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586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56AC1FAD">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A3A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0BCA85F1">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54EED754">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57AA1BB6">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66D56801">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12D2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4F991B1">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CC8267C">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64CD83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7B8F51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76395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4121D814">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8370222">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A1A6EA4">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C0954C5">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707AD062">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0A8C2260">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096B8215">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56A88EA3">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6CBC9FB5">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0C32ED6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51E3F12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764D4EA">
      <w:pPr>
        <w:spacing w:line="360" w:lineRule="auto"/>
        <w:ind w:firstLine="435"/>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2"/>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984"/>
        <w:gridCol w:w="5332"/>
        <w:gridCol w:w="857"/>
      </w:tblGrid>
      <w:tr w14:paraId="384E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top"/>
          </w:tcPr>
          <w:p w14:paraId="7F72E94A">
            <w:pPr>
              <w:spacing w:line="50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评审项目</w:t>
            </w:r>
          </w:p>
        </w:tc>
        <w:tc>
          <w:tcPr>
            <w:tcW w:w="1984" w:type="dxa"/>
            <w:tcBorders>
              <w:bottom w:val="single" w:color="auto" w:sz="4" w:space="0"/>
            </w:tcBorders>
            <w:noWrap w:val="0"/>
            <w:vAlign w:val="top"/>
          </w:tcPr>
          <w:p w14:paraId="0409C3C1">
            <w:pPr>
              <w:spacing w:line="500" w:lineRule="exact"/>
              <w:ind w:firstLine="120" w:firstLineChars="5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分值</w:t>
            </w:r>
          </w:p>
        </w:tc>
        <w:tc>
          <w:tcPr>
            <w:tcW w:w="5332" w:type="dxa"/>
            <w:noWrap w:val="0"/>
            <w:vAlign w:val="top"/>
          </w:tcPr>
          <w:p w14:paraId="617BEB2D">
            <w:pPr>
              <w:spacing w:line="500" w:lineRule="exact"/>
              <w:ind w:firstLine="2160" w:firstLineChars="9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评审内容及标准</w:t>
            </w:r>
          </w:p>
        </w:tc>
        <w:tc>
          <w:tcPr>
            <w:tcW w:w="857" w:type="dxa"/>
            <w:noWrap w:val="0"/>
            <w:vAlign w:val="top"/>
          </w:tcPr>
          <w:p w14:paraId="30263A2C">
            <w:pPr>
              <w:tabs>
                <w:tab w:val="left" w:pos="657"/>
              </w:tabs>
              <w:spacing w:line="50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备注</w:t>
            </w:r>
          </w:p>
        </w:tc>
      </w:tr>
      <w:tr w14:paraId="3B82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1" w:type="dxa"/>
            <w:vMerge w:val="restart"/>
            <w:tcBorders>
              <w:right w:val="single" w:color="auto" w:sz="4" w:space="0"/>
            </w:tcBorders>
            <w:noWrap w:val="0"/>
            <w:vAlign w:val="center"/>
          </w:tcPr>
          <w:p w14:paraId="4DAF8D72">
            <w:pPr>
              <w:spacing w:line="50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技术分</w:t>
            </w:r>
          </w:p>
        </w:tc>
        <w:tc>
          <w:tcPr>
            <w:tcW w:w="1984" w:type="dxa"/>
            <w:tcBorders>
              <w:top w:val="single" w:color="auto" w:sz="4" w:space="0"/>
              <w:left w:val="single" w:color="auto" w:sz="4" w:space="0"/>
              <w:right w:val="single" w:color="auto" w:sz="4" w:space="0"/>
            </w:tcBorders>
            <w:noWrap w:val="0"/>
            <w:vAlign w:val="center"/>
          </w:tcPr>
          <w:p w14:paraId="4D921DFF">
            <w:pPr>
              <w:spacing w:line="30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产品配置及技术要求（</w:t>
            </w:r>
            <w:r>
              <w:rPr>
                <w:rFonts w:hint="eastAsia" w:ascii="宋体" w:hAnsi="宋体" w:eastAsia="宋体" w:cs="宋体"/>
                <w:b w:val="0"/>
                <w:bCs w:val="0"/>
                <w:color w:val="auto"/>
                <w:kern w:val="0"/>
                <w:sz w:val="24"/>
                <w:szCs w:val="24"/>
                <w:highlight w:val="none"/>
                <w:u w:val="single"/>
              </w:rPr>
              <w:t>4</w:t>
            </w:r>
            <w:r>
              <w:rPr>
                <w:rFonts w:hint="eastAsia" w:ascii="宋体" w:hAnsi="宋体" w:eastAsia="宋体" w:cs="宋体"/>
                <w:b w:val="0"/>
                <w:bCs w:val="0"/>
                <w:color w:val="auto"/>
                <w:kern w:val="0"/>
                <w:sz w:val="24"/>
                <w:szCs w:val="24"/>
                <w:highlight w:val="none"/>
                <w:u w:val="single"/>
                <w:lang w:val="en-US" w:eastAsia="zh-CN"/>
              </w:rPr>
              <w:t>9</w:t>
            </w:r>
            <w:r>
              <w:rPr>
                <w:rFonts w:hint="eastAsia" w:ascii="宋体" w:hAnsi="宋体" w:eastAsia="宋体" w:cs="宋体"/>
                <w:b w:val="0"/>
                <w:bCs w:val="0"/>
                <w:color w:val="auto"/>
                <w:kern w:val="0"/>
                <w:sz w:val="24"/>
                <w:szCs w:val="24"/>
                <w:highlight w:val="none"/>
              </w:rPr>
              <w:t>分）</w:t>
            </w:r>
          </w:p>
        </w:tc>
        <w:tc>
          <w:tcPr>
            <w:tcW w:w="5332" w:type="dxa"/>
            <w:tcBorders>
              <w:left w:val="single" w:color="auto" w:sz="4" w:space="0"/>
            </w:tcBorders>
            <w:noWrap w:val="0"/>
            <w:vAlign w:val="center"/>
          </w:tcPr>
          <w:p w14:paraId="7FE35A04">
            <w:pPr>
              <w:spacing w:line="30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技术指标及参数的响应程度：</w:t>
            </w:r>
          </w:p>
          <w:p w14:paraId="1762CE38">
            <w:pPr>
              <w:spacing w:line="30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1、完全满足招标文件采购需求“三. 技术要求”中要求的得</w:t>
            </w:r>
            <w:r>
              <w:rPr>
                <w:rFonts w:hint="eastAsia" w:ascii="宋体" w:hAnsi="宋体" w:eastAsia="宋体" w:cs="宋体"/>
                <w:b w:val="0"/>
                <w:bCs w:val="0"/>
                <w:color w:val="auto"/>
                <w:sz w:val="24"/>
                <w:szCs w:val="24"/>
                <w:highlight w:val="none"/>
                <w:u w:val="single"/>
              </w:rPr>
              <w:t>4</w:t>
            </w:r>
            <w:r>
              <w:rPr>
                <w:rFonts w:hint="eastAsia" w:ascii="宋体" w:hAnsi="宋体" w:eastAsia="宋体" w:cs="宋体"/>
                <w:b w:val="0"/>
                <w:bCs w:val="0"/>
                <w:color w:val="auto"/>
                <w:sz w:val="24"/>
                <w:szCs w:val="24"/>
                <w:highlight w:val="none"/>
                <w:u w:val="single"/>
                <w:lang w:val="en-US" w:eastAsia="zh-CN"/>
              </w:rPr>
              <w:t>9</w:t>
            </w:r>
            <w:r>
              <w:rPr>
                <w:rFonts w:hint="eastAsia" w:ascii="宋体" w:hAnsi="宋体" w:eastAsia="宋体" w:cs="宋体"/>
                <w:b w:val="0"/>
                <w:bCs w:val="0"/>
                <w:color w:val="auto"/>
                <w:sz w:val="24"/>
                <w:szCs w:val="24"/>
                <w:highlight w:val="none"/>
              </w:rPr>
              <w:t>分；标注“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”号的条款，每有一项负偏离扣</w:t>
            </w:r>
            <w:r>
              <w:rPr>
                <w:rFonts w:hint="eastAsia" w:ascii="宋体" w:hAnsi="宋体" w:eastAsia="宋体" w:cs="宋体"/>
                <w:b w:val="0"/>
                <w:bCs w:val="0"/>
                <w:color w:val="auto"/>
                <w:sz w:val="24"/>
                <w:szCs w:val="24"/>
                <w:highlight w:val="none"/>
                <w:u w:val="single"/>
                <w:lang w:val="en-US" w:eastAsia="zh-CN"/>
              </w:rPr>
              <w:t xml:space="preserve"> / </w:t>
            </w:r>
            <w:r>
              <w:rPr>
                <w:rFonts w:hint="eastAsia" w:ascii="宋体" w:hAnsi="宋体" w:eastAsia="宋体" w:cs="宋体"/>
                <w:b w:val="0"/>
                <w:bCs w:val="0"/>
                <w:color w:val="auto"/>
                <w:sz w:val="24"/>
                <w:szCs w:val="24"/>
                <w:highlight w:val="none"/>
              </w:rPr>
              <w:t>分；未标注“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”号的条款，每有一项负</w:t>
            </w:r>
            <w:r>
              <w:rPr>
                <w:rFonts w:hint="eastAsia" w:ascii="宋体" w:hAnsi="宋体" w:eastAsia="宋体" w:cs="宋体"/>
                <w:b w:val="0"/>
                <w:bCs w:val="0"/>
                <w:color w:val="auto"/>
                <w:sz w:val="24"/>
                <w:szCs w:val="24"/>
                <w:highlight w:val="none"/>
              </w:rPr>
              <w:t>偏离扣</w:t>
            </w:r>
            <w:r>
              <w:rPr>
                <w:rFonts w:hint="eastAsia" w:ascii="宋体" w:hAnsi="宋体" w:eastAsia="宋体" w:cs="宋体"/>
                <w:b w:val="0"/>
                <w:bCs w:val="0"/>
                <w:color w:val="auto"/>
                <w:sz w:val="24"/>
                <w:szCs w:val="24"/>
                <w:highlight w:val="none"/>
                <w:u w:val="single"/>
                <w:lang w:val="en-US" w:eastAsia="zh-CN"/>
              </w:rPr>
              <w:t xml:space="preserve"> 2.6 </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rPr>
              <w:t>；本项分数扣完为止，不计负分。</w:t>
            </w:r>
          </w:p>
          <w:p w14:paraId="4DAA4B48">
            <w:pPr>
              <w:spacing w:line="30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注：①投标人对“三. 技术要求”应按投标文件格式要求一一对应详细填写，并备注技术支持资料页码，缺项的视为负偏离。②标注“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必须同时提供相关证明材料（指产品彩页、技术白皮书、产品说明书、检测/检验报告或“三.技术要求”中要求的其他证明材料等支持资料的任意一类），并对证明材料的相关评审内容尽量作出明确的标示（如下划线、背景颜色等），无证明材料的视为负偏离；③未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按照对应参数要求提供证明材料（未提供证明材料的不得分），若对应参数没有要求提供证明材料，投标人可以不提供证明材料，投标人须真实填写技术规格响应情况表，评标委员会按照技术规格响应情况表响应情况进行评审。</w:t>
            </w:r>
          </w:p>
        </w:tc>
        <w:tc>
          <w:tcPr>
            <w:tcW w:w="857" w:type="dxa"/>
            <w:noWrap w:val="0"/>
            <w:vAlign w:val="top"/>
          </w:tcPr>
          <w:p w14:paraId="210756FC">
            <w:pPr>
              <w:spacing w:line="50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w:t>
            </w:r>
          </w:p>
        </w:tc>
      </w:tr>
      <w:tr w14:paraId="0ECA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101" w:type="dxa"/>
            <w:vMerge w:val="continue"/>
            <w:tcBorders>
              <w:right w:val="single" w:color="auto" w:sz="4" w:space="0"/>
            </w:tcBorders>
            <w:noWrap w:val="0"/>
            <w:vAlign w:val="center"/>
          </w:tcPr>
          <w:p w14:paraId="7FA75439">
            <w:pPr>
              <w:spacing w:line="500" w:lineRule="exact"/>
              <w:jc w:val="center"/>
              <w:rPr>
                <w:rFonts w:hint="eastAsia" w:ascii="宋体" w:hAnsi="宋体" w:eastAsia="宋体" w:cs="宋体"/>
                <w:b w:val="0"/>
                <w:bCs w:val="0"/>
                <w:color w:val="auto"/>
                <w:sz w:val="24"/>
                <w:szCs w:val="24"/>
                <w:highlight w:val="none"/>
              </w:rPr>
            </w:pPr>
          </w:p>
        </w:tc>
        <w:tc>
          <w:tcPr>
            <w:tcW w:w="1984" w:type="dxa"/>
            <w:tcBorders>
              <w:top w:val="single" w:color="auto" w:sz="4" w:space="0"/>
              <w:left w:val="single" w:color="auto" w:sz="4" w:space="0"/>
              <w:right w:val="single" w:color="auto" w:sz="4" w:space="0"/>
            </w:tcBorders>
            <w:noWrap w:val="0"/>
            <w:vAlign w:val="center"/>
          </w:tcPr>
          <w:p w14:paraId="01F9CA50">
            <w:pPr>
              <w:widowControl/>
              <w:adjustRightInd w:val="0"/>
              <w:snapToGrid w:val="0"/>
              <w:spacing w:line="288" w:lineRule="auto"/>
              <w:jc w:val="center"/>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产品业绩</w:t>
            </w:r>
          </w:p>
          <w:p w14:paraId="1940E141">
            <w:pPr>
              <w:widowControl/>
              <w:adjustRightInd w:val="0"/>
              <w:snapToGrid w:val="0"/>
              <w:spacing w:line="288" w:lineRule="auto"/>
              <w:jc w:val="center"/>
              <w:rPr>
                <w:rFonts w:hint="eastAsia" w:ascii="宋体" w:hAnsi="宋体" w:eastAsia="宋体" w:cs="宋体"/>
                <w:b w:val="0"/>
                <w:bCs w:val="0"/>
                <w:color w:val="auto"/>
                <w:kern w:val="2"/>
                <w:sz w:val="24"/>
                <w:szCs w:val="24"/>
                <w:highlight w:val="none"/>
                <w:lang w:val="en-US" w:eastAsia="zh-CN" w:bidi="ar-SA"/>
              </w:rPr>
            </w:pPr>
            <w:r>
              <w:rPr>
                <w:rStyle w:val="65"/>
                <w:rFonts w:hint="eastAsia" w:ascii="宋体" w:hAnsi="宋体" w:eastAsia="宋体" w:cs="宋体"/>
                <w:b w:val="0"/>
                <w:bCs w:val="0"/>
                <w:color w:val="auto"/>
                <w:sz w:val="24"/>
                <w:szCs w:val="24"/>
                <w:highlight w:val="none"/>
              </w:rPr>
              <w:t>（</w:t>
            </w:r>
            <w:r>
              <w:rPr>
                <w:rStyle w:val="65"/>
                <w:rFonts w:hint="eastAsia" w:ascii="宋体" w:hAnsi="宋体" w:eastAsia="宋体" w:cs="宋体"/>
                <w:b w:val="0"/>
                <w:bCs w:val="0"/>
                <w:color w:val="auto"/>
                <w:sz w:val="24"/>
                <w:szCs w:val="24"/>
                <w:highlight w:val="none"/>
                <w:u w:val="single"/>
                <w:lang w:val="en-US"/>
              </w:rPr>
              <w:t xml:space="preserve"> 9 </w:t>
            </w:r>
            <w:r>
              <w:rPr>
                <w:rStyle w:val="65"/>
                <w:rFonts w:hint="eastAsia" w:ascii="宋体" w:hAnsi="宋体" w:eastAsia="宋体" w:cs="宋体"/>
                <w:b w:val="0"/>
                <w:bCs w:val="0"/>
                <w:color w:val="auto"/>
                <w:sz w:val="24"/>
                <w:szCs w:val="24"/>
                <w:highlight w:val="none"/>
              </w:rPr>
              <w:t>分）</w:t>
            </w:r>
          </w:p>
        </w:tc>
        <w:tc>
          <w:tcPr>
            <w:tcW w:w="5332" w:type="dxa"/>
            <w:tcBorders>
              <w:left w:val="single" w:color="auto" w:sz="4" w:space="0"/>
            </w:tcBorders>
            <w:noWrap w:val="0"/>
            <w:vAlign w:val="center"/>
          </w:tcPr>
          <w:p w14:paraId="2D8A9686">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202</w:t>
            </w:r>
            <w:r>
              <w:rPr>
                <w:rStyle w:val="65"/>
                <w:rFonts w:hint="eastAsia" w:ascii="宋体" w:hAnsi="宋体" w:eastAsia="宋体" w:cs="宋体"/>
                <w:b w:val="0"/>
                <w:bCs w:val="0"/>
                <w:color w:val="auto"/>
                <w:sz w:val="24"/>
                <w:szCs w:val="24"/>
                <w:highlight w:val="none"/>
                <w:lang w:val="en-US"/>
              </w:rPr>
              <w:t>3</w:t>
            </w:r>
            <w:r>
              <w:rPr>
                <w:rStyle w:val="65"/>
                <w:rFonts w:hint="eastAsia" w:ascii="宋体" w:hAnsi="宋体" w:eastAsia="宋体" w:cs="宋体"/>
                <w:b w:val="0"/>
                <w:bCs w:val="0"/>
                <w:color w:val="auto"/>
                <w:sz w:val="24"/>
                <w:szCs w:val="24"/>
                <w:highlight w:val="none"/>
              </w:rPr>
              <w:t>年1月1日起至投标截止日（以合同签订日期为准），每提供1个所投产品（须为向三级医院供货的业绩）的供货业绩得 1.5 分，满分 9 分。</w:t>
            </w:r>
          </w:p>
          <w:p w14:paraId="3ADF2F76">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注：1.投标文件中提供业绩合同扫描件，如合同中无法体现签订时间、产品品牌、型号等关键评审因素的，须同时提供加盖业主（合同甲方）公章的证明材料扫描件，未提供或提供不全的不得分；</w:t>
            </w:r>
          </w:p>
          <w:p w14:paraId="41A03B7C">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2.此处业绩系指产品业绩，不限合同签订主体，但合同甲方须为医院。</w:t>
            </w:r>
          </w:p>
          <w:p w14:paraId="3F470C24">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3.医院等级证明材料（医院等级截图或业主证明或医院主管部门证明）。</w:t>
            </w:r>
          </w:p>
          <w:p w14:paraId="7F18B24D">
            <w:pPr>
              <w:widowControl/>
              <w:snapToGrid w:val="0"/>
              <w:spacing w:line="288" w:lineRule="auto"/>
              <w:rPr>
                <w:rFonts w:hint="eastAsia" w:ascii="宋体" w:hAnsi="宋体" w:eastAsia="宋体" w:cs="宋体"/>
                <w:b w:val="0"/>
                <w:bCs w:val="0"/>
                <w:color w:val="auto"/>
                <w:kern w:val="2"/>
                <w:sz w:val="24"/>
                <w:szCs w:val="24"/>
                <w:highlight w:val="none"/>
                <w:lang w:val="en-US" w:eastAsia="zh-CN" w:bidi="ar-SA"/>
              </w:rPr>
            </w:pPr>
            <w:r>
              <w:rPr>
                <w:rStyle w:val="65"/>
                <w:rFonts w:hint="eastAsia" w:ascii="宋体" w:hAnsi="宋体" w:eastAsia="宋体" w:cs="宋体"/>
                <w:b w:val="0"/>
                <w:bCs w:val="0"/>
                <w:color w:val="auto"/>
                <w:sz w:val="24"/>
                <w:szCs w:val="24"/>
                <w:highlight w:val="none"/>
              </w:rPr>
              <w:t>4.同一业主业绩不累计计分，不同业主业绩可以累计。</w:t>
            </w:r>
          </w:p>
        </w:tc>
        <w:tc>
          <w:tcPr>
            <w:tcW w:w="857" w:type="dxa"/>
            <w:noWrap w:val="0"/>
            <w:vAlign w:val="top"/>
          </w:tcPr>
          <w:p w14:paraId="736B1C13">
            <w:pPr>
              <w:spacing w:line="500" w:lineRule="exact"/>
              <w:jc w:val="left"/>
              <w:rPr>
                <w:rFonts w:hint="eastAsia" w:ascii="宋体" w:hAnsi="宋体" w:eastAsia="宋体" w:cs="宋体"/>
                <w:b w:val="0"/>
                <w:bCs w:val="0"/>
                <w:color w:val="auto"/>
                <w:sz w:val="24"/>
                <w:szCs w:val="24"/>
                <w:highlight w:val="none"/>
              </w:rPr>
            </w:pPr>
          </w:p>
        </w:tc>
      </w:tr>
      <w:tr w14:paraId="2249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8" w:hRule="atLeast"/>
          <w:jc w:val="center"/>
        </w:trPr>
        <w:tc>
          <w:tcPr>
            <w:tcW w:w="1101" w:type="dxa"/>
            <w:vMerge w:val="continue"/>
            <w:tcBorders>
              <w:right w:val="single" w:color="auto" w:sz="4" w:space="0"/>
            </w:tcBorders>
            <w:noWrap w:val="0"/>
            <w:vAlign w:val="center"/>
          </w:tcPr>
          <w:p w14:paraId="2664548A">
            <w:pPr>
              <w:spacing w:line="500" w:lineRule="exact"/>
              <w:jc w:val="center"/>
              <w:rPr>
                <w:rFonts w:hint="eastAsia" w:ascii="宋体" w:hAnsi="宋体" w:eastAsia="宋体" w:cs="宋体"/>
                <w:b w:val="0"/>
                <w:bCs w:val="0"/>
                <w:color w:val="auto"/>
                <w:sz w:val="24"/>
                <w:szCs w:val="24"/>
                <w:highlight w:val="none"/>
              </w:rPr>
            </w:pPr>
          </w:p>
        </w:tc>
        <w:tc>
          <w:tcPr>
            <w:tcW w:w="1984" w:type="dxa"/>
            <w:tcBorders>
              <w:top w:val="single" w:color="auto" w:sz="4" w:space="0"/>
              <w:left w:val="single" w:color="auto" w:sz="4" w:space="0"/>
              <w:right w:val="single" w:color="auto" w:sz="4" w:space="0"/>
            </w:tcBorders>
            <w:noWrap w:val="0"/>
            <w:vAlign w:val="center"/>
          </w:tcPr>
          <w:p w14:paraId="015485FF">
            <w:pPr>
              <w:spacing w:line="300" w:lineRule="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质量保证期、项目实施及售后服务方案（</w:t>
            </w:r>
            <w:r>
              <w:rPr>
                <w:rFonts w:hint="eastAsia" w:ascii="宋体" w:hAnsi="宋体" w:eastAsia="宋体" w:cs="宋体"/>
                <w:b w:val="0"/>
                <w:bCs w:val="0"/>
                <w:color w:val="auto"/>
                <w:kern w:val="0"/>
                <w:sz w:val="24"/>
                <w:szCs w:val="24"/>
                <w:highlight w:val="none"/>
                <w:u w:val="single"/>
              </w:rPr>
              <w:t>12分</w:t>
            </w:r>
            <w:r>
              <w:rPr>
                <w:rFonts w:hint="eastAsia" w:ascii="宋体" w:hAnsi="宋体" w:eastAsia="宋体" w:cs="宋体"/>
                <w:b w:val="0"/>
                <w:bCs w:val="0"/>
                <w:color w:val="auto"/>
                <w:kern w:val="0"/>
                <w:sz w:val="24"/>
                <w:szCs w:val="24"/>
                <w:highlight w:val="none"/>
                <w:u w:val="none"/>
                <w:lang w:eastAsia="zh-CN"/>
              </w:rPr>
              <w:t>）</w:t>
            </w:r>
          </w:p>
          <w:p w14:paraId="6F91368F">
            <w:pPr>
              <w:spacing w:line="300" w:lineRule="auto"/>
              <w:ind w:firstLine="240" w:firstLineChars="100"/>
              <w:rPr>
                <w:rFonts w:hint="eastAsia" w:ascii="宋体" w:hAnsi="宋体" w:eastAsia="宋体" w:cs="宋体"/>
                <w:b w:val="0"/>
                <w:bCs w:val="0"/>
                <w:color w:val="auto"/>
                <w:sz w:val="24"/>
                <w:szCs w:val="24"/>
                <w:highlight w:val="none"/>
              </w:rPr>
            </w:pPr>
          </w:p>
        </w:tc>
        <w:tc>
          <w:tcPr>
            <w:tcW w:w="5332" w:type="dxa"/>
            <w:tcBorders>
              <w:left w:val="single" w:color="auto" w:sz="4" w:space="0"/>
            </w:tcBorders>
            <w:noWrap w:val="0"/>
            <w:vAlign w:val="center"/>
          </w:tcPr>
          <w:p w14:paraId="6584E55B">
            <w:pPr>
              <w:spacing w:line="288" w:lineRule="auto"/>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1、投标人</w:t>
            </w:r>
            <w:r>
              <w:rPr>
                <w:rFonts w:hint="eastAsia" w:ascii="宋体" w:hAnsi="宋体" w:eastAsia="宋体" w:cs="宋体"/>
                <w:b w:val="0"/>
                <w:bCs w:val="0"/>
                <w:color w:val="auto"/>
                <w:sz w:val="24"/>
                <w:szCs w:val="24"/>
                <w:highlight w:val="none"/>
                <w:lang w:eastAsia="zh-CN"/>
              </w:rPr>
              <w:t>所投</w:t>
            </w:r>
            <w:r>
              <w:rPr>
                <w:rFonts w:hint="eastAsia" w:ascii="宋体" w:hAnsi="宋体" w:eastAsia="宋体" w:cs="宋体"/>
                <w:b w:val="0"/>
                <w:bCs w:val="0"/>
                <w:color w:val="auto"/>
                <w:sz w:val="24"/>
                <w:szCs w:val="24"/>
                <w:highlight w:val="none"/>
              </w:rPr>
              <w:t>所有设备质量保证期在满足招标文件规定质量保证期的基础上，均延长1年加</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2</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rPr>
              <w:t>分（不足1年不加分），最高得</w:t>
            </w:r>
            <w:r>
              <w:rPr>
                <w:rFonts w:hint="eastAsia" w:ascii="宋体" w:hAnsi="宋体" w:eastAsia="宋体" w:cs="宋体"/>
                <w:b w:val="0"/>
                <w:bCs w:val="0"/>
                <w:color w:val="auto"/>
                <w:sz w:val="24"/>
                <w:szCs w:val="24"/>
                <w:highlight w:val="none"/>
                <w:u w:val="single"/>
                <w:lang w:val="en-US" w:eastAsia="zh-CN"/>
              </w:rPr>
              <w:t xml:space="preserve"> 6 </w:t>
            </w:r>
            <w:r>
              <w:rPr>
                <w:rFonts w:hint="eastAsia" w:ascii="宋体" w:hAnsi="宋体" w:eastAsia="宋体" w:cs="宋体"/>
                <w:b w:val="0"/>
                <w:bCs w:val="0"/>
                <w:color w:val="auto"/>
                <w:sz w:val="24"/>
                <w:szCs w:val="24"/>
                <w:highlight w:val="none"/>
                <w:u w:val="none"/>
              </w:rPr>
              <w:t>分</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（提供承诺函，格式自拟）</w:t>
            </w:r>
          </w:p>
          <w:p w14:paraId="58042FCC">
            <w:pPr>
              <w:spacing w:line="288" w:lineRule="auto"/>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kern w:val="0"/>
                <w:sz w:val="24"/>
                <w:szCs w:val="24"/>
                <w:highlight w:val="none"/>
              </w:rPr>
              <w:t>2、</w:t>
            </w:r>
            <w:r>
              <w:rPr>
                <w:rFonts w:hint="eastAsia" w:ascii="宋体" w:hAnsi="宋体" w:eastAsia="宋体" w:cs="宋体"/>
                <w:b w:val="0"/>
                <w:bCs w:val="0"/>
                <w:color w:val="auto"/>
                <w:sz w:val="24"/>
                <w:szCs w:val="24"/>
                <w:highlight w:val="none"/>
              </w:rPr>
              <w:t>根据各</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b w:val="0"/>
                <w:bCs w:val="0"/>
                <w:color w:val="auto"/>
                <w:sz w:val="24"/>
                <w:szCs w:val="24"/>
                <w:highlight w:val="none"/>
              </w:rPr>
              <w:t>提供的</w:t>
            </w:r>
            <w:r>
              <w:rPr>
                <w:rFonts w:hint="eastAsia" w:ascii="宋体" w:hAnsi="宋体" w:eastAsia="宋体" w:cs="宋体"/>
                <w:b w:val="0"/>
                <w:bCs w:val="0"/>
                <w:color w:val="auto"/>
                <w:sz w:val="24"/>
                <w:szCs w:val="24"/>
                <w:highlight w:val="none"/>
                <w:lang w:val="en-US" w:eastAsia="zh-CN"/>
              </w:rPr>
              <w:t>项目实施方案</w:t>
            </w:r>
            <w:r>
              <w:rPr>
                <w:rFonts w:hint="eastAsia" w:ascii="宋体" w:hAnsi="宋体" w:eastAsia="宋体" w:cs="宋体"/>
                <w:b w:val="0"/>
                <w:bCs w:val="0"/>
                <w:color w:val="auto"/>
                <w:kern w:val="0"/>
                <w:sz w:val="24"/>
                <w:szCs w:val="24"/>
                <w:highlight w:val="none"/>
              </w:rPr>
              <w:t>实施计划、进度计划、安装调试的技术人员安排、安装调试方案、验收方案</w:t>
            </w:r>
            <w:r>
              <w:rPr>
                <w:rFonts w:hint="eastAsia" w:ascii="宋体" w:hAnsi="宋体" w:eastAsia="宋体" w:cs="宋体"/>
                <w:b w:val="0"/>
                <w:bCs w:val="0"/>
                <w:color w:val="auto"/>
                <w:sz w:val="24"/>
                <w:szCs w:val="24"/>
                <w:highlight w:val="none"/>
              </w:rPr>
              <w:t>情况进行打分</w:t>
            </w:r>
            <w:r>
              <w:rPr>
                <w:rFonts w:hint="eastAsia" w:ascii="宋体" w:hAnsi="宋体" w:eastAsia="宋体" w:cs="宋体"/>
                <w:b w:val="0"/>
                <w:bCs w:val="0"/>
                <w:color w:val="auto"/>
                <w:sz w:val="24"/>
                <w:szCs w:val="24"/>
                <w:highlight w:val="none"/>
                <w:lang w:val="en-US" w:eastAsia="zh-CN"/>
              </w:rPr>
              <w:t>：</w:t>
            </w:r>
          </w:p>
          <w:p w14:paraId="53D20491">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1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①</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方案内容完整、详实、科学合理，可行性、针对性强且有齐全的保障措施的得</w:t>
            </w:r>
            <w:r>
              <w:rPr>
                <w:rFonts w:hint="eastAsia" w:ascii="宋体" w:hAnsi="宋体" w:eastAsia="宋体" w:cs="宋体"/>
                <w:b w:val="0"/>
                <w:bCs w:val="0"/>
                <w:color w:val="auto"/>
                <w:sz w:val="24"/>
                <w:szCs w:val="24"/>
                <w:highlight w:val="none"/>
                <w:u w:val="single"/>
                <w:lang w:val="en-US" w:eastAsia="zh-CN"/>
              </w:rPr>
              <w:t>3</w:t>
            </w:r>
            <w:r>
              <w:rPr>
                <w:rFonts w:hint="eastAsia" w:ascii="宋体" w:hAnsi="宋体" w:eastAsia="宋体" w:cs="宋体"/>
                <w:b w:val="0"/>
                <w:bCs w:val="0"/>
                <w:color w:val="auto"/>
                <w:sz w:val="24"/>
                <w:szCs w:val="24"/>
                <w:highlight w:val="none"/>
              </w:rPr>
              <w:t>分；</w:t>
            </w:r>
          </w:p>
          <w:p w14:paraId="1901CB48">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2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②</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方案内容基本完整、合理、具有可行性、针对性，但保障措施有待进一步完善的得</w:t>
            </w:r>
            <w:r>
              <w:rPr>
                <w:rFonts w:hint="eastAsia" w:ascii="宋体" w:hAnsi="宋体" w:eastAsia="宋体"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rPr>
              <w:t>分；</w:t>
            </w:r>
          </w:p>
          <w:p w14:paraId="64B26624">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3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③</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方案内容在完整性、合理性、可行性、针对性及各项保障措施均有待改善的得</w:t>
            </w:r>
            <w:r>
              <w:rPr>
                <w:rFonts w:hint="eastAsia" w:ascii="宋体" w:hAnsi="宋体" w:eastAsia="宋体" w:cs="宋体"/>
                <w:b w:val="0"/>
                <w:bCs w:val="0"/>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rPr>
              <w:t>分；</w:t>
            </w:r>
          </w:p>
          <w:p w14:paraId="660F5F43">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4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④</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方案不可行或未提供方案的得</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p w14:paraId="789F51C5">
            <w:pPr>
              <w:numPr>
                <w:ilvl w:val="0"/>
                <w:numId w:val="0"/>
              </w:numPr>
              <w:spacing w:line="288" w:lineRule="auto"/>
              <w:jc w:val="left"/>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根据各</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b w:val="0"/>
                <w:bCs w:val="0"/>
                <w:color w:val="auto"/>
                <w:sz w:val="24"/>
                <w:szCs w:val="24"/>
                <w:highlight w:val="none"/>
              </w:rPr>
              <w:t>提供的</w:t>
            </w:r>
            <w:r>
              <w:rPr>
                <w:rFonts w:hint="eastAsia" w:ascii="宋体" w:hAnsi="宋体" w:eastAsia="宋体" w:cs="宋体"/>
                <w:b w:val="0"/>
                <w:bCs w:val="0"/>
                <w:color w:val="auto"/>
                <w:kern w:val="0"/>
                <w:sz w:val="24"/>
                <w:szCs w:val="24"/>
                <w:highlight w:val="none"/>
              </w:rPr>
              <w:t>售后服务方案售后服务人员配置、售后服务响应时间、保障修复时间、培训方案、巡检次数及巡检时间段、应急预案、技术保障措施、回访、备品备件免费供应以及其他承诺等方面</w:t>
            </w:r>
            <w:r>
              <w:rPr>
                <w:rFonts w:hint="eastAsia" w:ascii="宋体" w:hAnsi="宋体" w:eastAsia="宋体" w:cs="宋体"/>
                <w:b w:val="0"/>
                <w:bCs w:val="0"/>
                <w:color w:val="auto"/>
                <w:kern w:val="0"/>
                <w:sz w:val="24"/>
                <w:szCs w:val="24"/>
                <w:highlight w:val="none"/>
                <w:lang w:eastAsia="zh-CN"/>
              </w:rPr>
              <w:t>方案</w:t>
            </w:r>
            <w:r>
              <w:rPr>
                <w:rFonts w:hint="eastAsia" w:ascii="宋体" w:hAnsi="宋体" w:eastAsia="宋体" w:cs="宋体"/>
                <w:b w:val="0"/>
                <w:bCs w:val="0"/>
                <w:color w:val="auto"/>
                <w:kern w:val="0"/>
                <w:sz w:val="24"/>
                <w:szCs w:val="24"/>
                <w:highlight w:val="none"/>
              </w:rPr>
              <w:t>进行综合比较</w:t>
            </w:r>
            <w:r>
              <w:rPr>
                <w:rFonts w:hint="eastAsia" w:ascii="宋体" w:hAnsi="宋体" w:eastAsia="宋体" w:cs="宋体"/>
                <w:b w:val="0"/>
                <w:bCs w:val="0"/>
                <w:color w:val="auto"/>
                <w:kern w:val="0"/>
                <w:sz w:val="24"/>
                <w:szCs w:val="24"/>
                <w:highlight w:val="none"/>
                <w:lang w:eastAsia="zh-CN"/>
              </w:rPr>
              <w:t>打分：</w:t>
            </w:r>
          </w:p>
          <w:p w14:paraId="283AA630">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1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①</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方案内容完整、详实、科学合理，可行性、针对性强且有齐全的保障措施的得</w:t>
            </w:r>
            <w:r>
              <w:rPr>
                <w:rFonts w:hint="eastAsia" w:ascii="宋体" w:hAnsi="宋体" w:eastAsia="宋体" w:cs="宋体"/>
                <w:b w:val="0"/>
                <w:bCs w:val="0"/>
                <w:color w:val="auto"/>
                <w:sz w:val="24"/>
                <w:szCs w:val="24"/>
                <w:highlight w:val="none"/>
                <w:u w:val="single"/>
                <w:lang w:val="en-US" w:eastAsia="zh-CN"/>
              </w:rPr>
              <w:t>3</w:t>
            </w:r>
            <w:r>
              <w:rPr>
                <w:rFonts w:hint="eastAsia" w:ascii="宋体" w:hAnsi="宋体" w:eastAsia="宋体" w:cs="宋体"/>
                <w:b w:val="0"/>
                <w:bCs w:val="0"/>
                <w:color w:val="auto"/>
                <w:sz w:val="24"/>
                <w:szCs w:val="24"/>
                <w:highlight w:val="none"/>
              </w:rPr>
              <w:t>分；</w:t>
            </w:r>
          </w:p>
          <w:p w14:paraId="5015960E">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2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②</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方案内容基本完整、合理、具有可行性、针对性，但保障措施有待进一步完善的得</w:t>
            </w:r>
            <w:r>
              <w:rPr>
                <w:rFonts w:hint="eastAsia" w:ascii="宋体" w:hAnsi="宋体" w:eastAsia="宋体"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rPr>
              <w:t>分；</w:t>
            </w:r>
          </w:p>
          <w:p w14:paraId="5A2EA2CF">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3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③</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方案内容在完整性、合理性、可行性、针对性及各项保障措施均有待改善的得</w:t>
            </w:r>
            <w:r>
              <w:rPr>
                <w:rFonts w:hint="eastAsia" w:ascii="宋体" w:hAnsi="宋体" w:eastAsia="宋体" w:cs="宋体"/>
                <w:b w:val="0"/>
                <w:bCs w:val="0"/>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rPr>
              <w:t>分；</w:t>
            </w:r>
          </w:p>
          <w:p w14:paraId="18BD9B8A">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4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④</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方案不可行或未提供方案的得</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c>
          <w:tcPr>
            <w:tcW w:w="857" w:type="dxa"/>
            <w:noWrap w:val="0"/>
            <w:vAlign w:val="top"/>
          </w:tcPr>
          <w:p w14:paraId="4191C3B8">
            <w:pPr>
              <w:spacing w:line="500" w:lineRule="exact"/>
              <w:jc w:val="left"/>
              <w:rPr>
                <w:rFonts w:hint="eastAsia" w:ascii="宋体" w:hAnsi="宋体" w:eastAsia="宋体" w:cs="宋体"/>
                <w:b w:val="0"/>
                <w:bCs w:val="0"/>
                <w:color w:val="auto"/>
                <w:sz w:val="24"/>
                <w:szCs w:val="24"/>
                <w:highlight w:val="none"/>
              </w:rPr>
            </w:pPr>
          </w:p>
        </w:tc>
      </w:tr>
      <w:tr w14:paraId="30DF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top"/>
          </w:tcPr>
          <w:p w14:paraId="21D5E360">
            <w:pPr>
              <w:spacing w:line="50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商务分</w:t>
            </w:r>
            <w:r>
              <w:rPr>
                <w:rFonts w:hint="eastAsia" w:ascii="宋体" w:hAnsi="宋体" w:eastAsia="宋体" w:cs="宋体"/>
                <w:b w:val="0"/>
                <w:bCs w:val="0"/>
                <w:color w:val="auto"/>
                <w:kern w:val="0"/>
                <w:sz w:val="24"/>
                <w:szCs w:val="24"/>
                <w:highlight w:val="none"/>
              </w:rPr>
              <w:t>30分</w:t>
            </w:r>
          </w:p>
        </w:tc>
        <w:tc>
          <w:tcPr>
            <w:tcW w:w="8173" w:type="dxa"/>
            <w:gridSpan w:val="3"/>
            <w:tcBorders>
              <w:top w:val="single" w:color="auto" w:sz="4" w:space="0"/>
              <w:bottom w:val="single" w:color="auto" w:sz="4" w:space="0"/>
            </w:tcBorders>
            <w:noWrap w:val="0"/>
            <w:vAlign w:val="top"/>
          </w:tcPr>
          <w:p w14:paraId="4BF6BF90">
            <w:pPr>
              <w:spacing w:line="5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价格标经评审满足本文件要求且在预算范围内的投标人的总报价中，最低价格为评标基准价格，得满分；其他投标人的价格分统一按照下列公式计算： </w:t>
            </w:r>
          </w:p>
          <w:p w14:paraId="2376B954">
            <w:pPr>
              <w:spacing w:line="5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投标报价得分＝（评标基准价/投标报价）× 价格分分值（取小数点后两位）。</w:t>
            </w:r>
          </w:p>
        </w:tc>
      </w:tr>
    </w:tbl>
    <w:p w14:paraId="2C840881">
      <w:pPr>
        <w:spacing w:line="360" w:lineRule="auto"/>
        <w:ind w:firstLine="435"/>
        <w:rPr>
          <w:rFonts w:hint="eastAsia" w:asciiTheme="minorEastAsia" w:hAnsiTheme="minorEastAsia" w:eastAsiaTheme="minorEastAsia"/>
          <w:color w:val="auto"/>
          <w:sz w:val="24"/>
          <w:highlight w:val="none"/>
        </w:rPr>
      </w:pPr>
    </w:p>
    <w:p w14:paraId="65088D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145AE9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641BF9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45"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采购合同</w:t>
      </w:r>
      <w:bookmarkEnd w:id="45"/>
    </w:p>
    <w:p w14:paraId="481E7F4D">
      <w:pPr>
        <w:pStyle w:val="8"/>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6C024A07">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1948CBD0">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2C82C013">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E3DD6F2">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69AE4AF1">
      <w:pPr>
        <w:pStyle w:val="8"/>
        <w:rPr>
          <w:rFonts w:hint="eastAsia" w:ascii="宋体" w:hAnsi="宋体" w:eastAsia="宋体" w:cs="宋体"/>
          <w:b/>
          <w:bCs/>
          <w:color w:val="auto"/>
          <w:spacing w:val="-20"/>
          <w:kern w:val="44"/>
          <w:sz w:val="24"/>
          <w:szCs w:val="24"/>
          <w:highlight w:val="none"/>
        </w:rPr>
      </w:pPr>
    </w:p>
    <w:p w14:paraId="1DCC0BE9">
      <w:pPr>
        <w:pStyle w:val="8"/>
        <w:rPr>
          <w:rFonts w:hint="eastAsia" w:ascii="宋体" w:hAnsi="宋体" w:eastAsia="宋体" w:cs="宋体"/>
          <w:b/>
          <w:bCs/>
          <w:color w:val="auto"/>
          <w:spacing w:val="-20"/>
          <w:kern w:val="44"/>
          <w:sz w:val="24"/>
          <w:szCs w:val="24"/>
          <w:highlight w:val="none"/>
        </w:rPr>
      </w:pPr>
    </w:p>
    <w:p w14:paraId="49ADC794">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22B2A3D7">
      <w:pPr>
        <w:pStyle w:val="8"/>
        <w:pageBreakBefore w:val="0"/>
        <w:kinsoku/>
        <w:wordWrap/>
        <w:overflowPunct/>
        <w:topLinePunct w:val="0"/>
        <w:bidi w:val="0"/>
        <w:spacing w:line="360" w:lineRule="auto"/>
        <w:textAlignment w:val="auto"/>
        <w:rPr>
          <w:rFonts w:hint="eastAsia"/>
          <w:color w:val="auto"/>
          <w:highlight w:val="none"/>
        </w:rPr>
      </w:pPr>
    </w:p>
    <w:p w14:paraId="5FF8F2E5">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2928AAB6">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rPr>
        <w:t xml:space="preserve">                             </w:t>
      </w:r>
    </w:p>
    <w:p w14:paraId="3D384426">
      <w:pPr>
        <w:pageBreakBefore w:val="0"/>
        <w:kinsoku/>
        <w:wordWrap/>
        <w:overflowPunct/>
        <w:topLinePunct w:val="0"/>
        <w:bidi w:val="0"/>
        <w:spacing w:line="360" w:lineRule="auto"/>
        <w:ind w:left="420" w:leftChars="200"/>
        <w:textAlignment w:val="auto"/>
        <w:rPr>
          <w:rFonts w:hint="eastAsia"/>
          <w:color w:val="auto"/>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cs="Times New Roman" w:asciiTheme="minorEastAsia" w:hAnsiTheme="minorEastAsia" w:eastAsiaTheme="minorEastAsia"/>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p w14:paraId="0BC445A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D9DFCF4">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lang w:eastAsia="zh-CN"/>
        </w:rPr>
      </w:pPr>
      <w:r>
        <w:rPr>
          <w:rFonts w:hint="eastAsia" w:cs="@仿宋_GB2312" w:asciiTheme="minorEastAsia" w:hAnsiTheme="minorEastAsia" w:eastAsiaTheme="minorEastAsia"/>
          <w:b/>
          <w:color w:val="auto"/>
          <w:sz w:val="24"/>
          <w:szCs w:val="20"/>
          <w:highlight w:val="none"/>
          <w:lang w:eastAsia="zh-CN"/>
        </w:rPr>
        <w:t>使</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用</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说</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明</w:t>
      </w:r>
    </w:p>
    <w:p w14:paraId="13898A2B">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7A9A0C8F">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1.本合同标准文本适用于购买现成货物的采购项目，不包括需要供应商定制开发、创新研发的货物采购项目。</w:t>
      </w:r>
    </w:p>
    <w:p w14:paraId="5DD6D63A">
      <w:pPr>
        <w:pageBreakBefore w:val="0"/>
        <w:kinsoku/>
        <w:wordWrap/>
        <w:overflowPunct/>
        <w:topLinePunct w:val="0"/>
        <w:bidi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2.本合同标准文本为采购货物买卖合同编制提供参考，可以结合采购项目具体情况，对文本作必要的调整修订后使用。</w:t>
      </w:r>
    </w:p>
    <w:p w14:paraId="5C459E30">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3.本合同标准文本各条款中，如涉及填写多家供应商、制造商，多种采购标的、分包主要内容等信息的，可根据采购项目具体情况添加信息项。</w:t>
      </w:r>
    </w:p>
    <w:p w14:paraId="1A1458F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color w:val="auto"/>
          <w:sz w:val="24"/>
          <w:szCs w:val="24"/>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AC82267">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rPr>
      </w:pPr>
      <w:bookmarkStart w:id="46" w:name="_Toc22209"/>
      <w:r>
        <w:rPr>
          <w:rFonts w:hint="eastAsia" w:cs="@仿宋_GB2312" w:asciiTheme="minorEastAsia" w:hAnsiTheme="minorEastAsia" w:eastAsiaTheme="minorEastAsia"/>
          <w:b/>
          <w:color w:val="auto"/>
          <w:sz w:val="24"/>
          <w:szCs w:val="20"/>
          <w:highlight w:val="none"/>
        </w:rPr>
        <w:t>第一节 采购合同协议书</w:t>
      </w:r>
      <w:bookmarkEnd w:id="46"/>
    </w:p>
    <w:p w14:paraId="6249A37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p>
    <w:p w14:paraId="64F2B1E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 xml:space="preserve">                        </w:t>
      </w:r>
    </w:p>
    <w:p w14:paraId="3D76E6B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55DF6642">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依据《中华人民共和国民法典》等有关的法律法规，以及</w:t>
      </w:r>
      <w:r>
        <w:rPr>
          <w:rFonts w:hint="eastAsia" w:ascii="宋体" w:hAnsi="宋体" w:eastAsia="宋体" w:cs="宋体"/>
          <w:i w:val="0"/>
          <w:iCs w:val="0"/>
          <w:color w:val="auto"/>
          <w:sz w:val="24"/>
          <w:szCs w:val="24"/>
          <w:highlight w:val="none"/>
          <w:u w:val="none"/>
          <w:lang w:eastAsia="zh-CN"/>
        </w:rPr>
        <w:t>本采购项目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eastAsia="zh-CN"/>
        </w:rPr>
        <w:t>文件等</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乙方的《投标（响应）文件》及《中标（成交）通知书》，甲乙双方同意签订本合同。具体情况及要求如下：     </w:t>
      </w:r>
    </w:p>
    <w:p w14:paraId="0192DD0E">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7E8DA577">
      <w:pPr>
        <w:pStyle w:val="9"/>
        <w:pageBreakBefore w:val="0"/>
        <w:numPr>
          <w:ilvl w:val="0"/>
          <w:numId w:val="2"/>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p>
    <w:p w14:paraId="54CE0EFE">
      <w:pPr>
        <w:pStyle w:val="9"/>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 xml:space="preserve">         采购项目编号：</w:t>
      </w:r>
      <w:r>
        <w:rPr>
          <w:rFonts w:hint="eastAsia" w:ascii="宋体" w:hAnsi="宋体" w:eastAsia="宋体" w:cs="宋体"/>
          <w:color w:val="auto"/>
          <w:sz w:val="24"/>
          <w:szCs w:val="24"/>
          <w:highlight w:val="none"/>
          <w:u w:val="single"/>
        </w:rPr>
        <w:t xml:space="preserve">                                          </w:t>
      </w:r>
    </w:p>
    <w:p w14:paraId="1B652F2C">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（2）采购计划编号：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AC8045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（3）项目内容：</w:t>
      </w:r>
    </w:p>
    <w:p w14:paraId="119109A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采购标的及数量</w:t>
      </w:r>
      <w:r>
        <w:rPr>
          <w:rFonts w:hint="eastAsia" w:ascii="宋体" w:hAnsi="宋体" w:eastAsia="宋体" w:cs="宋体"/>
          <w:color w:val="auto"/>
          <w:sz w:val="24"/>
          <w:szCs w:val="24"/>
          <w:highlight w:val="none"/>
          <w:lang w:val="en-US" w:eastAsia="zh-CN"/>
        </w:rPr>
        <w:t>（台/套</w:t>
      </w:r>
      <w:r>
        <w:rPr>
          <w:rFonts w:hint="eastAsia" w:ascii="宋体" w:hAnsi="宋体" w:eastAsia="宋体" w:cs="宋体"/>
          <w:color w:val="auto"/>
          <w:sz w:val="24"/>
          <w:szCs w:val="24"/>
          <w:highlight w:val="none"/>
          <w:lang w:val="en" w:eastAsia="zh-CN"/>
        </w:rPr>
        <w:t>/个/架/组等</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7E199F5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 w:eastAsia="zh-CN"/>
        </w:rPr>
        <w:t xml:space="preserve">     </w:t>
      </w:r>
      <w:r>
        <w:rPr>
          <w:rFonts w:hint="eastAsia" w:ascii="宋体" w:hAnsi="宋体" w:eastAsia="宋体" w:cs="宋体"/>
          <w:color w:val="auto"/>
          <w:sz w:val="24"/>
          <w:szCs w:val="24"/>
          <w:highlight w:val="none"/>
          <w:lang w:val="en-US" w:eastAsia="zh-CN"/>
        </w:rPr>
        <w:t>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p>
    <w:p w14:paraId="5885EAC9">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采购标的的技术要求、商务要求具体见附件。</w:t>
      </w:r>
    </w:p>
    <w:p w14:paraId="5E2884D3">
      <w:pPr>
        <w:pStyle w:val="59"/>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lang w:val="en" w:eastAsia="zh-CN"/>
        </w:rPr>
        <w:t>4</w:t>
      </w:r>
      <w:r>
        <w:rPr>
          <w:rFonts w:hint="eastAsia" w:ascii="宋体" w:hAnsi="宋体" w:eastAsia="宋体" w:cs="宋体"/>
          <w:iCs w:val="0"/>
          <w:color w:val="auto"/>
          <w:sz w:val="24"/>
          <w:szCs w:val="24"/>
          <w:highlight w:val="none"/>
          <w:lang w:val="en-US" w:eastAsia="zh-CN"/>
        </w:rPr>
        <w:t>）采购组织形式：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分散采购</w:t>
      </w:r>
    </w:p>
    <w:p w14:paraId="06B93630">
      <w:pPr>
        <w:pStyle w:val="59"/>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w:t>
      </w:r>
      <w:r>
        <w:rPr>
          <w:rFonts w:hint="eastAsia" w:ascii="宋体" w:hAnsi="宋体" w:eastAsia="宋体" w:cs="宋体"/>
          <w:iCs w:val="0"/>
          <w:color w:val="auto"/>
          <w:sz w:val="24"/>
          <w:szCs w:val="24"/>
          <w:highlight w:val="none"/>
          <w:lang w:val="en" w:eastAsia="zh-CN"/>
        </w:rPr>
        <w:t>5</w:t>
      </w:r>
      <w:r>
        <w:rPr>
          <w:rFonts w:hint="eastAsia" w:ascii="宋体" w:hAnsi="宋体" w:eastAsia="宋体" w:cs="宋体"/>
          <w:iCs w:val="0"/>
          <w:color w:val="auto"/>
          <w:sz w:val="24"/>
          <w:szCs w:val="24"/>
          <w:highlight w:val="none"/>
          <w:lang w:val="en-US" w:eastAsia="zh-CN"/>
        </w:rPr>
        <w:t>）采购方式：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公开招标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邀请招标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竞争性谈判</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竞争性磋商</w:t>
      </w:r>
    </w:p>
    <w:p w14:paraId="2C1BF4DA">
      <w:pPr>
        <w:pStyle w:val="59"/>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询价</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单一来源</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框架协议</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其他：</w:t>
      </w:r>
      <w:r>
        <w:rPr>
          <w:rFonts w:hint="eastAsia" w:ascii="宋体" w:hAnsi="宋体" w:eastAsia="宋体" w:cs="宋体"/>
          <w:iCs w:val="0"/>
          <w:color w:val="auto"/>
          <w:sz w:val="24"/>
          <w:szCs w:val="24"/>
          <w:highlight w:val="none"/>
          <w:u w:val="single"/>
          <w:lang w:val="en-US" w:eastAsia="zh-CN"/>
        </w:rPr>
        <w:t xml:space="preserve">          </w:t>
      </w:r>
    </w:p>
    <w:p w14:paraId="4199C56E">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合同金额</w:t>
      </w:r>
    </w:p>
    <w:p w14:paraId="2525E54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D04DB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CBEEA8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分包金额</w:t>
      </w:r>
      <w:r>
        <w:rPr>
          <w:rFonts w:hint="eastAsia" w:ascii="宋体" w:hAnsi="宋体" w:eastAsia="宋体" w:cs="宋体"/>
          <w:color w:val="auto"/>
          <w:sz w:val="24"/>
          <w:szCs w:val="24"/>
          <w:highlight w:val="none"/>
          <w:lang w:eastAsia="zh-CN"/>
        </w:rPr>
        <w:t>（如有）</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p>
    <w:p w14:paraId="51AEFC4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B150E9E">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（注：固定单价合同应填写单价和最高限价）</w:t>
      </w:r>
    </w:p>
    <w:p w14:paraId="6ACDB8AC">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合同定价方式</w:t>
      </w:r>
      <w:r>
        <w:rPr>
          <w:rFonts w:hint="eastAsia" w:ascii="宋体" w:hAnsi="宋体" w:eastAsia="宋体" w:cs="宋体"/>
          <w:color w:val="auto"/>
          <w:sz w:val="24"/>
          <w:szCs w:val="24"/>
          <w:highlight w:val="none"/>
          <w:lang w:eastAsia="zh-CN"/>
        </w:rPr>
        <w:t>（采用组合定价方式的，可以勾选多项）</w:t>
      </w:r>
      <w:r>
        <w:rPr>
          <w:rFonts w:hint="eastAsia" w:ascii="宋体" w:hAnsi="宋体" w:eastAsia="宋体" w:cs="宋体"/>
          <w:color w:val="auto"/>
          <w:sz w:val="24"/>
          <w:szCs w:val="24"/>
          <w:highlight w:val="none"/>
        </w:rPr>
        <w:t>：</w:t>
      </w:r>
    </w:p>
    <w:p w14:paraId="4522CF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固定单价</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固定费率</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绩效激励</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r>
        <w:rPr>
          <w:rFonts w:hint="eastAsia" w:ascii="宋体" w:hAnsi="宋体" w:eastAsia="宋体" w:cs="宋体"/>
          <w:color w:val="auto"/>
          <w:sz w:val="24"/>
          <w:szCs w:val="24"/>
          <w:highlight w:val="none"/>
          <w:u w:val="single"/>
        </w:rPr>
        <w:t xml:space="preserve">       </w:t>
      </w:r>
    </w:p>
    <w:p w14:paraId="368A12BA">
      <w:pPr>
        <w:pStyle w:val="60"/>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）付款方式（按项目实际勾选填写）：</w:t>
      </w:r>
    </w:p>
    <w:p w14:paraId="3770A1FC">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w:t>
      </w:r>
      <w:r>
        <w:rPr>
          <w:rFonts w:hint="eastAsia" w:ascii="宋体" w:hAnsi="宋体" w:eastAsia="宋体" w:cs="宋体"/>
          <w:color w:val="auto"/>
          <w:sz w:val="24"/>
          <w:szCs w:val="24"/>
          <w:highlight w:val="none"/>
          <w:u w:val="single"/>
          <w:lang w:eastAsia="zh-CN"/>
        </w:rPr>
        <w:t>明确</w:t>
      </w:r>
      <w:r>
        <w:rPr>
          <w:rFonts w:hint="eastAsia" w:ascii="宋体" w:hAnsi="宋体" w:eastAsia="宋体" w:cs="宋体"/>
          <w:color w:val="auto"/>
          <w:sz w:val="24"/>
          <w:szCs w:val="24"/>
          <w:highlight w:val="none"/>
          <w:u w:val="single"/>
        </w:rPr>
        <w:t>一次性支付合同款项</w:t>
      </w:r>
      <w:r>
        <w:rPr>
          <w:rFonts w:hint="eastAsia" w:ascii="宋体" w:hAnsi="宋体" w:eastAsia="宋体" w:cs="宋体"/>
          <w:color w:val="auto"/>
          <w:sz w:val="24"/>
          <w:szCs w:val="24"/>
          <w:highlight w:val="none"/>
          <w:u w:val="single"/>
          <w:lang w:eastAsia="zh-CN"/>
        </w:rPr>
        <w:t>的条件</w:t>
      </w:r>
      <w:r>
        <w:rPr>
          <w:rFonts w:hint="eastAsia" w:ascii="宋体" w:hAnsi="宋体" w:eastAsia="宋体" w:cs="宋体"/>
          <w:color w:val="auto"/>
          <w:sz w:val="24"/>
          <w:szCs w:val="24"/>
          <w:highlight w:val="none"/>
          <w:u w:val="single"/>
        </w:rPr>
        <w:t xml:space="preserve">）                    </w:t>
      </w:r>
    </w:p>
    <w:p w14:paraId="4939359A">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w:t>
      </w:r>
      <w:r>
        <w:rPr>
          <w:rFonts w:hint="eastAsia" w:ascii="宋体" w:hAnsi="宋体" w:eastAsia="宋体" w:cs="宋体"/>
          <w:color w:val="auto"/>
          <w:sz w:val="24"/>
          <w:szCs w:val="24"/>
          <w:highlight w:val="none"/>
          <w:u w:val="single"/>
          <w:lang w:eastAsia="zh-CN"/>
        </w:rPr>
        <w:t>，各期支付条件应与分期履约验收情况挂钩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lang w:eastAsia="zh-CN"/>
        </w:rPr>
        <w:t>其中涉及预付款的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（应明确预付款的支付比例和支付条件） </w:t>
      </w:r>
    </w:p>
    <w:p w14:paraId="5B69929F">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05F2D4EA">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1D5AC2A2">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color w:val="auto"/>
          <w:sz w:val="24"/>
          <w:szCs w:val="24"/>
          <w:highlight w:val="none"/>
          <w:u w:val="single"/>
        </w:rPr>
      </w:pPr>
      <w:r>
        <w:rPr>
          <w:rFonts w:hint="eastAsia" w:ascii="宋体" w:hAnsi="宋体" w:eastAsia="宋体" w:cs="宋体"/>
          <w:b/>
          <w:bCs w:val="0"/>
          <w:color w:val="auto"/>
          <w:sz w:val="24"/>
          <w:szCs w:val="24"/>
          <w:highlight w:val="none"/>
        </w:rPr>
        <w:t>合同履行</w:t>
      </w:r>
    </w:p>
    <w:p w14:paraId="20A4374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6CD59A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履约</w:t>
      </w:r>
      <w:r>
        <w:rPr>
          <w:rFonts w:hint="eastAsia" w:ascii="宋体" w:hAnsi="宋体" w:eastAsia="宋体" w:cs="宋体"/>
          <w:color w:val="auto"/>
          <w:sz w:val="24"/>
          <w:szCs w:val="24"/>
          <w:highlight w:val="none"/>
        </w:rPr>
        <w:t>地点</w:t>
      </w:r>
      <w:r>
        <w:rPr>
          <w:rFonts w:hint="eastAsia" w:ascii="宋体" w:hAnsi="宋体" w:eastAsia="宋体" w:cs="宋体"/>
          <w:b w:val="0"/>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0FED1C4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lang w:val="en-US" w:eastAsia="zh-CN"/>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否</w:t>
      </w:r>
    </w:p>
    <w:p w14:paraId="52CF0434">
      <w:pPr>
        <w:pStyle w:val="59"/>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收取履约保证金形式：</w:t>
      </w:r>
      <w:r>
        <w:rPr>
          <w:rFonts w:hint="eastAsia" w:ascii="宋体" w:hAnsi="宋体" w:eastAsia="宋体" w:cs="宋体"/>
          <w:bCs/>
          <w:color w:val="auto"/>
          <w:sz w:val="24"/>
          <w:szCs w:val="24"/>
          <w:highlight w:val="none"/>
          <w:u w:val="single"/>
        </w:rPr>
        <w:t xml:space="preserve">                            </w:t>
      </w:r>
    </w:p>
    <w:p w14:paraId="7276231C">
      <w:pPr>
        <w:pStyle w:val="59"/>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收取履约保证金金额：</w:t>
      </w:r>
      <w:r>
        <w:rPr>
          <w:rFonts w:hint="eastAsia" w:ascii="宋体" w:hAnsi="宋体" w:eastAsia="宋体" w:cs="宋体"/>
          <w:bCs/>
          <w:color w:val="auto"/>
          <w:sz w:val="24"/>
          <w:szCs w:val="24"/>
          <w:highlight w:val="none"/>
          <w:u w:val="single"/>
        </w:rPr>
        <w:t xml:space="preserve">                            </w:t>
      </w:r>
    </w:p>
    <w:p w14:paraId="43326420">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履约担保期限</w:t>
      </w: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04ABA7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34CEDE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eastAsia="zh-CN"/>
        </w:rPr>
        <w:t>风险处置措施和替代方案</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21431EF6">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7AC62BB9">
      <w:pPr>
        <w:pageBreakBefore w:val="0"/>
        <w:numPr>
          <w:ilvl w:val="0"/>
          <w:numId w:val="3"/>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4204E435">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验收主体：</w:t>
      </w:r>
      <w:r>
        <w:rPr>
          <w:rFonts w:hint="eastAsia" w:ascii="宋体" w:hAnsi="宋体" w:eastAsia="宋体" w:cs="宋体"/>
          <w:bCs/>
          <w:color w:val="auto"/>
          <w:sz w:val="24"/>
          <w:szCs w:val="24"/>
          <w:highlight w:val="none"/>
          <w:u w:val="single"/>
        </w:rPr>
        <w:t xml:space="preserve">                  </w:t>
      </w:r>
    </w:p>
    <w:p w14:paraId="618473A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是否邀请本项目的其他供应商</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1F8CCE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06F0D3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AE18EB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74F6C0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0FA2CB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val="en-US" w:eastAsia="zh-CN"/>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lang w:eastAsia="zh-CN"/>
        </w:rPr>
        <w:t>（应明确对被破坏的检测产品的处理方式）</w:t>
      </w:r>
    </w:p>
    <w:p w14:paraId="1D738EA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206296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66FACE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（计划于何时验收/供应商提出验收申请之日起   日内组织验收）</w:t>
      </w:r>
      <w:r>
        <w:rPr>
          <w:rFonts w:hint="eastAsia" w:ascii="宋体" w:hAnsi="宋体" w:eastAsia="宋体" w:cs="宋体"/>
          <w:bCs/>
          <w:color w:val="auto"/>
          <w:sz w:val="24"/>
          <w:szCs w:val="24"/>
          <w:highlight w:val="none"/>
          <w:u w:val="single"/>
          <w:lang w:val="en-US" w:eastAsia="zh-CN"/>
        </w:rPr>
        <w:t xml:space="preserve"> </w:t>
      </w:r>
    </w:p>
    <w:p w14:paraId="3EFE2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744F5EA8">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（应明确分期</w:t>
      </w:r>
      <w:r>
        <w:rPr>
          <w:rFonts w:hint="eastAsia" w:ascii="宋体" w:hAnsi="宋体" w:eastAsia="宋体" w:cs="宋体"/>
          <w:bCs/>
          <w:color w:val="auto"/>
          <w:sz w:val="24"/>
          <w:szCs w:val="24"/>
          <w:highlight w:val="none"/>
          <w:u w:val="single"/>
          <w:lang w:val="en" w:eastAsia="zh-CN"/>
        </w:rPr>
        <w:t>/分项验收的工作安排</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p>
    <w:p w14:paraId="40633E7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4AC2555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w:t>
      </w:r>
    </w:p>
    <w:p w14:paraId="2B5E0D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41F5F689">
      <w:pPr>
        <w:pStyle w:val="59"/>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none"/>
          <w:lang w:val="en-US" w:eastAsia="zh-CN"/>
        </w:rPr>
        <w:t>7</w:t>
      </w:r>
      <w:r>
        <w:rPr>
          <w:rFonts w:hint="eastAsia" w:ascii="宋体" w:hAnsi="宋体" w:eastAsia="宋体" w:cs="宋体"/>
          <w:bCs/>
          <w:color w:val="auto"/>
          <w:sz w:val="24"/>
          <w:szCs w:val="24"/>
          <w:highlight w:val="none"/>
          <w:u w:val="none"/>
          <w:lang w:eastAsia="zh-CN"/>
        </w:rPr>
        <w:t>）是否以采购活动中供应商提供的样品作为参考：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2923F3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i w:val="0"/>
          <w:iCs w:val="0"/>
          <w:color w:val="auto"/>
          <w:sz w:val="24"/>
          <w:szCs w:val="24"/>
          <w:highlight w:val="none"/>
          <w:u w:val="single"/>
        </w:rPr>
        <w:t>（产权过户登记等）</w:t>
      </w:r>
      <w:r>
        <w:rPr>
          <w:rFonts w:hint="eastAsia" w:ascii="宋体" w:hAnsi="宋体" w:eastAsia="宋体" w:cs="宋体"/>
          <w:bCs/>
          <w:color w:val="auto"/>
          <w:sz w:val="24"/>
          <w:szCs w:val="24"/>
          <w:highlight w:val="none"/>
          <w:u w:val="single"/>
        </w:rPr>
        <w:t xml:space="preserve">          </w:t>
      </w:r>
    </w:p>
    <w:p w14:paraId="18E13065">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5500EE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2ADFA49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092542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）采购合同专用条款</w:t>
      </w:r>
    </w:p>
    <w:p w14:paraId="1822805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）采购合同通用条款</w:t>
      </w:r>
    </w:p>
    <w:p w14:paraId="3A486C8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4A072DD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74FE4BB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2459D0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1AB92E46">
      <w:pPr>
        <w:pStyle w:val="59"/>
        <w:pageBreakBefore w:val="0"/>
        <w:kinsoku/>
        <w:wordWrap/>
        <w:overflowPunct/>
        <w:topLinePunct w:val="0"/>
        <w:bidi w:val="0"/>
        <w:spacing w:beforeLines="0" w:line="360" w:lineRule="auto"/>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p>
    <w:p w14:paraId="15680C26">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741CBD1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2FD6FFC3">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2EEC708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4C67AC8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E7A3F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r>
        <w:rPr>
          <w:rFonts w:hint="eastAsia" w:ascii="宋体" w:hAnsi="宋体" w:eastAsia="宋体" w:cs="宋体"/>
          <w:color w:val="auto"/>
          <w:sz w:val="24"/>
          <w:szCs w:val="24"/>
          <w:highlight w:val="none"/>
          <w:u w:val="single"/>
        </w:rPr>
        <w:t xml:space="preserve">                           </w:t>
      </w:r>
    </w:p>
    <w:p w14:paraId="640509C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附件：具体标</w:t>
      </w:r>
      <w:r>
        <w:rPr>
          <w:rFonts w:hint="eastAsia" w:ascii="宋体" w:hAnsi="宋体" w:eastAsia="宋体" w:cs="宋体"/>
          <w:color w:val="auto"/>
          <w:sz w:val="24"/>
          <w:szCs w:val="24"/>
          <w:highlight w:val="none"/>
          <w:lang w:eastAsia="zh-CN"/>
        </w:rPr>
        <w:t>的及其</w:t>
      </w:r>
      <w:r>
        <w:rPr>
          <w:rFonts w:hint="eastAsia" w:ascii="宋体" w:hAnsi="宋体" w:eastAsia="宋体" w:cs="宋体"/>
          <w:color w:val="auto"/>
          <w:sz w:val="24"/>
          <w:szCs w:val="24"/>
          <w:highlight w:val="none"/>
          <w:u w:val="none"/>
          <w:lang w:val="en-US" w:eastAsia="zh-CN"/>
        </w:rPr>
        <w:t>技术要求和商务要求</w:t>
      </w:r>
      <w:r>
        <w:rPr>
          <w:rFonts w:hint="eastAsia" w:ascii="宋体" w:hAnsi="宋体" w:eastAsia="宋体" w:cs="宋体"/>
          <w:color w:val="auto"/>
          <w:sz w:val="24"/>
          <w:szCs w:val="24"/>
          <w:highlight w:val="none"/>
        </w:rPr>
        <w:t>、联合协议、分包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协议等。</w:t>
      </w:r>
    </w:p>
    <w:p w14:paraId="63A5A8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0289C18">
      <w:pPr>
        <w:pStyle w:val="60"/>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bl>
      <w:tblPr>
        <w:tblStyle w:val="2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46175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1F1137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或采购文件约定的合同甲方）</w:t>
            </w:r>
          </w:p>
        </w:tc>
        <w:tc>
          <w:tcPr>
            <w:tcW w:w="2437" w:type="pct"/>
            <w:gridSpan w:val="2"/>
            <w:tcBorders>
              <w:left w:val="single" w:color="auto" w:sz="2" w:space="0"/>
              <w:bottom w:val="single" w:color="auto" w:sz="2" w:space="0"/>
            </w:tcBorders>
            <w:vAlign w:val="center"/>
          </w:tcPr>
          <w:p w14:paraId="798DD8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01AC5F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ACFB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40360E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687209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259" w:type="pct"/>
            <w:tcBorders>
              <w:top w:val="single" w:color="auto" w:sz="2" w:space="0"/>
              <w:left w:val="single" w:color="auto" w:sz="2" w:space="0"/>
              <w:bottom w:val="single" w:color="auto" w:sz="2" w:space="0"/>
            </w:tcBorders>
            <w:vAlign w:val="center"/>
          </w:tcPr>
          <w:p w14:paraId="73A212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4617A9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FB103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1E1D5978">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C2D54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2B918F9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429B7C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59" w:type="pct"/>
            <w:tcBorders>
              <w:top w:val="single" w:color="auto" w:sz="2" w:space="0"/>
              <w:left w:val="single" w:color="auto" w:sz="2" w:space="0"/>
              <w:bottom w:val="single" w:color="auto" w:sz="2" w:space="0"/>
            </w:tcBorders>
            <w:vAlign w:val="center"/>
          </w:tcPr>
          <w:p w14:paraId="0E4459A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r>
      <w:tr w14:paraId="31108D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C84FF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0AEB1E5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E1AB23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276E243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E49FD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694A4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B44B2F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96143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259" w:type="pct"/>
            <w:tcBorders>
              <w:top w:val="single" w:color="auto" w:sz="2" w:space="0"/>
              <w:left w:val="single" w:color="auto" w:sz="2" w:space="0"/>
              <w:bottom w:val="single" w:color="auto" w:sz="2" w:space="0"/>
            </w:tcBorders>
            <w:vAlign w:val="center"/>
          </w:tcPr>
          <w:p w14:paraId="42B8A6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7DC6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CCA6B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2D3E2D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14042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59" w:type="pct"/>
            <w:tcBorders>
              <w:top w:val="single" w:color="auto" w:sz="2" w:space="0"/>
              <w:left w:val="single" w:color="auto" w:sz="2" w:space="0"/>
              <w:bottom w:val="single" w:color="auto" w:sz="2" w:space="0"/>
            </w:tcBorders>
            <w:vAlign w:val="center"/>
          </w:tcPr>
          <w:p w14:paraId="172C37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355980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CA23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41B9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E4E5E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59" w:type="pct"/>
            <w:tcBorders>
              <w:top w:val="single" w:color="auto" w:sz="2" w:space="0"/>
              <w:left w:val="single" w:color="auto" w:sz="2" w:space="0"/>
              <w:bottom w:val="single" w:color="auto" w:sz="2" w:space="0"/>
            </w:tcBorders>
            <w:vAlign w:val="center"/>
          </w:tcPr>
          <w:p w14:paraId="3A795BE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63A3BB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A2813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BD22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925A4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5D5B0A0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DD5F4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58F8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39497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492E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59" w:type="pct"/>
            <w:tcBorders>
              <w:top w:val="single" w:color="auto" w:sz="2" w:space="0"/>
              <w:left w:val="single" w:color="auto" w:sz="2" w:space="0"/>
              <w:bottom w:val="single" w:color="auto" w:sz="2" w:space="0"/>
            </w:tcBorders>
            <w:vAlign w:val="center"/>
          </w:tcPr>
          <w:p w14:paraId="592C65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979CD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6D5C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FA667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A0C58C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59" w:type="pct"/>
            <w:tcBorders>
              <w:top w:val="single" w:color="auto" w:sz="2" w:space="0"/>
              <w:left w:val="single" w:color="auto" w:sz="2" w:space="0"/>
              <w:bottom w:val="single" w:color="auto" w:sz="2" w:space="0"/>
            </w:tcBorders>
            <w:vAlign w:val="center"/>
          </w:tcPr>
          <w:p w14:paraId="77A6296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7134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3B7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E41AA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E8859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59" w:type="pct"/>
            <w:tcBorders>
              <w:top w:val="single" w:color="auto" w:sz="2" w:space="0"/>
              <w:left w:val="single" w:color="auto" w:sz="2" w:space="0"/>
              <w:bottom w:val="single" w:color="auto" w:sz="2" w:space="0"/>
            </w:tcBorders>
            <w:vAlign w:val="center"/>
          </w:tcPr>
          <w:p w14:paraId="1587EA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513945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2FE94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20674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930A2F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59" w:type="pct"/>
            <w:tcBorders>
              <w:top w:val="single" w:color="auto" w:sz="2" w:space="0"/>
              <w:left w:val="single" w:color="auto" w:sz="2" w:space="0"/>
              <w:bottom w:val="single" w:color="auto" w:sz="2" w:space="0"/>
            </w:tcBorders>
            <w:vAlign w:val="center"/>
          </w:tcPr>
          <w:p w14:paraId="00442A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F4842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1FB0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106FA4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B6D5A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59" w:type="pct"/>
            <w:tcBorders>
              <w:top w:val="single" w:color="auto" w:sz="2" w:space="0"/>
              <w:left w:val="single" w:color="auto" w:sz="2" w:space="0"/>
              <w:bottom w:val="single" w:color="auto" w:sz="2" w:space="0"/>
            </w:tcBorders>
            <w:vAlign w:val="center"/>
          </w:tcPr>
          <w:p w14:paraId="215B36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A2958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3151A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38701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5E0A04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59" w:type="pct"/>
            <w:tcBorders>
              <w:top w:val="single" w:color="auto" w:sz="2" w:space="0"/>
              <w:left w:val="single" w:color="auto" w:sz="2" w:space="0"/>
              <w:bottom w:val="single" w:color="auto" w:sz="2" w:space="0"/>
            </w:tcBorders>
            <w:vAlign w:val="center"/>
          </w:tcPr>
          <w:p w14:paraId="4C311D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2E0E4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bottom w:val="single" w:color="auto" w:sz="2" w:space="0"/>
            </w:tcBorders>
            <w:vAlign w:val="center"/>
          </w:tcPr>
          <w:p w14:paraId="2334BD0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注：涉及联合体或其他合同主体的信息应按上表格式加列。</w:t>
            </w:r>
          </w:p>
        </w:tc>
      </w:tr>
      <w:tr w14:paraId="225B80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5F0ED71">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p>
          <w:p w14:paraId="7470A758">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采购代理机构：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见证方：公共资源交易中心</w:t>
            </w:r>
          </w:p>
          <w:p w14:paraId="0B3BECFA">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p>
          <w:p w14:paraId="26C3CD8A">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单位盖章：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单位盖章：   </w:t>
            </w:r>
          </w:p>
          <w:p w14:paraId="0543701C">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项目负责人（签字）：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中心负责人：                  </w:t>
            </w:r>
          </w:p>
          <w:p w14:paraId="5AE6282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年   月   日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日期：   年   月   日</w:t>
            </w:r>
          </w:p>
        </w:tc>
      </w:tr>
    </w:tbl>
    <w:p w14:paraId="33AE4F50">
      <w:pPr>
        <w:pStyle w:val="2"/>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br w:type="page"/>
      </w:r>
      <w:bookmarkStart w:id="47" w:name="_Toc27624"/>
      <w:r>
        <w:rPr>
          <w:rFonts w:hint="eastAsia" w:cs="@仿宋_GB2312" w:asciiTheme="minorEastAsia" w:hAnsiTheme="minorEastAsia" w:eastAsiaTheme="minorEastAsia"/>
          <w:b/>
          <w:bCs w:val="0"/>
          <w:color w:val="auto"/>
          <w:kern w:val="2"/>
          <w:sz w:val="24"/>
          <w:szCs w:val="20"/>
          <w:highlight w:val="none"/>
          <w:lang w:val="en-US" w:eastAsia="zh-CN" w:bidi="ar-SA"/>
        </w:rPr>
        <w:t>第二节 采购合同通用条款</w:t>
      </w:r>
      <w:bookmarkEnd w:id="47"/>
    </w:p>
    <w:p w14:paraId="4DE468AF">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bCs/>
          <w:color w:val="auto"/>
          <w:sz w:val="24"/>
          <w:szCs w:val="24"/>
          <w:highlight w:val="none"/>
        </w:rPr>
        <w:t>定义</w:t>
      </w:r>
    </w:p>
    <w:p w14:paraId="3D870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0A68D9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64FFA5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B2E38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7AB928B0">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47D2E4B4">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采购合同专用条款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采购合同通用条款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投标（响应）文件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有关技术文件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图纸</w:t>
      </w:r>
      <w:r>
        <w:rPr>
          <w:rFonts w:hint="eastAsia" w:ascii="宋体" w:hAnsi="宋体" w:eastAsia="宋体" w:cs="宋体"/>
          <w:color w:val="auto"/>
          <w:sz w:val="24"/>
          <w:szCs w:val="24"/>
          <w:highlight w:val="none"/>
          <w:lang w:eastAsia="zh-CN"/>
        </w:rPr>
        <w:t>，以及</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ADE7C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751C2E8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技术资料和材料</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p>
    <w:p w14:paraId="0F548A3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服务”系指根据合同规定，乙方应提供的</w:t>
      </w:r>
      <w:r>
        <w:rPr>
          <w:rFonts w:hint="eastAsia" w:ascii="宋体" w:hAnsi="宋体" w:eastAsia="宋体" w:cs="宋体"/>
          <w:color w:val="auto"/>
          <w:sz w:val="24"/>
          <w:szCs w:val="24"/>
          <w:highlight w:val="none"/>
          <w:lang w:val="en-US" w:eastAsia="zh-CN"/>
        </w:rPr>
        <w:t>与货物有关的</w:t>
      </w:r>
      <w:r>
        <w:rPr>
          <w:rFonts w:hint="eastAsia" w:ascii="宋体" w:hAnsi="宋体" w:eastAsia="宋体" w:cs="宋体"/>
          <w:color w:val="auto"/>
          <w:sz w:val="24"/>
          <w:szCs w:val="24"/>
          <w:highlight w:val="none"/>
        </w:rPr>
        <w:t>技术、管理和</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服务，包括但不限于：管理和质量保证、运输、保险、检验、现场准备、安装、集成、调试、培训、维修、</w:t>
      </w:r>
      <w:r>
        <w:rPr>
          <w:rFonts w:hint="eastAsia" w:ascii="宋体" w:hAnsi="宋体" w:eastAsia="宋体" w:cs="宋体"/>
          <w:color w:val="auto"/>
          <w:sz w:val="24"/>
          <w:szCs w:val="24"/>
          <w:highlight w:val="none"/>
          <w:lang w:eastAsia="zh-CN"/>
        </w:rPr>
        <w:t>废弃处置、</w:t>
      </w:r>
      <w:r>
        <w:rPr>
          <w:rFonts w:hint="eastAsia" w:ascii="宋体" w:hAnsi="宋体" w:eastAsia="宋体" w:cs="宋体"/>
          <w:color w:val="auto"/>
          <w:sz w:val="24"/>
          <w:szCs w:val="24"/>
          <w:highlight w:val="none"/>
        </w:rPr>
        <w:t>技术支持等以及合同中规定乙方应承担的</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义务。</w:t>
      </w:r>
    </w:p>
    <w:p w14:paraId="1B56BC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）“分包”系指中标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供应商按采购文件、投标（响应）文件的规定，根据分包意向协议，将中标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项目中的部分履约内容，分给具有相应资质条件的供应商履行合同的行为。</w:t>
      </w:r>
    </w:p>
    <w:p w14:paraId="5C42AF26">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）“联合体”系指</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两个以上的自然人、法人或者</w:t>
      </w:r>
      <w:r>
        <w:rPr>
          <w:rFonts w:hint="eastAsia" w:ascii="宋体" w:hAnsi="宋体" w:eastAsia="宋体" w:cs="宋体"/>
          <w:color w:val="auto"/>
          <w:sz w:val="24"/>
          <w:szCs w:val="24"/>
          <w:highlight w:val="none"/>
          <w:lang w:val="en-US" w:eastAsia="zh-CN"/>
        </w:rPr>
        <w:t>非法人</w:t>
      </w:r>
      <w:r>
        <w:rPr>
          <w:rFonts w:hint="eastAsia" w:ascii="宋体" w:hAnsi="宋体" w:eastAsia="宋体" w:cs="宋体"/>
          <w:color w:val="auto"/>
          <w:sz w:val="24"/>
          <w:szCs w:val="24"/>
          <w:highlight w:val="none"/>
        </w:rPr>
        <w:t>组织组成，</w:t>
      </w:r>
      <w:r>
        <w:rPr>
          <w:rFonts w:hint="eastAsia" w:ascii="宋体" w:hAnsi="宋体" w:eastAsia="宋体" w:cs="宋体"/>
          <w:color w:val="auto"/>
          <w:sz w:val="24"/>
          <w:szCs w:val="24"/>
          <w:highlight w:val="none"/>
          <w:lang w:eastAsia="zh-CN"/>
        </w:rPr>
        <w:t>以一个供应商的身份共同参加采购的主体。</w:t>
      </w:r>
      <w:r>
        <w:rPr>
          <w:rFonts w:hint="eastAsia" w:ascii="宋体" w:hAnsi="宋体" w:eastAsia="宋体" w:cs="宋体"/>
          <w:color w:val="auto"/>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承担连带责任。联合体具体要求见【</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w:t>
      </w:r>
    </w:p>
    <w:p w14:paraId="27EFBD31">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）其他术语解释，见【</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w:t>
      </w:r>
    </w:p>
    <w:p w14:paraId="44C0B6AA">
      <w:pPr>
        <w:pageBreakBefore w:val="0"/>
        <w:numPr>
          <w:ilvl w:val="0"/>
          <w:numId w:val="4"/>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2987E3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.1 合同标的及金额应与中标（成交）结果一致。乙方为履行本合同而发生的所有费用均应包含在合同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中，甲方不再另行支付</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任何费用。</w:t>
      </w:r>
    </w:p>
    <w:p w14:paraId="049C74D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3</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履行合同的时间、地点和方式</w:t>
      </w:r>
    </w:p>
    <w:p w14:paraId="452E57C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乙方应当在约定的时间、地点</w:t>
      </w:r>
      <w:r>
        <w:rPr>
          <w:rFonts w:hint="eastAsia" w:ascii="宋体" w:hAnsi="宋体" w:eastAsia="宋体" w:cs="宋体"/>
          <w:color w:val="auto"/>
          <w:sz w:val="24"/>
          <w:szCs w:val="24"/>
          <w:highlight w:val="none"/>
          <w:lang w:eastAsia="zh-CN"/>
        </w:rPr>
        <w:t>，按照约定</w:t>
      </w:r>
      <w:r>
        <w:rPr>
          <w:rFonts w:hint="eastAsia" w:ascii="宋体" w:hAnsi="宋体" w:eastAsia="宋体" w:cs="宋体"/>
          <w:color w:val="auto"/>
          <w:sz w:val="24"/>
          <w:szCs w:val="24"/>
          <w:highlight w:val="none"/>
        </w:rPr>
        <w:t>方式履行合同。</w:t>
      </w:r>
    </w:p>
    <w:p w14:paraId="26E6D18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甲方的权利和义务</w:t>
      </w:r>
    </w:p>
    <w:p w14:paraId="40B096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签署合同后，甲方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，负责与本合同有关的事务。甲方有权对乙方的履约行为进行检查，并及时确认乙方提交的事项。甲方应当配合乙方完成相关项目实施工作。</w:t>
      </w:r>
    </w:p>
    <w:p w14:paraId="794B403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.2 甲方有权要求乙方按时提交各阶段有关安排计划，并有权定期核对乙方提供货物数量、规格、质量等内容。甲方有权督促乙方工作并要求乙方更换不符合要求的货物。</w:t>
      </w:r>
    </w:p>
    <w:p w14:paraId="3EFE999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.3 甲方有权要求乙方对缺陷部分予以修复，并按合同约定享有货物保修及其他合同约定的权利。</w:t>
      </w:r>
    </w:p>
    <w:p w14:paraId="15EA225A">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 甲方应当按照合同约定及时对交付的货物进行验收，</w:t>
      </w:r>
      <w:r>
        <w:rPr>
          <w:rFonts w:hint="eastAsia" w:ascii="宋体" w:hAnsi="宋体" w:eastAsia="宋体" w:cs="宋体"/>
          <w:b w:val="0"/>
          <w:bCs w:val="0"/>
          <w:color w:val="auto"/>
          <w:sz w:val="24"/>
          <w:szCs w:val="24"/>
          <w:highlight w:val="none"/>
          <w:lang w:eastAsia="zh-CN"/>
        </w:rPr>
        <w:t>未</w:t>
      </w:r>
      <w:r>
        <w:rPr>
          <w:rFonts w:hint="eastAsia" w:ascii="宋体" w:hAnsi="宋体" w:eastAsia="宋体" w:cs="宋体"/>
          <w:color w:val="auto"/>
          <w:sz w:val="24"/>
          <w:szCs w:val="24"/>
          <w:highlight w:val="none"/>
          <w:lang w:val="en-US" w:eastAsia="zh-CN"/>
        </w:rPr>
        <w:t>在</w:t>
      </w:r>
      <w:r>
        <w:rPr>
          <w:rFonts w:hint="eastAsia" w:ascii="宋体" w:hAnsi="宋体" w:eastAsia="宋体" w:cs="宋体"/>
          <w:b/>
          <w:bCs/>
          <w:color w:val="auto"/>
          <w:sz w:val="24"/>
          <w:szCs w:val="24"/>
          <w:highlight w:val="none"/>
        </w:rPr>
        <w:t>【采购合同专用条款】</w:t>
      </w:r>
      <w:r>
        <w:rPr>
          <w:rFonts w:hint="eastAsia" w:ascii="宋体" w:hAnsi="宋体" w:eastAsia="宋体" w:cs="宋体"/>
          <w:b w:val="0"/>
          <w:bCs w:val="0"/>
          <w:color w:val="auto"/>
          <w:sz w:val="24"/>
          <w:szCs w:val="24"/>
          <w:highlight w:val="none"/>
          <w:lang w:eastAsia="zh-CN"/>
        </w:rPr>
        <w:t>约定的期限内对乙方履约提出任何异议或者向乙方作出任何说明的，</w:t>
      </w:r>
      <w:r>
        <w:rPr>
          <w:rFonts w:hint="eastAsia" w:ascii="宋体" w:hAnsi="宋体" w:eastAsia="宋体" w:cs="宋体"/>
          <w:color w:val="auto"/>
          <w:sz w:val="24"/>
          <w:szCs w:val="24"/>
          <w:highlight w:val="none"/>
          <w:lang w:val="en-US" w:eastAsia="zh-CN"/>
        </w:rPr>
        <w:t>视为验收通过。</w:t>
      </w:r>
    </w:p>
    <w:p w14:paraId="4069E33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甲方应当根据合同约定</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时向乙方支付</w:t>
      </w:r>
      <w:r>
        <w:rPr>
          <w:rFonts w:hint="eastAsia" w:ascii="宋体" w:hAnsi="宋体" w:eastAsia="宋体" w:cs="宋体"/>
          <w:color w:val="auto"/>
          <w:sz w:val="24"/>
          <w:szCs w:val="24"/>
          <w:highlight w:val="none"/>
          <w:lang w:eastAsia="zh-CN"/>
        </w:rPr>
        <w:t>合同价款，不得以内部人员变更、履行内部付款流程等为由，拒绝或迟延支付。</w:t>
      </w:r>
    </w:p>
    <w:p w14:paraId="5ACB74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lang w:eastAsia="zh-CN"/>
        </w:rPr>
        <w:t>约定应</w:t>
      </w:r>
      <w:r>
        <w:rPr>
          <w:rFonts w:hint="eastAsia" w:ascii="宋体" w:hAnsi="宋体" w:eastAsia="宋体" w:cs="宋体"/>
          <w:color w:val="auto"/>
          <w:sz w:val="24"/>
          <w:szCs w:val="24"/>
          <w:highlight w:val="none"/>
        </w:rPr>
        <w:t>由甲方承担的其他义务和责任。</w:t>
      </w:r>
    </w:p>
    <w:p w14:paraId="1EE2D11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乙方的权利和义务</w:t>
      </w:r>
    </w:p>
    <w:p w14:paraId="68FC6A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.1 签署合同后，乙方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w:t>
      </w:r>
    </w:p>
    <w:p w14:paraId="36C1616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 乙方应按照合同要求履约，充分合理安排，确保提供的货物</w:t>
      </w:r>
      <w:r>
        <w:rPr>
          <w:rFonts w:hint="eastAsia" w:ascii="宋体" w:hAnsi="宋体" w:eastAsia="宋体" w:cs="宋体"/>
          <w:color w:val="auto"/>
          <w:sz w:val="24"/>
          <w:szCs w:val="24"/>
          <w:highlight w:val="none"/>
          <w:lang w:eastAsia="zh-CN"/>
        </w:rPr>
        <w:t>及相关</w:t>
      </w:r>
      <w:r>
        <w:rPr>
          <w:rFonts w:hint="eastAsia" w:ascii="宋体" w:hAnsi="宋体" w:eastAsia="宋体" w:cs="宋体"/>
          <w:color w:val="auto"/>
          <w:sz w:val="24"/>
          <w:szCs w:val="24"/>
          <w:highlight w:val="none"/>
        </w:rPr>
        <w:t>服务符合合同</w:t>
      </w:r>
      <w:r>
        <w:rPr>
          <w:rFonts w:hint="eastAsia" w:ascii="宋体" w:hAnsi="宋体" w:eastAsia="宋体" w:cs="宋体"/>
          <w:color w:val="auto"/>
          <w:sz w:val="24"/>
          <w:szCs w:val="24"/>
          <w:highlight w:val="none"/>
          <w:lang w:eastAsia="zh-CN"/>
        </w:rPr>
        <w:t>有关</w:t>
      </w:r>
      <w:r>
        <w:rPr>
          <w:rFonts w:hint="eastAsia" w:ascii="宋体" w:hAnsi="宋体" w:eastAsia="宋体" w:cs="宋体"/>
          <w:color w:val="auto"/>
          <w:sz w:val="24"/>
          <w:szCs w:val="24"/>
          <w:highlight w:val="none"/>
        </w:rPr>
        <w:t>要求。接受项目行业管理部门及有关部门的指导，配合甲方的履约检查</w:t>
      </w:r>
      <w:r>
        <w:rPr>
          <w:rFonts w:hint="eastAsia" w:ascii="宋体" w:hAnsi="宋体" w:eastAsia="宋体" w:cs="宋体"/>
          <w:color w:val="auto"/>
          <w:sz w:val="24"/>
          <w:szCs w:val="24"/>
          <w:highlight w:val="none"/>
          <w:lang w:eastAsia="zh-CN"/>
        </w:rPr>
        <w:t>及验收</w:t>
      </w:r>
      <w:r>
        <w:rPr>
          <w:rFonts w:hint="eastAsia" w:ascii="宋体" w:hAnsi="宋体" w:eastAsia="宋体" w:cs="宋体"/>
          <w:color w:val="auto"/>
          <w:sz w:val="24"/>
          <w:szCs w:val="24"/>
          <w:highlight w:val="none"/>
        </w:rPr>
        <w:t>，并负责项目实施过程中的所有协调工作。</w:t>
      </w:r>
    </w:p>
    <w:p w14:paraId="7DBFBC22">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.3乙方有权根据合同约定向甲方收取</w:t>
      </w:r>
      <w:r>
        <w:rPr>
          <w:rFonts w:hint="eastAsia" w:ascii="宋体" w:hAnsi="宋体" w:eastAsia="宋体" w:cs="宋体"/>
          <w:color w:val="auto"/>
          <w:sz w:val="24"/>
          <w:szCs w:val="24"/>
          <w:highlight w:val="none"/>
          <w:lang w:eastAsia="zh-CN"/>
        </w:rPr>
        <w:t>合同价款</w:t>
      </w:r>
      <w:r>
        <w:rPr>
          <w:rFonts w:hint="eastAsia" w:ascii="宋体" w:hAnsi="宋体" w:eastAsia="宋体" w:cs="宋体"/>
          <w:color w:val="auto"/>
          <w:sz w:val="24"/>
          <w:szCs w:val="24"/>
          <w:highlight w:val="none"/>
        </w:rPr>
        <w:t>。</w:t>
      </w:r>
    </w:p>
    <w:p w14:paraId="113BD4B1">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.4国家法律法规规定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【采购合同专用条款】</w:t>
      </w:r>
      <w:r>
        <w:rPr>
          <w:rFonts w:hint="eastAsia" w:ascii="宋体" w:hAnsi="宋体" w:eastAsia="宋体" w:cs="宋体"/>
          <w:b w:val="0"/>
          <w:bCs w:val="0"/>
          <w:color w:val="auto"/>
          <w:sz w:val="24"/>
          <w:szCs w:val="24"/>
          <w:highlight w:val="none"/>
          <w:lang w:eastAsia="zh-CN"/>
        </w:rPr>
        <w:t>约定应</w:t>
      </w:r>
      <w:r>
        <w:rPr>
          <w:rFonts w:hint="eastAsia" w:ascii="宋体" w:hAnsi="宋体" w:eastAsia="宋体" w:cs="宋体"/>
          <w:color w:val="auto"/>
          <w:sz w:val="24"/>
          <w:szCs w:val="24"/>
          <w:highlight w:val="none"/>
        </w:rPr>
        <w:t>由乙方承担的其他义务和责任。</w:t>
      </w:r>
    </w:p>
    <w:p w14:paraId="4EE36645">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w:t>
      </w:r>
      <w:r>
        <w:rPr>
          <w:rFonts w:hint="eastAsia" w:ascii="宋体" w:hAnsi="宋体" w:eastAsia="宋体" w:cs="宋体"/>
          <w:b/>
          <w:bCs/>
          <w:color w:val="auto"/>
          <w:sz w:val="24"/>
          <w:szCs w:val="24"/>
          <w:highlight w:val="none"/>
          <w:lang w:val="en-US" w:eastAsia="zh-CN"/>
        </w:rPr>
        <w:t>行</w:t>
      </w:r>
    </w:p>
    <w:p w14:paraId="258D78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.1 甲乙双方应当按照</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约定顺序履行合同义务；如果没有先后顺序的，应当同时履行。</w:t>
      </w:r>
    </w:p>
    <w:p w14:paraId="59F603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14612F9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7</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货物包装、运输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保险</w:t>
      </w:r>
      <w:r>
        <w:rPr>
          <w:rFonts w:hint="eastAsia" w:ascii="宋体" w:hAnsi="宋体" w:eastAsia="宋体" w:cs="宋体"/>
          <w:b/>
          <w:bCs/>
          <w:color w:val="auto"/>
          <w:sz w:val="24"/>
          <w:szCs w:val="24"/>
          <w:highlight w:val="none"/>
          <w:lang w:eastAsia="zh-CN"/>
        </w:rPr>
        <w:t>和交付</w:t>
      </w:r>
      <w:r>
        <w:rPr>
          <w:rFonts w:hint="eastAsia" w:ascii="宋体" w:hAnsi="宋体" w:eastAsia="宋体" w:cs="宋体"/>
          <w:b/>
          <w:bCs/>
          <w:color w:val="auto"/>
          <w:sz w:val="24"/>
          <w:szCs w:val="24"/>
          <w:highlight w:val="none"/>
        </w:rPr>
        <w:t>要求</w:t>
      </w:r>
    </w:p>
    <w:p w14:paraId="7B572DF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.1 本合同</w:t>
      </w:r>
      <w:r>
        <w:rPr>
          <w:rFonts w:hint="eastAsia" w:ascii="宋体" w:hAnsi="宋体" w:eastAsia="宋体" w:cs="宋体"/>
          <w:bCs/>
          <w:color w:val="auto"/>
          <w:sz w:val="24"/>
          <w:szCs w:val="24"/>
          <w:highlight w:val="none"/>
        </w:rPr>
        <w:t>涉及商品包装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【采购合同专用条款】</w:t>
      </w:r>
      <w:r>
        <w:rPr>
          <w:rFonts w:hint="eastAsia" w:ascii="宋体" w:hAnsi="宋体" w:eastAsia="宋体" w:cs="宋体"/>
          <w:b w:val="0"/>
          <w:bCs/>
          <w:color w:val="auto"/>
          <w:sz w:val="24"/>
          <w:szCs w:val="24"/>
          <w:highlight w:val="none"/>
          <w:lang w:eastAsia="zh-CN"/>
        </w:rPr>
        <w:t>约定的</w:t>
      </w:r>
      <w:r>
        <w:rPr>
          <w:rFonts w:hint="eastAsia" w:ascii="宋体" w:hAnsi="宋体" w:eastAsia="宋体" w:cs="宋体"/>
          <w:color w:val="auto"/>
          <w:sz w:val="24"/>
          <w:szCs w:val="24"/>
          <w:highlight w:val="none"/>
        </w:rPr>
        <w:t>指定现场。</w:t>
      </w:r>
    </w:p>
    <w:p w14:paraId="0EC4E7A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.2 除</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乙方负责办理将货物运抵本合同规定的交货地点</w:t>
      </w:r>
      <w:r>
        <w:rPr>
          <w:rFonts w:hint="eastAsia" w:ascii="宋体" w:hAnsi="宋体" w:eastAsia="宋体" w:cs="宋体"/>
          <w:color w:val="auto"/>
          <w:sz w:val="24"/>
          <w:szCs w:val="24"/>
          <w:highlight w:val="none"/>
          <w:lang w:eastAsia="zh-CN"/>
        </w:rPr>
        <w:t>，并装卸、交付至甲方</w:t>
      </w:r>
      <w:r>
        <w:rPr>
          <w:rFonts w:hint="eastAsia" w:ascii="宋体" w:hAnsi="宋体" w:eastAsia="宋体" w:cs="宋体"/>
          <w:color w:val="auto"/>
          <w:sz w:val="24"/>
          <w:szCs w:val="24"/>
          <w:highlight w:val="none"/>
        </w:rPr>
        <w:t>的一切运输事项，相关费用应</w:t>
      </w:r>
      <w:r>
        <w:rPr>
          <w:rFonts w:hint="eastAsia" w:ascii="宋体" w:hAnsi="宋体" w:eastAsia="宋体" w:cs="宋体"/>
          <w:color w:val="auto"/>
          <w:sz w:val="24"/>
          <w:szCs w:val="24"/>
          <w:highlight w:val="none"/>
          <w:lang w:eastAsia="zh-CN"/>
        </w:rPr>
        <w:t>包含</w:t>
      </w:r>
      <w:r>
        <w:rPr>
          <w:rFonts w:hint="eastAsia" w:ascii="宋体" w:hAnsi="宋体" w:eastAsia="宋体" w:cs="宋体"/>
          <w:color w:val="auto"/>
          <w:sz w:val="24"/>
          <w:szCs w:val="24"/>
          <w:highlight w:val="none"/>
        </w:rPr>
        <w:t>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w:t>
      </w:r>
    </w:p>
    <w:p w14:paraId="1C729CB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.3 货物保险要求按</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4C0D164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en-US" w:eastAsia="zh-CN"/>
        </w:rPr>
        <w:t>除采购活动</w:t>
      </w:r>
      <w:r>
        <w:rPr>
          <w:rFonts w:hint="eastAsia" w:ascii="宋体" w:hAnsi="宋体" w:eastAsia="宋体" w:cs="宋体"/>
          <w:color w:val="auto"/>
          <w:sz w:val="24"/>
          <w:szCs w:val="24"/>
          <w:highlight w:val="none"/>
        </w:rPr>
        <w:t>对商品包装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w:t>
      </w:r>
      <w:r>
        <w:rPr>
          <w:rFonts w:hint="eastAsia" w:ascii="宋体" w:hAnsi="宋体" w:eastAsia="宋体" w:cs="宋体"/>
          <w:color w:val="auto"/>
          <w:sz w:val="24"/>
          <w:szCs w:val="24"/>
          <w:highlight w:val="none"/>
          <w:lang w:val="en-US" w:eastAsia="zh-CN"/>
        </w:rPr>
        <w:t>达成具体约定外</w:t>
      </w:r>
      <w:r>
        <w:rPr>
          <w:rFonts w:hint="eastAsia" w:ascii="宋体" w:hAnsi="宋体" w:eastAsia="宋体" w:cs="宋体"/>
          <w:color w:val="auto"/>
          <w:sz w:val="24"/>
          <w:szCs w:val="24"/>
          <w:highlight w:val="none"/>
        </w:rPr>
        <w:t>，乙方提供产品及相关快递服务</w:t>
      </w:r>
      <w:r>
        <w:rPr>
          <w:rFonts w:hint="eastAsia" w:ascii="宋体" w:hAnsi="宋体" w:eastAsia="宋体" w:cs="宋体"/>
          <w:color w:val="auto"/>
          <w:sz w:val="24"/>
          <w:szCs w:val="24"/>
          <w:highlight w:val="none"/>
          <w:lang w:val="en-US" w:eastAsia="zh-CN"/>
        </w:rPr>
        <w:t>涉及到</w:t>
      </w:r>
      <w:r>
        <w:rPr>
          <w:rFonts w:hint="eastAsia" w:ascii="宋体" w:hAnsi="宋体" w:eastAsia="宋体" w:cs="宋体"/>
          <w:color w:val="auto"/>
          <w:sz w:val="24"/>
          <w:szCs w:val="24"/>
          <w:highlight w:val="none"/>
        </w:rPr>
        <w:t>具体包装要求</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《商品包装政府采购需求标准（试行）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快递包装政府采购需求标准（试行）》</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，并作为履约验收的内容，必要时甲方可以要求乙方在履约验收环节出具检测报告。</w:t>
      </w:r>
    </w:p>
    <w:p w14:paraId="6D1178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7.5 </w:t>
      </w:r>
      <w:r>
        <w:rPr>
          <w:rFonts w:hint="eastAsia" w:ascii="宋体" w:hAnsi="宋体" w:eastAsia="宋体" w:cs="宋体"/>
          <w:color w:val="auto"/>
          <w:sz w:val="24"/>
          <w:szCs w:val="24"/>
          <w:highlight w:val="none"/>
        </w:rPr>
        <w:t>乙方在运输到达之前</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提前通知</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，并提示货物运输装卸的注意事项</w:t>
      </w:r>
      <w:r>
        <w:rPr>
          <w:rFonts w:hint="eastAsia" w:ascii="宋体" w:hAnsi="宋体" w:eastAsia="宋体" w:cs="宋体"/>
          <w:color w:val="auto"/>
          <w:sz w:val="24"/>
          <w:szCs w:val="24"/>
          <w:highlight w:val="none"/>
          <w:lang w:eastAsia="zh-CN"/>
        </w:rPr>
        <w:t>，甲方配合乙方做好货物的接收工作。</w:t>
      </w:r>
    </w:p>
    <w:p w14:paraId="754A4C6C">
      <w:pPr>
        <w:pStyle w:val="59"/>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7.6 </w:t>
      </w:r>
      <w:r>
        <w:rPr>
          <w:rFonts w:hint="eastAsia" w:ascii="宋体" w:hAnsi="宋体" w:eastAsia="宋体" w:cs="宋体"/>
          <w:color w:val="auto"/>
          <w:kern w:val="2"/>
          <w:sz w:val="24"/>
          <w:szCs w:val="24"/>
          <w:highlight w:val="none"/>
        </w:rPr>
        <w:t>如因包装</w:t>
      </w:r>
      <w:r>
        <w:rPr>
          <w:rFonts w:hint="eastAsia" w:ascii="宋体" w:hAnsi="宋体" w:eastAsia="宋体" w:cs="宋体"/>
          <w:color w:val="auto"/>
          <w:kern w:val="2"/>
          <w:sz w:val="24"/>
          <w:szCs w:val="24"/>
          <w:highlight w:val="none"/>
          <w:lang w:eastAsia="zh-CN"/>
        </w:rPr>
        <w:t>、运输</w:t>
      </w:r>
      <w:r>
        <w:rPr>
          <w:rFonts w:hint="eastAsia" w:ascii="宋体" w:hAnsi="宋体" w:eastAsia="宋体" w:cs="宋体"/>
          <w:color w:val="auto"/>
          <w:kern w:val="2"/>
          <w:sz w:val="24"/>
          <w:szCs w:val="24"/>
          <w:highlight w:val="none"/>
        </w:rPr>
        <w:t>问题导致货物</w:t>
      </w:r>
      <w:r>
        <w:rPr>
          <w:rFonts w:hint="eastAsia" w:ascii="宋体" w:hAnsi="宋体" w:eastAsia="宋体" w:cs="宋体"/>
          <w:color w:val="auto"/>
          <w:kern w:val="2"/>
          <w:sz w:val="24"/>
          <w:szCs w:val="24"/>
          <w:highlight w:val="none"/>
          <w:lang w:eastAsia="zh-CN"/>
        </w:rPr>
        <w:t>损毁、丢失</w:t>
      </w:r>
      <w:r>
        <w:rPr>
          <w:rFonts w:hint="eastAsia" w:ascii="宋体" w:hAnsi="宋体" w:eastAsia="宋体" w:cs="宋体"/>
          <w:color w:val="auto"/>
          <w:kern w:val="2"/>
          <w:sz w:val="24"/>
          <w:szCs w:val="24"/>
          <w:highlight w:val="none"/>
        </w:rPr>
        <w:t>或者品质下降，</w:t>
      </w: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rPr>
        <w:t>有权要求降价、换货、拒收部分或整批货物，由此</w:t>
      </w:r>
      <w:r>
        <w:rPr>
          <w:rFonts w:hint="eastAsia" w:ascii="宋体" w:hAnsi="宋体" w:eastAsia="宋体" w:cs="宋体"/>
          <w:color w:val="auto"/>
          <w:kern w:val="2"/>
          <w:sz w:val="24"/>
          <w:szCs w:val="24"/>
          <w:highlight w:val="none"/>
          <w:lang w:eastAsia="zh-CN"/>
        </w:rPr>
        <w:t>产生</w:t>
      </w:r>
      <w:r>
        <w:rPr>
          <w:rFonts w:hint="eastAsia" w:ascii="宋体" w:hAnsi="宋体" w:eastAsia="宋体" w:cs="宋体"/>
          <w:color w:val="auto"/>
          <w:kern w:val="2"/>
          <w:sz w:val="24"/>
          <w:szCs w:val="24"/>
          <w:highlight w:val="none"/>
        </w:rPr>
        <w:t>的费用和损失，均由</w:t>
      </w: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rPr>
        <w:t>承担。</w:t>
      </w:r>
    </w:p>
    <w:p w14:paraId="031C60C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8</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610FD084">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811CC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合同约</w:t>
      </w:r>
      <w:r>
        <w:rPr>
          <w:rFonts w:hint="eastAsia" w:ascii="宋体" w:hAnsi="宋体" w:eastAsia="宋体" w:cs="宋体"/>
          <w:color w:val="auto"/>
          <w:sz w:val="24"/>
          <w:szCs w:val="24"/>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4738D356">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252904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697E850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9E947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D06C9B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4"/>
          <w:szCs w:val="24"/>
          <w:highlight w:val="none"/>
          <w:lang w:eastAsia="zh-CN"/>
        </w:rPr>
        <w:t>备合同约定</w:t>
      </w:r>
      <w:r>
        <w:rPr>
          <w:rFonts w:hint="eastAsia" w:ascii="宋体" w:hAnsi="宋体" w:eastAsia="宋体" w:cs="宋体"/>
          <w:color w:val="auto"/>
          <w:sz w:val="24"/>
          <w:szCs w:val="24"/>
          <w:highlight w:val="none"/>
        </w:rPr>
        <w:t>的性能。</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86424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6909D9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196606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auto"/>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的违约责任</w:t>
      </w:r>
      <w:r>
        <w:rPr>
          <w:rFonts w:hint="eastAsia" w:ascii="宋体" w:hAnsi="宋体" w:eastAsia="宋体" w:cs="宋体"/>
          <w:color w:val="auto"/>
          <w:sz w:val="24"/>
          <w:szCs w:val="24"/>
          <w:highlight w:val="none"/>
        </w:rPr>
        <w:t>。</w:t>
      </w:r>
    </w:p>
    <w:p w14:paraId="2A4F63C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E2C413E">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0A8837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.1 乙方保证对其出售的货物享有合法的权利。</w:t>
      </w:r>
    </w:p>
    <w:p w14:paraId="5AF4EC1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.2 乙方保证在交付的货物上不存在抵押权等担保物权。</w:t>
      </w:r>
    </w:p>
    <w:p w14:paraId="5A209C1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.3 如甲方使用</w:t>
      </w: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rPr>
        <w:t>货物构成</w:t>
      </w:r>
      <w:r>
        <w:rPr>
          <w:rFonts w:hint="eastAsia" w:ascii="宋体" w:hAnsi="宋体" w:eastAsia="宋体" w:cs="宋体"/>
          <w:color w:val="auto"/>
          <w:sz w:val="24"/>
          <w:szCs w:val="24"/>
          <w:highlight w:val="none"/>
          <w:lang w:val="en-US" w:eastAsia="zh-CN"/>
        </w:rPr>
        <w:t>对第三人</w:t>
      </w:r>
      <w:r>
        <w:rPr>
          <w:rFonts w:hint="eastAsia" w:ascii="宋体" w:hAnsi="宋体" w:eastAsia="宋体" w:cs="宋体"/>
          <w:color w:val="auto"/>
          <w:sz w:val="24"/>
          <w:szCs w:val="24"/>
          <w:highlight w:val="none"/>
        </w:rPr>
        <w:t>侵权的，则由乙方承担全部责任。</w:t>
      </w:r>
    </w:p>
    <w:p w14:paraId="61B8F3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知识产权保护</w:t>
      </w:r>
    </w:p>
    <w:p w14:paraId="1E8BC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.1 乙方对其所销售的货物应当享有知识产权或经权利人合法授权，保证没有侵犯任何第三人的知识产权等权利。</w:t>
      </w:r>
      <w:bookmarkStart w:id="48"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48"/>
      <w:r>
        <w:rPr>
          <w:rFonts w:hint="eastAsia" w:ascii="宋体" w:hAnsi="宋体" w:eastAsia="宋体" w:cs="宋体"/>
          <w:color w:val="auto"/>
          <w:sz w:val="24"/>
          <w:szCs w:val="24"/>
          <w:highlight w:val="none"/>
        </w:rPr>
        <w:t>。</w:t>
      </w:r>
    </w:p>
    <w:p w14:paraId="02879CD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7E400B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11.1 </w:t>
      </w:r>
      <w:r>
        <w:rPr>
          <w:rFonts w:hint="eastAsia" w:ascii="宋体" w:hAnsi="宋体" w:eastAsia="宋体" w:cs="宋体"/>
          <w:color w:val="auto"/>
          <w:sz w:val="24"/>
          <w:szCs w:val="24"/>
          <w:highlight w:val="none"/>
        </w:rPr>
        <w:t>甲、乙双方</w:t>
      </w:r>
      <w:r>
        <w:rPr>
          <w:rFonts w:hint="eastAsia" w:ascii="宋体" w:hAnsi="宋体" w:eastAsia="宋体" w:cs="宋体"/>
          <w:color w:val="auto"/>
          <w:sz w:val="24"/>
          <w:szCs w:val="24"/>
          <w:highlight w:val="none"/>
          <w:lang w:eastAsia="zh-CN"/>
        </w:rPr>
        <w:t>对</w:t>
      </w:r>
      <w:r>
        <w:rPr>
          <w:rFonts w:hint="eastAsia" w:ascii="宋体" w:hAnsi="宋体" w:eastAsia="宋体" w:cs="宋体"/>
          <w:color w:val="auto"/>
          <w:sz w:val="24"/>
          <w:szCs w:val="24"/>
          <w:highlight w:val="none"/>
        </w:rPr>
        <w:t>采购和合同履行过程中所获悉的</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商业秘密或者其他应当保密的信息，均有保密义务</w:t>
      </w:r>
      <w:r>
        <w:rPr>
          <w:rFonts w:hint="eastAsia" w:ascii="宋体" w:hAnsi="宋体" w:eastAsia="宋体" w:cs="宋体"/>
          <w:color w:val="auto"/>
          <w:sz w:val="24"/>
          <w:szCs w:val="24"/>
          <w:highlight w:val="none"/>
          <w:lang w:eastAsia="zh-CN"/>
        </w:rPr>
        <w:t>且不受合同有效期所限，直至该信息成为公开信息</w:t>
      </w:r>
      <w:r>
        <w:rPr>
          <w:rFonts w:hint="eastAsia" w:ascii="宋体" w:hAnsi="宋体" w:eastAsia="宋体" w:cs="宋体"/>
          <w:color w:val="auto"/>
          <w:sz w:val="24"/>
          <w:szCs w:val="24"/>
          <w:highlight w:val="none"/>
        </w:rPr>
        <w:t>。泄露、不正当地使用</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w:t>
      </w:r>
      <w:r>
        <w:rPr>
          <w:rFonts w:hint="eastAsia" w:ascii="宋体" w:hAnsi="宋体" w:eastAsia="宋体" w:cs="宋体"/>
          <w:color w:val="auto"/>
          <w:sz w:val="24"/>
          <w:szCs w:val="24"/>
          <w:highlight w:val="none"/>
          <w:lang w:eastAsia="zh-CN"/>
        </w:rPr>
        <w:t>其他应当保密的</w:t>
      </w:r>
      <w:r>
        <w:rPr>
          <w:rFonts w:hint="eastAsia" w:ascii="宋体" w:hAnsi="宋体" w:eastAsia="宋体" w:cs="宋体"/>
          <w:color w:val="auto"/>
          <w:sz w:val="24"/>
          <w:szCs w:val="24"/>
          <w:highlight w:val="none"/>
        </w:rPr>
        <w:t>信息，应当承担</w:t>
      </w:r>
      <w:r>
        <w:rPr>
          <w:rFonts w:hint="eastAsia" w:ascii="宋体" w:hAnsi="宋体" w:eastAsia="宋体" w:cs="宋体"/>
          <w:color w:val="auto"/>
          <w:sz w:val="24"/>
          <w:szCs w:val="24"/>
          <w:highlight w:val="none"/>
          <w:lang w:eastAsia="zh-CN"/>
        </w:rPr>
        <w:t>相应</w:t>
      </w:r>
      <w:r>
        <w:rPr>
          <w:rFonts w:hint="eastAsia" w:ascii="宋体" w:hAnsi="宋体" w:eastAsia="宋体" w:cs="宋体"/>
          <w:color w:val="auto"/>
          <w:sz w:val="24"/>
          <w:szCs w:val="24"/>
          <w:highlight w:val="none"/>
        </w:rPr>
        <w:t>责任。其他应当保密的信息由双方在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中约定。</w:t>
      </w:r>
    </w:p>
    <w:p w14:paraId="2C81245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1E57F75B">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32A5940B">
      <w:pPr>
        <w:pStyle w:val="2"/>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w:t>
      </w:r>
      <w:r>
        <w:rPr>
          <w:rFonts w:hint="eastAsia" w:ascii="宋体" w:hAnsi="宋体" w:eastAsia="宋体" w:cs="宋体"/>
          <w:b w:val="0"/>
          <w:bCs w:val="0"/>
          <w:i w:val="0"/>
          <w:iCs w:val="0"/>
          <w:caps w:val="0"/>
          <w:color w:val="auto"/>
          <w:spacing w:val="0"/>
          <w:sz w:val="24"/>
          <w:szCs w:val="24"/>
          <w:highlight w:val="none"/>
          <w:shd w:val="clear"/>
          <w:vertAlign w:val="baseline"/>
          <w:lang w:val="en-US" w:eastAsia="zh-CN"/>
        </w:rPr>
        <w:t>7</w:t>
      </w:r>
      <w:r>
        <w:rPr>
          <w:rFonts w:hint="eastAsia" w:ascii="宋体" w:hAnsi="宋体" w:eastAsia="宋体" w:cs="宋体"/>
          <w:b w:val="0"/>
          <w:bCs w:val="0"/>
          <w:i w:val="0"/>
          <w:iCs w:val="0"/>
          <w:caps w:val="0"/>
          <w:color w:val="auto"/>
          <w:spacing w:val="0"/>
          <w:sz w:val="24"/>
          <w:szCs w:val="24"/>
          <w:highlight w:val="none"/>
          <w:shd w:val="clear"/>
          <w:vertAlign w:val="baseline"/>
        </w:rPr>
        <w:t>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59BC7762">
      <w:pPr>
        <w:pStyle w:val="8"/>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3B0F6A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乙方应当以支票、汇票、本票或者金融机构、担保机构出具的保函等非现金形式提交。</w:t>
      </w:r>
    </w:p>
    <w:p w14:paraId="6F57372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color w:val="auto"/>
          <w:sz w:val="24"/>
          <w:szCs w:val="24"/>
          <w:highlight w:val="none"/>
        </w:rPr>
        <w:t>【采购合同专用条款】</w:t>
      </w:r>
      <w:r>
        <w:rPr>
          <w:rFonts w:hint="eastAsia" w:ascii="宋体" w:hAnsi="宋体" w:eastAsia="宋体" w:cs="宋体"/>
          <w:b w:val="0"/>
          <w:bCs w:val="0"/>
          <w:color w:val="auto"/>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049634C8">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规定支付。</w:t>
      </w:r>
    </w:p>
    <w:p w14:paraId="5F0CB35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3B0285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5EF9D5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AFDD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EA024A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46111C3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color w:val="auto"/>
          <w:sz w:val="24"/>
          <w:szCs w:val="24"/>
          <w:highlight w:val="none"/>
          <w:lang w:eastAsia="zh-CN"/>
        </w:rPr>
        <w:t>；</w:t>
      </w:r>
    </w:p>
    <w:p w14:paraId="594C4B0D">
      <w:pPr>
        <w:pStyle w:val="59"/>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73A503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规定由乙方提供的其他服务。</w:t>
      </w:r>
    </w:p>
    <w:p w14:paraId="51431BC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516EAD82">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4D057FD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1DE96CE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5FD663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136C913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14EB2F7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78E3C74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2ED2B71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规定的逾期付款利息。</w:t>
      </w:r>
    </w:p>
    <w:p w14:paraId="4135898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规定执行。</w:t>
      </w:r>
    </w:p>
    <w:p w14:paraId="766B1A08">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440876DC">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3516806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00EAF56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64D60D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E8293A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9CE4C1C">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w:t>
      </w:r>
      <w:r>
        <w:rPr>
          <w:rFonts w:hint="eastAsia" w:ascii="宋体" w:hAnsi="宋体" w:eastAsia="宋体" w:cs="宋体"/>
          <w:color w:val="auto"/>
          <w:sz w:val="24"/>
          <w:szCs w:val="24"/>
          <w:highlight w:val="none"/>
          <w:lang w:eastAsia="zh-CN"/>
        </w:rPr>
        <w:t>及时告知</w:t>
      </w:r>
      <w:r>
        <w:rPr>
          <w:rFonts w:hint="eastAsia" w:ascii="宋体" w:hAnsi="宋体" w:eastAsia="宋体" w:cs="宋体"/>
          <w:color w:val="auto"/>
          <w:sz w:val="24"/>
          <w:szCs w:val="24"/>
          <w:highlight w:val="none"/>
        </w:rPr>
        <w:t>甲方，致使</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履行发生困难的，甲方可以中止合同履行并要求乙方承担由此给甲方造成的损失。</w:t>
      </w:r>
    </w:p>
    <w:p w14:paraId="557939F8">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5D4DBD7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EBFDDF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37CF92A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并追究乙方的违约责</w:t>
      </w:r>
      <w:r>
        <w:rPr>
          <w:rFonts w:hint="eastAsia" w:ascii="宋体" w:hAnsi="宋体" w:eastAsia="宋体" w:cs="宋体"/>
          <w:color w:val="auto"/>
          <w:sz w:val="24"/>
          <w:szCs w:val="24"/>
          <w:highlight w:val="none"/>
          <w:lang w:val="en-US" w:eastAsia="zh-CN"/>
        </w:rPr>
        <w:t>任</w:t>
      </w:r>
      <w:r>
        <w:rPr>
          <w:rFonts w:hint="eastAsia" w:ascii="宋体" w:hAnsi="宋体" w:eastAsia="宋体" w:cs="宋体"/>
          <w:color w:val="auto"/>
          <w:sz w:val="24"/>
          <w:szCs w:val="24"/>
          <w:highlight w:val="none"/>
        </w:rPr>
        <w:t>。</w:t>
      </w:r>
    </w:p>
    <w:p w14:paraId="4813795D">
      <w:pPr>
        <w:pStyle w:val="59"/>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11202C94">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采购合同继续履行将损害国家利益和社会公共利益的，双方当事人</w:t>
      </w:r>
      <w:r>
        <w:rPr>
          <w:rFonts w:hint="eastAsia" w:ascii="宋体" w:hAnsi="宋体" w:eastAsia="宋体" w:cs="宋体"/>
          <w:color w:val="auto"/>
          <w:sz w:val="24"/>
          <w:szCs w:val="24"/>
          <w:highlight w:val="none"/>
          <w:lang w:val="en-US" w:eastAsia="zh-CN"/>
        </w:rPr>
        <w:t>应当变更、</w:t>
      </w:r>
      <w:r>
        <w:rPr>
          <w:rFonts w:hint="eastAsia" w:ascii="宋体" w:hAnsi="宋体" w:eastAsia="宋体" w:cs="宋体"/>
          <w:color w:val="auto"/>
          <w:sz w:val="24"/>
          <w:szCs w:val="24"/>
          <w:highlight w:val="none"/>
        </w:rPr>
        <w:t>中止</w:t>
      </w:r>
      <w:r>
        <w:rPr>
          <w:rFonts w:hint="eastAsia" w:ascii="宋体" w:hAnsi="宋体" w:eastAsia="宋体" w:cs="宋体"/>
          <w:color w:val="auto"/>
          <w:sz w:val="24"/>
          <w:szCs w:val="24"/>
          <w:highlight w:val="none"/>
          <w:lang w:eastAsia="zh-CN"/>
        </w:rPr>
        <w:t>或者终止</w:t>
      </w:r>
      <w:r>
        <w:rPr>
          <w:rFonts w:hint="eastAsia" w:ascii="宋体" w:hAnsi="宋体" w:eastAsia="宋体" w:cs="宋体"/>
          <w:color w:val="auto"/>
          <w:sz w:val="24"/>
          <w:szCs w:val="24"/>
          <w:highlight w:val="none"/>
        </w:rPr>
        <w:t>合同。有过错的一方应当承担赔偿责任，双方都有过错的，各自承担相应的责任。</w:t>
      </w:r>
    </w:p>
    <w:p w14:paraId="67AB613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37A4C4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5FCE3A7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96878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DF2372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0D33D7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97E71B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062CC2F2">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 因本合同及合同有关事项发生的争议，由</w:t>
      </w:r>
      <w:r>
        <w:rPr>
          <w:rFonts w:hint="eastAsia" w:ascii="宋体" w:hAnsi="宋体" w:eastAsia="宋体" w:cs="宋体"/>
          <w:color w:val="auto"/>
          <w:sz w:val="24"/>
          <w:szCs w:val="24"/>
          <w:highlight w:val="none"/>
          <w:lang w:eastAsia="zh-CN"/>
        </w:rPr>
        <w:t>甲乙双</w:t>
      </w:r>
      <w:r>
        <w:rPr>
          <w:rFonts w:hint="eastAsia" w:ascii="宋体" w:hAnsi="宋体" w:eastAsia="宋体" w:cs="宋体"/>
          <w:color w:val="auto"/>
          <w:sz w:val="24"/>
          <w:szCs w:val="24"/>
          <w:highlight w:val="none"/>
        </w:rPr>
        <w:t>方友好协商解决。协商不成时，可以</w:t>
      </w:r>
      <w:r>
        <w:rPr>
          <w:rFonts w:hint="eastAsia" w:ascii="宋体" w:hAnsi="宋体" w:eastAsia="宋体" w:cs="宋体"/>
          <w:color w:val="auto"/>
          <w:sz w:val="24"/>
          <w:szCs w:val="24"/>
          <w:highlight w:val="none"/>
          <w:lang w:eastAsia="zh-CN"/>
        </w:rPr>
        <w:t>向有关组织申请</w:t>
      </w:r>
      <w:r>
        <w:rPr>
          <w:rFonts w:hint="eastAsia" w:ascii="宋体" w:hAnsi="宋体" w:eastAsia="宋体" w:cs="宋体"/>
          <w:color w:val="auto"/>
          <w:sz w:val="24"/>
          <w:szCs w:val="24"/>
          <w:highlight w:val="none"/>
        </w:rPr>
        <w:t>调解。合同一方或</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方不愿调解或调解不成的，可以通过仲裁或诉讼的方式解决争议。</w:t>
      </w:r>
    </w:p>
    <w:p w14:paraId="6A2A3AEA">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 选择仲裁的，应在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2A1B1022">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.3 如</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rPr>
        <w:t>有争议的事项不影响合同其他部分的履行，在争议解决期间，合同其他部分应</w:t>
      </w:r>
      <w:r>
        <w:rPr>
          <w:rFonts w:hint="eastAsia" w:ascii="宋体" w:hAnsi="宋体" w:eastAsia="宋体" w:cs="宋体"/>
          <w:color w:val="auto"/>
          <w:sz w:val="24"/>
          <w:szCs w:val="24"/>
          <w:highlight w:val="none"/>
          <w:lang w:eastAsia="zh-CN"/>
        </w:rPr>
        <w:t>当</w:t>
      </w:r>
      <w:r>
        <w:rPr>
          <w:rFonts w:hint="eastAsia" w:ascii="宋体" w:hAnsi="宋体" w:eastAsia="宋体" w:cs="宋体"/>
          <w:color w:val="auto"/>
          <w:sz w:val="24"/>
          <w:szCs w:val="24"/>
          <w:highlight w:val="none"/>
        </w:rPr>
        <w:t>继续履行。</w:t>
      </w:r>
    </w:p>
    <w:p w14:paraId="3BEE2A0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采购政策</w:t>
      </w:r>
    </w:p>
    <w:p w14:paraId="4F3C7FD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color w:val="auto"/>
          <w:sz w:val="24"/>
          <w:szCs w:val="24"/>
          <w:highlight w:val="none"/>
          <w:lang w:val="en-GB"/>
        </w:rPr>
        <w:t>本合同应当按照规定执行采购政策。</w:t>
      </w:r>
    </w:p>
    <w:p w14:paraId="43936D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本合同依法执行采购政策的方式和内容，属于合同履约验收的范围。</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lang w:val="en-GB"/>
        </w:rPr>
        <w:t>未按规定要求执行采购政策造成损失的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388856D8">
      <w:pPr>
        <w:pStyle w:val="8"/>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62CE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EB3A14F">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本合同的订立、生效、解释、履行及与本合同有关的争议解决，均适用法律、行政法规。</w:t>
      </w:r>
    </w:p>
    <w:p w14:paraId="1C0077CD">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 本合同条款与法律、行政法规的强制性规定不一致的，双方当事人应按照法律、行政法规的强制性规定修改本合同的相关条款。</w:t>
      </w:r>
    </w:p>
    <w:p w14:paraId="14FB2268">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00537406">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本合同任何一方向对方发出的通知、信件、数据电文等，应当发送至本合同第一部分《采购合同协议书》所约定的通讯地址、联系人、联系电话或电子邮箱。</w:t>
      </w:r>
    </w:p>
    <w:p w14:paraId="26F8F1BA">
      <w:pPr>
        <w:pStyle w:val="59"/>
        <w:pageBreakBefore w:val="0"/>
        <w:kinsoku/>
        <w:wordWrap/>
        <w:overflowPunct/>
        <w:topLinePunct w:val="0"/>
        <w:bidi w:val="0"/>
        <w:spacing w:line="360" w:lineRule="auto"/>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一方当事人变更名称、</w:t>
      </w:r>
      <w:r>
        <w:rPr>
          <w:rFonts w:hint="eastAsia" w:ascii="宋体" w:hAnsi="宋体" w:eastAsia="宋体" w:cs="宋体"/>
          <w:color w:val="auto"/>
          <w:sz w:val="24"/>
          <w:szCs w:val="24"/>
          <w:highlight w:val="none"/>
          <w:lang w:eastAsia="zh-CN"/>
        </w:rPr>
        <w:t>住所</w:t>
      </w:r>
      <w:r>
        <w:rPr>
          <w:rFonts w:hint="eastAsia" w:ascii="宋体" w:hAnsi="宋体" w:eastAsia="宋体" w:cs="宋体"/>
          <w:color w:val="auto"/>
          <w:sz w:val="24"/>
          <w:szCs w:val="24"/>
          <w:highlight w:val="none"/>
        </w:rPr>
        <w:t>、联系人、联系电话或电子邮箱</w:t>
      </w:r>
      <w:r>
        <w:rPr>
          <w:rFonts w:hint="eastAsia" w:ascii="宋体" w:hAnsi="宋体" w:eastAsia="宋体" w:cs="宋体"/>
          <w:color w:val="auto"/>
          <w:sz w:val="24"/>
          <w:szCs w:val="24"/>
          <w:highlight w:val="none"/>
          <w:lang w:eastAsia="zh-CN"/>
        </w:rPr>
        <w:t>等信息</w:t>
      </w:r>
      <w:r>
        <w:rPr>
          <w:rFonts w:hint="eastAsia" w:ascii="宋体" w:hAnsi="宋体" w:eastAsia="宋体" w:cs="宋体"/>
          <w:color w:val="auto"/>
          <w:sz w:val="24"/>
          <w:szCs w:val="24"/>
          <w:highlight w:val="none"/>
        </w:rPr>
        <w:t>的，应当在变更后3日内及时书面通知对方，对方实际收到变更通知前的送达仍为有效送达。</w:t>
      </w:r>
    </w:p>
    <w:p w14:paraId="59A2FD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61F7683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7C6E0983">
      <w:pPr>
        <w:pageBreakBefore w:val="0"/>
        <w:numPr>
          <w:ilvl w:val="0"/>
          <w:numId w:val="7"/>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2E9532E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w:t>
      </w:r>
    </w:p>
    <w:p w14:paraId="0E4AB5CB">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49" w:name="_Toc20313"/>
    </w:p>
    <w:p w14:paraId="4BA328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br w:type="page"/>
      </w:r>
    </w:p>
    <w:p w14:paraId="4AC815C8">
      <w:pPr>
        <w:pStyle w:val="2"/>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auto"/>
          <w:kern w:val="2"/>
          <w:sz w:val="24"/>
          <w:szCs w:val="20"/>
          <w:highlight w:val="none"/>
          <w:lang w:val="en-US" w:eastAsia="zh-CN" w:bidi="ar-SA"/>
        </w:rPr>
      </w:pPr>
      <w:r>
        <w:rPr>
          <w:rFonts w:hint="eastAsia" w:cs="@仿宋_GB2312" w:asciiTheme="minorEastAsia" w:hAnsiTheme="minorEastAsia" w:eastAsiaTheme="minorEastAsia"/>
          <w:b/>
          <w:bCs w:val="0"/>
          <w:color w:val="auto"/>
          <w:kern w:val="2"/>
          <w:sz w:val="24"/>
          <w:szCs w:val="20"/>
          <w:highlight w:val="none"/>
          <w:lang w:val="en-US" w:eastAsia="zh-CN" w:bidi="ar-SA"/>
        </w:rPr>
        <w:t>第三节 采购合同专用条款</w:t>
      </w:r>
      <w:bookmarkEnd w:id="49"/>
    </w:p>
    <w:tbl>
      <w:tblPr>
        <w:tblStyle w:val="2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DFFF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E3C6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1A4E2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5AFA91B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联合体具体要求</w:t>
            </w:r>
          </w:p>
        </w:tc>
        <w:tc>
          <w:tcPr>
            <w:tcW w:w="5170" w:type="dxa"/>
            <w:vAlign w:val="center"/>
          </w:tcPr>
          <w:p w14:paraId="54A01E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2511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41774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0F78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）项</w:t>
            </w:r>
          </w:p>
        </w:tc>
        <w:tc>
          <w:tcPr>
            <w:tcW w:w="1742" w:type="dxa"/>
            <w:vAlign w:val="center"/>
          </w:tcPr>
          <w:p w14:paraId="5E6C7A5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其他术语解释</w:t>
            </w:r>
          </w:p>
        </w:tc>
        <w:tc>
          <w:tcPr>
            <w:tcW w:w="5170" w:type="dxa"/>
            <w:vAlign w:val="center"/>
          </w:tcPr>
          <w:p w14:paraId="04813E7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18E01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1449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48E03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4.4款</w:t>
            </w:r>
          </w:p>
        </w:tc>
        <w:tc>
          <w:tcPr>
            <w:tcW w:w="1742" w:type="dxa"/>
            <w:vAlign w:val="center"/>
          </w:tcPr>
          <w:p w14:paraId="31EBB3A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履约验收中甲方提出异议或作出说明的期限</w:t>
            </w:r>
          </w:p>
        </w:tc>
        <w:tc>
          <w:tcPr>
            <w:tcW w:w="5170" w:type="dxa"/>
            <w:vAlign w:val="center"/>
          </w:tcPr>
          <w:p w14:paraId="73CC3A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4D50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3F34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7700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4.6款</w:t>
            </w:r>
          </w:p>
        </w:tc>
        <w:tc>
          <w:tcPr>
            <w:tcW w:w="1742" w:type="dxa"/>
            <w:vAlign w:val="center"/>
          </w:tcPr>
          <w:p w14:paraId="00A9DA4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约定甲方承担的其他义务和责任</w:t>
            </w:r>
          </w:p>
        </w:tc>
        <w:tc>
          <w:tcPr>
            <w:tcW w:w="5170" w:type="dxa"/>
            <w:vAlign w:val="center"/>
          </w:tcPr>
          <w:p w14:paraId="76137C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5937F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056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5BC60E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5.4款</w:t>
            </w:r>
          </w:p>
        </w:tc>
        <w:tc>
          <w:tcPr>
            <w:tcW w:w="1742" w:type="dxa"/>
            <w:vAlign w:val="center"/>
          </w:tcPr>
          <w:p w14:paraId="445A045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约定乙方承担的其他义务和责任</w:t>
            </w:r>
          </w:p>
        </w:tc>
        <w:tc>
          <w:tcPr>
            <w:tcW w:w="5170" w:type="dxa"/>
            <w:vAlign w:val="center"/>
          </w:tcPr>
          <w:p w14:paraId="2325937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D479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D23D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8F55897">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6.1款</w:t>
            </w:r>
          </w:p>
        </w:tc>
        <w:tc>
          <w:tcPr>
            <w:tcW w:w="1742" w:type="dxa"/>
            <w:vAlign w:val="center"/>
          </w:tcPr>
          <w:p w14:paraId="68FE36A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履行合同义务的顺序</w:t>
            </w:r>
          </w:p>
        </w:tc>
        <w:tc>
          <w:tcPr>
            <w:tcW w:w="5170" w:type="dxa"/>
            <w:vAlign w:val="center"/>
          </w:tcPr>
          <w:p w14:paraId="5806151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B1D1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F600AE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2454B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款</w:t>
            </w:r>
          </w:p>
        </w:tc>
        <w:tc>
          <w:tcPr>
            <w:tcW w:w="1742" w:type="dxa"/>
            <w:vAlign w:val="center"/>
          </w:tcPr>
          <w:p w14:paraId="2D643C2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w:t>
            </w:r>
            <w:r>
              <w:rPr>
                <w:rFonts w:hint="eastAsia" w:ascii="宋体" w:hAnsi="宋体" w:eastAsia="宋体" w:cs="宋体"/>
                <w:color w:val="auto"/>
                <w:sz w:val="24"/>
                <w:szCs w:val="24"/>
                <w:highlight w:val="none"/>
                <w:lang w:eastAsia="zh-CN"/>
              </w:rPr>
              <w:t>特殊要求</w:t>
            </w:r>
          </w:p>
        </w:tc>
        <w:tc>
          <w:tcPr>
            <w:tcW w:w="5170" w:type="dxa"/>
            <w:vAlign w:val="center"/>
          </w:tcPr>
          <w:p w14:paraId="59217776">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65BB9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1A85FE2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742" w:type="dxa"/>
            <w:vAlign w:val="center"/>
          </w:tcPr>
          <w:p w14:paraId="4237896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指定现场</w:t>
            </w:r>
          </w:p>
        </w:tc>
        <w:tc>
          <w:tcPr>
            <w:tcW w:w="5170" w:type="dxa"/>
            <w:vAlign w:val="center"/>
          </w:tcPr>
          <w:p w14:paraId="58B256F3">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4311B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5FB2A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D2EC15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vAlign w:val="center"/>
          </w:tcPr>
          <w:p w14:paraId="04FFEF0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运输特殊要求</w:t>
            </w:r>
          </w:p>
        </w:tc>
        <w:tc>
          <w:tcPr>
            <w:tcW w:w="5170" w:type="dxa"/>
            <w:vAlign w:val="center"/>
          </w:tcPr>
          <w:p w14:paraId="6E5D806C">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2164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01226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3C8B2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款</w:t>
            </w:r>
          </w:p>
        </w:tc>
        <w:tc>
          <w:tcPr>
            <w:tcW w:w="1742" w:type="dxa"/>
            <w:vAlign w:val="center"/>
          </w:tcPr>
          <w:p w14:paraId="5848239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保险要求</w:t>
            </w:r>
          </w:p>
        </w:tc>
        <w:tc>
          <w:tcPr>
            <w:tcW w:w="5170" w:type="dxa"/>
            <w:vAlign w:val="center"/>
          </w:tcPr>
          <w:p w14:paraId="7AA07E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76687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BA30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B31F9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.2（1）项</w:t>
            </w:r>
          </w:p>
        </w:tc>
        <w:tc>
          <w:tcPr>
            <w:tcW w:w="1742" w:type="dxa"/>
            <w:vAlign w:val="center"/>
          </w:tcPr>
          <w:p w14:paraId="059F45C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CC299A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p>
        </w:tc>
      </w:tr>
      <w:tr w14:paraId="23EE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16529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73EF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.2（3）项</w:t>
            </w:r>
          </w:p>
        </w:tc>
        <w:tc>
          <w:tcPr>
            <w:tcW w:w="1742" w:type="dxa"/>
            <w:vAlign w:val="center"/>
          </w:tcPr>
          <w:p w14:paraId="5233DB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货物质量缺陷</w:t>
            </w:r>
          </w:p>
          <w:p w14:paraId="71A10EF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1D29BB0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82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9EBABF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第二节</w:t>
            </w:r>
          </w:p>
          <w:p w14:paraId="3C670734">
            <w:pPr>
              <w:pStyle w:val="59"/>
              <w:pageBreakBefore w:val="0"/>
              <w:kinsoku/>
              <w:wordWrap/>
              <w:overflowPunct/>
              <w:topLinePunct w:val="0"/>
              <w:bidi w:val="0"/>
              <w:spacing w:line="36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第11.1款</w:t>
            </w:r>
          </w:p>
        </w:tc>
        <w:tc>
          <w:tcPr>
            <w:tcW w:w="1742" w:type="dxa"/>
            <w:vAlign w:val="center"/>
          </w:tcPr>
          <w:p w14:paraId="1D76EECF">
            <w:pPr>
              <w:pageBreakBefore w:val="0"/>
              <w:kinsoku/>
              <w:wordWrap/>
              <w:overflowPunct/>
              <w:topLinePunct w:val="0"/>
              <w:bidi w:val="0"/>
              <w:adjustRightInd w:val="0"/>
              <w:snapToGrid w:val="0"/>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其他应当保密的信息</w:t>
            </w:r>
          </w:p>
        </w:tc>
        <w:tc>
          <w:tcPr>
            <w:tcW w:w="5170" w:type="dxa"/>
            <w:vAlign w:val="center"/>
          </w:tcPr>
          <w:p w14:paraId="016407E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2504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6A95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D6109A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.2款</w:t>
            </w:r>
          </w:p>
        </w:tc>
        <w:tc>
          <w:tcPr>
            <w:tcW w:w="1742" w:type="dxa"/>
            <w:vAlign w:val="center"/>
          </w:tcPr>
          <w:p w14:paraId="0CEABBE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合同价款支付</w:t>
            </w:r>
            <w:r>
              <w:rPr>
                <w:rFonts w:hint="eastAsia" w:ascii="宋体" w:hAnsi="宋体" w:eastAsia="宋体" w:cs="宋体"/>
                <w:color w:val="auto"/>
                <w:sz w:val="24"/>
                <w:szCs w:val="24"/>
                <w:highlight w:val="none"/>
                <w:lang w:eastAsia="zh-CN"/>
              </w:rPr>
              <w:t>时间</w:t>
            </w:r>
          </w:p>
        </w:tc>
        <w:tc>
          <w:tcPr>
            <w:tcW w:w="5170" w:type="dxa"/>
            <w:vAlign w:val="center"/>
          </w:tcPr>
          <w:p w14:paraId="2A0C6B0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F8C27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A16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AD99FE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13.2</w:t>
            </w:r>
            <w:r>
              <w:rPr>
                <w:rFonts w:hint="eastAsia" w:ascii="宋体" w:hAnsi="宋体" w:eastAsia="宋体" w:cs="宋体"/>
                <w:color w:val="auto"/>
                <w:sz w:val="24"/>
                <w:szCs w:val="24"/>
                <w:highlight w:val="none"/>
              </w:rPr>
              <w:t>款</w:t>
            </w:r>
          </w:p>
        </w:tc>
        <w:tc>
          <w:tcPr>
            <w:tcW w:w="1742" w:type="dxa"/>
            <w:vAlign w:val="center"/>
          </w:tcPr>
          <w:p w14:paraId="69FF917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履约保证金不予退还的情形</w:t>
            </w:r>
          </w:p>
        </w:tc>
        <w:tc>
          <w:tcPr>
            <w:tcW w:w="5170" w:type="dxa"/>
            <w:vAlign w:val="center"/>
          </w:tcPr>
          <w:p w14:paraId="539D43B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6158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41464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3B3D6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13.3</w:t>
            </w:r>
            <w:r>
              <w:rPr>
                <w:rFonts w:hint="eastAsia" w:ascii="宋体" w:hAnsi="宋体" w:eastAsia="宋体" w:cs="宋体"/>
                <w:color w:val="auto"/>
                <w:sz w:val="24"/>
                <w:szCs w:val="24"/>
                <w:highlight w:val="none"/>
              </w:rPr>
              <w:t>款</w:t>
            </w:r>
          </w:p>
        </w:tc>
        <w:tc>
          <w:tcPr>
            <w:tcW w:w="1742" w:type="dxa"/>
            <w:vAlign w:val="center"/>
          </w:tcPr>
          <w:p w14:paraId="7D193A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w:t>
            </w:r>
            <w:r>
              <w:rPr>
                <w:rFonts w:hint="eastAsia" w:ascii="宋体" w:hAnsi="宋体" w:eastAsia="宋体" w:cs="宋体"/>
                <w:color w:val="auto"/>
                <w:sz w:val="24"/>
                <w:szCs w:val="24"/>
                <w:highlight w:val="none"/>
                <w:lang w:eastAsia="zh-CN"/>
              </w:rPr>
              <w:t>逾期退还的</w:t>
            </w:r>
            <w:r>
              <w:rPr>
                <w:rFonts w:hint="eastAsia" w:ascii="宋体" w:hAnsi="宋体" w:eastAsia="宋体" w:cs="宋体"/>
                <w:color w:val="auto"/>
                <w:sz w:val="24"/>
                <w:szCs w:val="24"/>
                <w:highlight w:val="none"/>
              </w:rPr>
              <w:t>违约金</w:t>
            </w:r>
          </w:p>
        </w:tc>
        <w:tc>
          <w:tcPr>
            <w:tcW w:w="5170" w:type="dxa"/>
            <w:vAlign w:val="center"/>
          </w:tcPr>
          <w:p w14:paraId="33E0AEE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C8F9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968B0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F8622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w:t>
            </w:r>
          </w:p>
        </w:tc>
        <w:tc>
          <w:tcPr>
            <w:tcW w:w="1742" w:type="dxa"/>
            <w:vAlign w:val="center"/>
          </w:tcPr>
          <w:p w14:paraId="0FA4F82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运行监督、维修期限</w:t>
            </w:r>
          </w:p>
        </w:tc>
        <w:tc>
          <w:tcPr>
            <w:tcW w:w="5170" w:type="dxa"/>
            <w:vAlign w:val="center"/>
          </w:tcPr>
          <w:p w14:paraId="066F2AF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AF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451BA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C7F4C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）项</w:t>
            </w:r>
          </w:p>
        </w:tc>
        <w:tc>
          <w:tcPr>
            <w:tcW w:w="1742" w:type="dxa"/>
            <w:vAlign w:val="center"/>
          </w:tcPr>
          <w:p w14:paraId="0D17EC0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货物回收的约定</w:t>
            </w:r>
          </w:p>
        </w:tc>
        <w:tc>
          <w:tcPr>
            <w:tcW w:w="5170" w:type="dxa"/>
            <w:vAlign w:val="center"/>
          </w:tcPr>
          <w:p w14:paraId="43C13EA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2B4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0445B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F27C9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3500E3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13194CD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E9B2E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E34CE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619A0A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1款</w:t>
            </w:r>
          </w:p>
        </w:tc>
        <w:tc>
          <w:tcPr>
            <w:tcW w:w="1742" w:type="dxa"/>
            <w:vAlign w:val="center"/>
          </w:tcPr>
          <w:p w14:paraId="668BB69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修理、重作、更换相关具体规定</w:t>
            </w:r>
          </w:p>
        </w:tc>
        <w:tc>
          <w:tcPr>
            <w:tcW w:w="5170" w:type="dxa"/>
            <w:vAlign w:val="center"/>
          </w:tcPr>
          <w:p w14:paraId="1513F09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771A2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ED1E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C4AD2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.2（2）项</w:t>
            </w:r>
          </w:p>
        </w:tc>
        <w:tc>
          <w:tcPr>
            <w:tcW w:w="1742" w:type="dxa"/>
            <w:vAlign w:val="center"/>
          </w:tcPr>
          <w:p w14:paraId="692039F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28507A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如果中标供应商没有按照合同规定的时间提供</w:t>
            </w:r>
            <w:r>
              <w:rPr>
                <w:rFonts w:hint="eastAsia" w:ascii="宋体" w:hAnsi="宋体" w:eastAsia="宋体" w:cs="宋体"/>
                <w:color w:val="auto"/>
                <w:sz w:val="24"/>
                <w:szCs w:val="24"/>
                <w:highlight w:val="none"/>
                <w:lang w:val="en-US" w:eastAsia="zh-CN"/>
              </w:rPr>
              <w:t>货物或</w:t>
            </w:r>
            <w:r>
              <w:rPr>
                <w:rFonts w:hint="eastAsia" w:ascii="宋体" w:hAnsi="宋体" w:eastAsia="宋体" w:cs="宋体"/>
                <w:color w:val="auto"/>
                <w:sz w:val="24"/>
                <w:szCs w:val="24"/>
                <w:highlight w:val="none"/>
              </w:rPr>
              <w:t>服务，中标供应商应向采购人支付违约金。违约金按每周未提供货物和服务总费用的0.5%计收，如未提供货物和服务时间超过4周，则按合同总价的20%计收违约金。一周按7天计算，不足7天按一周计算。如未提供货物和服务时间超过4周，采购人可以终止合同。</w:t>
            </w:r>
          </w:p>
        </w:tc>
      </w:tr>
      <w:tr w14:paraId="2E09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319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0B894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3款</w:t>
            </w:r>
          </w:p>
        </w:tc>
        <w:tc>
          <w:tcPr>
            <w:tcW w:w="1742" w:type="dxa"/>
            <w:vAlign w:val="center"/>
          </w:tcPr>
          <w:p w14:paraId="0B0B1C2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38F3C75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p>
        </w:tc>
      </w:tr>
      <w:tr w14:paraId="47B2F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88A5D8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93EC5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68364ED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39CD55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因采购人原因导致延期返还履约保证金、延期支付合同款项，变更、中止或终止合同的，因政策变化等原因不能签订合同，造成企业合法利益受损的情形，采购人应与供应商充分协商，按照货物或提供服务合同价</w:t>
            </w:r>
            <w:r>
              <w:rPr>
                <w:rFonts w:hint="eastAsia" w:ascii="宋体" w:hAnsi="宋体" w:eastAsia="宋体" w:cs="宋体"/>
                <w:color w:val="auto"/>
                <w:sz w:val="24"/>
                <w:szCs w:val="24"/>
                <w:highlight w:val="none"/>
                <w:u w:val="single"/>
                <w:lang w:val="en-US" w:eastAsia="zh-CN"/>
              </w:rPr>
              <w:t xml:space="preserve">  0.1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给予合理赔偿或者补偿</w:t>
            </w:r>
            <w:r>
              <w:rPr>
                <w:rFonts w:hint="eastAsia" w:ascii="宋体" w:hAnsi="宋体" w:eastAsia="宋体" w:cs="宋体"/>
                <w:color w:val="auto"/>
                <w:sz w:val="24"/>
                <w:szCs w:val="24"/>
                <w:highlight w:val="none"/>
                <w:lang w:eastAsia="zh-CN"/>
              </w:rPr>
              <w:t>。</w:t>
            </w:r>
          </w:p>
        </w:tc>
      </w:tr>
      <w:tr w14:paraId="3872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986A8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633A7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1B9F43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解决争议的方法</w:t>
            </w:r>
          </w:p>
        </w:tc>
        <w:tc>
          <w:tcPr>
            <w:tcW w:w="5170" w:type="dxa"/>
            <w:tcBorders>
              <w:top w:val="single" w:color="auto" w:sz="2" w:space="0"/>
              <w:left w:val="single" w:color="auto" w:sz="2" w:space="0"/>
            </w:tcBorders>
            <w:vAlign w:val="center"/>
          </w:tcPr>
          <w:p w14:paraId="003C7A2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因本合同及合同有关事项发生的争议，按下列第</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种方式解决：</w:t>
            </w:r>
          </w:p>
          <w:p w14:paraId="12A8214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（1）向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仲裁委员会申请仲裁，仲裁地点为</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w:t>
            </w:r>
          </w:p>
          <w:p w14:paraId="1C064E38">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b w:val="0"/>
                <w:bCs w:val="0"/>
                <w:iCs/>
                <w:color w:val="auto"/>
                <w:sz w:val="24"/>
                <w:szCs w:val="24"/>
                <w:highlight w:val="none"/>
              </w:rPr>
              <w:t>（2）向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人民法院起诉。</w:t>
            </w:r>
          </w:p>
        </w:tc>
      </w:tr>
      <w:tr w14:paraId="13467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0F357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FA4F25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款</w:t>
            </w:r>
          </w:p>
        </w:tc>
        <w:tc>
          <w:tcPr>
            <w:tcW w:w="1742" w:type="dxa"/>
            <w:vAlign w:val="center"/>
          </w:tcPr>
          <w:p w14:paraId="187F7FD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其他专用条款</w:t>
            </w:r>
          </w:p>
        </w:tc>
        <w:tc>
          <w:tcPr>
            <w:tcW w:w="5170" w:type="dxa"/>
            <w:vAlign w:val="center"/>
          </w:tcPr>
          <w:p w14:paraId="2F917DD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bl>
    <w:p w14:paraId="29092542">
      <w:pPr>
        <w:rPr>
          <w:rFonts w:hint="eastAsia" w:ascii="宋体" w:hAnsi="宋体" w:eastAsia="宋体" w:cs="宋体"/>
          <w:color w:val="auto"/>
          <w:sz w:val="24"/>
          <w:szCs w:val="24"/>
          <w:highlight w:val="none"/>
        </w:rPr>
      </w:pPr>
    </w:p>
    <w:p w14:paraId="0E6D920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82D4B74">
      <w:pPr>
        <w:spacing w:line="360" w:lineRule="auto"/>
        <w:jc w:val="center"/>
        <w:outlineLvl w:val="0"/>
        <w:rPr>
          <w:rFonts w:asciiTheme="minorEastAsia" w:hAnsiTheme="minorEastAsia" w:eastAsiaTheme="minorEastAsia"/>
          <w:b/>
          <w:color w:val="auto"/>
          <w:sz w:val="28"/>
          <w:highlight w:val="none"/>
        </w:rPr>
      </w:pPr>
      <w:bookmarkStart w:id="50" w:name="_Toc22492"/>
      <w:r>
        <w:rPr>
          <w:rFonts w:hint="eastAsia" w:asciiTheme="minorEastAsia" w:hAnsiTheme="minorEastAsia" w:eastAsiaTheme="minorEastAsia"/>
          <w:b/>
          <w:color w:val="auto"/>
          <w:sz w:val="28"/>
          <w:highlight w:val="none"/>
        </w:rPr>
        <w:t>第六章  投标文件格式</w:t>
      </w:r>
      <w:bookmarkEnd w:id="50"/>
    </w:p>
    <w:p w14:paraId="597E24F1">
      <w:pPr>
        <w:spacing w:line="900" w:lineRule="exact"/>
        <w:jc w:val="center"/>
        <w:rPr>
          <w:rFonts w:asciiTheme="minorEastAsia" w:hAnsiTheme="minorEastAsia" w:eastAsiaTheme="minorEastAsia"/>
          <w:b/>
          <w:color w:val="auto"/>
          <w:sz w:val="72"/>
          <w:highlight w:val="none"/>
        </w:rPr>
      </w:pPr>
    </w:p>
    <w:p w14:paraId="5F1B657B">
      <w:pPr>
        <w:spacing w:line="900" w:lineRule="exact"/>
        <w:jc w:val="center"/>
        <w:outlineLvl w:val="1"/>
        <w:rPr>
          <w:rFonts w:asciiTheme="minorEastAsia" w:hAnsiTheme="minorEastAsia" w:eastAsiaTheme="minorEastAsia"/>
          <w:b/>
          <w:color w:val="auto"/>
          <w:sz w:val="72"/>
          <w:highlight w:val="none"/>
        </w:rPr>
      </w:pPr>
      <w:bookmarkStart w:id="51" w:name="_Toc651"/>
      <w:r>
        <w:rPr>
          <w:rFonts w:hint="eastAsia" w:asciiTheme="minorEastAsia" w:hAnsiTheme="minorEastAsia" w:eastAsiaTheme="minorEastAsia"/>
          <w:b/>
          <w:color w:val="auto"/>
          <w:sz w:val="72"/>
          <w:highlight w:val="none"/>
        </w:rPr>
        <w:t>投</w:t>
      </w:r>
      <w:bookmarkEnd w:id="51"/>
    </w:p>
    <w:p w14:paraId="151E7C31">
      <w:pPr>
        <w:spacing w:line="900" w:lineRule="exact"/>
        <w:jc w:val="center"/>
        <w:rPr>
          <w:rFonts w:asciiTheme="minorEastAsia" w:hAnsiTheme="minorEastAsia" w:eastAsiaTheme="minorEastAsia"/>
          <w:b/>
          <w:color w:val="auto"/>
          <w:sz w:val="72"/>
          <w:highlight w:val="none"/>
        </w:rPr>
      </w:pPr>
    </w:p>
    <w:p w14:paraId="2562A624">
      <w:pPr>
        <w:spacing w:line="900" w:lineRule="exact"/>
        <w:jc w:val="center"/>
        <w:outlineLvl w:val="1"/>
        <w:rPr>
          <w:rFonts w:asciiTheme="minorEastAsia" w:hAnsiTheme="minorEastAsia" w:eastAsiaTheme="minorEastAsia"/>
          <w:b/>
          <w:color w:val="auto"/>
          <w:sz w:val="72"/>
          <w:highlight w:val="none"/>
        </w:rPr>
      </w:pPr>
      <w:bookmarkStart w:id="52" w:name="_Toc6148"/>
      <w:r>
        <w:rPr>
          <w:rFonts w:hint="eastAsia" w:asciiTheme="minorEastAsia" w:hAnsiTheme="minorEastAsia" w:eastAsiaTheme="minorEastAsia"/>
          <w:b/>
          <w:color w:val="auto"/>
          <w:sz w:val="72"/>
          <w:highlight w:val="none"/>
        </w:rPr>
        <w:t>标</w:t>
      </w:r>
      <w:bookmarkEnd w:id="52"/>
    </w:p>
    <w:p w14:paraId="194745C5">
      <w:pPr>
        <w:spacing w:line="900" w:lineRule="exact"/>
        <w:jc w:val="center"/>
        <w:rPr>
          <w:rFonts w:asciiTheme="minorEastAsia" w:hAnsiTheme="minorEastAsia" w:eastAsiaTheme="minorEastAsia"/>
          <w:b/>
          <w:color w:val="auto"/>
          <w:sz w:val="72"/>
          <w:highlight w:val="none"/>
        </w:rPr>
      </w:pPr>
    </w:p>
    <w:p w14:paraId="41E80372">
      <w:pPr>
        <w:spacing w:line="900" w:lineRule="exact"/>
        <w:jc w:val="center"/>
        <w:outlineLvl w:val="1"/>
        <w:rPr>
          <w:rFonts w:asciiTheme="minorEastAsia" w:hAnsiTheme="minorEastAsia" w:eastAsiaTheme="minorEastAsia"/>
          <w:b/>
          <w:color w:val="auto"/>
          <w:sz w:val="72"/>
          <w:highlight w:val="none"/>
        </w:rPr>
      </w:pPr>
      <w:bookmarkStart w:id="53" w:name="_Toc1338"/>
      <w:r>
        <w:rPr>
          <w:rFonts w:hint="eastAsia" w:asciiTheme="minorEastAsia" w:hAnsiTheme="minorEastAsia" w:eastAsiaTheme="minorEastAsia"/>
          <w:b/>
          <w:color w:val="auto"/>
          <w:sz w:val="72"/>
          <w:highlight w:val="none"/>
        </w:rPr>
        <w:t>文</w:t>
      </w:r>
      <w:bookmarkEnd w:id="53"/>
    </w:p>
    <w:p w14:paraId="25463D15">
      <w:pPr>
        <w:spacing w:line="900" w:lineRule="exact"/>
        <w:jc w:val="center"/>
        <w:rPr>
          <w:rFonts w:asciiTheme="minorEastAsia" w:hAnsiTheme="minorEastAsia" w:eastAsiaTheme="minorEastAsia"/>
          <w:b/>
          <w:color w:val="auto"/>
          <w:sz w:val="72"/>
          <w:highlight w:val="none"/>
        </w:rPr>
      </w:pPr>
    </w:p>
    <w:p w14:paraId="10FE9B54">
      <w:pPr>
        <w:jc w:val="center"/>
        <w:outlineLvl w:val="1"/>
        <w:rPr>
          <w:rFonts w:asciiTheme="minorEastAsia" w:hAnsiTheme="minorEastAsia" w:eastAsiaTheme="minorEastAsia"/>
          <w:b/>
          <w:color w:val="auto"/>
          <w:sz w:val="72"/>
          <w:highlight w:val="none"/>
        </w:rPr>
      </w:pPr>
      <w:bookmarkStart w:id="54" w:name="_Toc10796"/>
      <w:r>
        <w:rPr>
          <w:rFonts w:hint="eastAsia" w:asciiTheme="minorEastAsia" w:hAnsiTheme="minorEastAsia" w:eastAsiaTheme="minorEastAsia"/>
          <w:b/>
          <w:color w:val="auto"/>
          <w:sz w:val="72"/>
          <w:highlight w:val="none"/>
        </w:rPr>
        <w:t>件</w:t>
      </w:r>
      <w:bookmarkEnd w:id="54"/>
    </w:p>
    <w:p w14:paraId="100863D2">
      <w:pPr>
        <w:spacing w:after="156" w:afterLines="50"/>
        <w:jc w:val="center"/>
        <w:rPr>
          <w:rFonts w:asciiTheme="minorEastAsia" w:hAnsiTheme="minorEastAsia" w:eastAsiaTheme="minorEastAsia"/>
          <w:b/>
          <w:color w:val="auto"/>
          <w:sz w:val="72"/>
          <w:highlight w:val="none"/>
        </w:rPr>
      </w:pPr>
    </w:p>
    <w:p w14:paraId="7543BA23">
      <w:pPr>
        <w:spacing w:before="156" w:beforeLines="50" w:after="156" w:afterLines="50"/>
        <w:jc w:val="center"/>
        <w:outlineLvl w:val="9"/>
        <w:rPr>
          <w:rFonts w:asciiTheme="minorEastAsia" w:hAnsiTheme="minorEastAsia" w:eastAsiaTheme="minorEastAsia"/>
          <w:b/>
          <w:color w:val="auto"/>
          <w:sz w:val="32"/>
          <w:szCs w:val="32"/>
          <w:highlight w:val="none"/>
        </w:rPr>
      </w:pPr>
    </w:p>
    <w:p w14:paraId="36F96B57">
      <w:pPr>
        <w:spacing w:after="156" w:afterLines="50" w:line="500" w:lineRule="exact"/>
        <w:jc w:val="center"/>
        <w:rPr>
          <w:rFonts w:asciiTheme="minorEastAsia" w:hAnsiTheme="minorEastAsia" w:eastAsiaTheme="minorEastAsia"/>
          <w:b/>
          <w:color w:val="auto"/>
          <w:sz w:val="28"/>
          <w:szCs w:val="28"/>
          <w:highlight w:val="none"/>
        </w:rPr>
      </w:pPr>
    </w:p>
    <w:p w14:paraId="5220380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5" w:name="_Toc9994"/>
      <w:bookmarkStart w:id="56"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5"/>
      <w:bookmarkEnd w:id="56"/>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F69E07D">
      <w:pPr>
        <w:spacing w:line="360" w:lineRule="auto"/>
        <w:jc w:val="center"/>
        <w:outlineLvl w:val="1"/>
        <w:rPr>
          <w:rFonts w:asciiTheme="minorEastAsia" w:hAnsiTheme="minorEastAsia" w:eastAsiaTheme="minorEastAsia"/>
          <w:b/>
          <w:color w:val="auto"/>
          <w:sz w:val="24"/>
          <w:highlight w:val="none"/>
        </w:rPr>
      </w:pPr>
      <w:bookmarkStart w:id="57" w:name="_Toc28960"/>
      <w:bookmarkStart w:id="58" w:name="_Toc5555"/>
      <w:r>
        <w:rPr>
          <w:rFonts w:hint="eastAsia" w:asciiTheme="minorEastAsia" w:hAnsiTheme="minorEastAsia" w:eastAsiaTheme="minorEastAsia"/>
          <w:b/>
          <w:color w:val="auto"/>
          <w:sz w:val="24"/>
          <w:highlight w:val="none"/>
        </w:rPr>
        <w:t>一、开标一览表</w:t>
      </w:r>
      <w:bookmarkEnd w:id="57"/>
      <w:bookmarkEnd w:id="58"/>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asciiTheme="minorEastAsia" w:hAnsiTheme="minorEastAsia" w:eastAsiaTheme="minorEastAsia"/>
                <w:color w:val="auto"/>
                <w:sz w:val="24"/>
                <w:szCs w:val="28"/>
                <w:highlight w:val="none"/>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59" w:name="_Toc6441"/>
      <w:bookmarkStart w:id="60" w:name="_Toc18010"/>
      <w:r>
        <w:rPr>
          <w:rFonts w:hint="eastAsia" w:asciiTheme="minorEastAsia" w:hAnsiTheme="minorEastAsia" w:eastAsiaTheme="minorEastAsia"/>
          <w:b/>
          <w:color w:val="auto"/>
          <w:sz w:val="24"/>
          <w:highlight w:val="none"/>
        </w:rPr>
        <w:t>二、投标函</w:t>
      </w:r>
      <w:bookmarkEnd w:id="59"/>
      <w:bookmarkEnd w:id="60"/>
    </w:p>
    <w:p w14:paraId="5A91387F">
      <w:pPr>
        <w:pStyle w:val="12"/>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8775A16">
      <w:pPr>
        <w:spacing w:line="360" w:lineRule="auto"/>
        <w:jc w:val="center"/>
        <w:outlineLvl w:val="1"/>
        <w:rPr>
          <w:rFonts w:hint="eastAsia" w:asciiTheme="minorEastAsia" w:hAnsiTheme="minorEastAsia" w:eastAsiaTheme="minorEastAsia"/>
          <w:b/>
          <w:color w:val="auto"/>
          <w:sz w:val="24"/>
          <w:highlight w:val="none"/>
        </w:rPr>
      </w:pPr>
      <w:bookmarkStart w:id="61" w:name="_Toc1328"/>
      <w:r>
        <w:rPr>
          <w:rFonts w:hint="eastAsia" w:asciiTheme="minorEastAsia" w:hAnsiTheme="minorEastAsia" w:eastAsiaTheme="minorEastAsia"/>
          <w:b/>
          <w:color w:val="auto"/>
          <w:sz w:val="24"/>
          <w:highlight w:val="none"/>
          <w:lang w:val="en-US" w:eastAsia="zh-CN"/>
        </w:rPr>
        <w:t>三．投标人资格声明书</w:t>
      </w:r>
      <w:bookmarkEnd w:id="61"/>
      <w:r>
        <w:rPr>
          <w:rFonts w:hint="eastAsia" w:asciiTheme="minorEastAsia" w:hAnsiTheme="minorEastAsia" w:eastAsiaTheme="minorEastAsia"/>
          <w:b/>
          <w:color w:val="auto"/>
          <w:sz w:val="24"/>
          <w:highlight w:val="none"/>
          <w:lang w:val="en-US" w:eastAsia="zh-CN"/>
        </w:rPr>
        <w:t xml:space="preserve"> </w:t>
      </w:r>
    </w:p>
    <w:p w14:paraId="71C42E2A">
      <w:pPr>
        <w:pStyle w:val="12"/>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EA201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55C34C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7D36F4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3575D4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EB28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BB80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8B2A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（六）与我单位存在单位负责人为同一人或者存在直接控股、管理关系的其他法人单位信息如下（如有，不论其是否参加同一合同项下的采购活动均须填写）：</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09514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7AB1403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9A8ACB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7A13D49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9931D3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6476754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270D37D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05A5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429414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7C5B6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EA2097A">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62FACBB4">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29236E8F">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17F618DD">
      <w:pPr>
        <w:rPr>
          <w:rFonts w:hint="eastAsia" w:asciiTheme="minorEastAsia" w:hAnsiTheme="minorEastAsia" w:eastAsiaTheme="minorEastAsia"/>
          <w:b/>
          <w:color w:val="auto"/>
          <w:sz w:val="24"/>
          <w:highlight w:val="none"/>
        </w:rPr>
      </w:pPr>
      <w:bookmarkStart w:id="62" w:name="_Toc11607"/>
      <w:r>
        <w:rPr>
          <w:rFonts w:hint="eastAsia" w:asciiTheme="minorEastAsia" w:hAnsiTheme="minorEastAsia" w:eastAsiaTheme="minorEastAsia"/>
          <w:b/>
          <w:color w:val="auto"/>
          <w:sz w:val="24"/>
          <w:highlight w:val="none"/>
        </w:rPr>
        <w:br w:type="page"/>
      </w:r>
    </w:p>
    <w:p w14:paraId="6C263433">
      <w:pPr>
        <w:spacing w:line="360" w:lineRule="auto"/>
        <w:jc w:val="center"/>
        <w:outlineLvl w:val="1"/>
        <w:rPr>
          <w:rFonts w:asciiTheme="minorEastAsia" w:hAnsiTheme="minorEastAsia" w:eastAsiaTheme="minorEastAsia"/>
          <w:b/>
          <w:color w:val="auto"/>
          <w:sz w:val="24"/>
          <w:highlight w:val="none"/>
        </w:rPr>
      </w:pPr>
      <w:bookmarkStart w:id="63" w:name="_Toc16960"/>
      <w:r>
        <w:rPr>
          <w:rFonts w:hint="eastAsia" w:asciiTheme="minorEastAsia" w:hAnsiTheme="minorEastAsia" w:eastAsiaTheme="minorEastAsia"/>
          <w:b/>
          <w:color w:val="auto"/>
          <w:sz w:val="24"/>
          <w:highlight w:val="none"/>
        </w:rPr>
        <w:t>四、授权书</w:t>
      </w:r>
      <w:bookmarkEnd w:id="62"/>
      <w:bookmarkEnd w:id="63"/>
    </w:p>
    <w:p w14:paraId="08E8CC0E">
      <w:pPr>
        <w:pStyle w:val="11"/>
        <w:snapToGrid w:val="0"/>
        <w:spacing w:line="360" w:lineRule="auto"/>
        <w:ind w:firstLine="480" w:firstLineChars="200"/>
        <w:jc w:val="left"/>
        <w:rPr>
          <w:rFonts w:hAnsi="宋体" w:eastAsia="宋体"/>
          <w:color w:val="auto"/>
          <w:sz w:val="24"/>
          <w:szCs w:val="28"/>
          <w:highlight w:val="none"/>
        </w:rPr>
      </w:pPr>
    </w:p>
    <w:p w14:paraId="5E50A68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022287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EA03D83">
      <w:pPr>
        <w:spacing w:line="360" w:lineRule="auto"/>
        <w:ind w:firstLine="435"/>
        <w:rPr>
          <w:rFonts w:asciiTheme="minorEastAsia" w:hAnsiTheme="minorEastAsia" w:eastAsiaTheme="minorEastAsia"/>
          <w:color w:val="auto"/>
          <w:sz w:val="24"/>
          <w:highlight w:val="none"/>
        </w:rPr>
      </w:pPr>
    </w:p>
    <w:p w14:paraId="53CAB130">
      <w:pPr>
        <w:spacing w:line="360" w:lineRule="auto"/>
        <w:ind w:firstLine="435"/>
        <w:rPr>
          <w:rFonts w:asciiTheme="minorEastAsia" w:hAnsiTheme="minorEastAsia" w:eastAsiaTheme="minorEastAsia"/>
          <w:color w:val="auto"/>
          <w:sz w:val="24"/>
          <w:highlight w:val="none"/>
        </w:rPr>
      </w:pPr>
    </w:p>
    <w:p w14:paraId="2C5C8315">
      <w:pPr>
        <w:spacing w:line="360" w:lineRule="auto"/>
        <w:ind w:firstLine="435"/>
        <w:rPr>
          <w:rFonts w:asciiTheme="minorEastAsia" w:hAnsiTheme="minorEastAsia" w:eastAsiaTheme="minorEastAsia"/>
          <w:color w:val="auto"/>
          <w:sz w:val="24"/>
          <w:highlight w:val="none"/>
        </w:rPr>
      </w:pPr>
    </w:p>
    <w:p w14:paraId="7BA25597">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3814717">
      <w:pPr>
        <w:spacing w:line="360" w:lineRule="auto"/>
        <w:ind w:firstLine="435"/>
        <w:rPr>
          <w:rFonts w:hAnsi="宋体" w:eastAsia="宋体"/>
          <w:color w:val="auto"/>
          <w:sz w:val="24"/>
          <w:szCs w:val="28"/>
          <w:highlight w:val="none"/>
          <w:lang w:val="zh-CN"/>
        </w:rPr>
      </w:pPr>
    </w:p>
    <w:p w14:paraId="1B778D7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30DD1F94">
      <w:pPr>
        <w:spacing w:line="360" w:lineRule="auto"/>
        <w:rPr>
          <w:rFonts w:ascii="宋体" w:hAnsi="宋体" w:eastAsia="宋体"/>
          <w:color w:val="auto"/>
          <w:sz w:val="24"/>
          <w:szCs w:val="28"/>
          <w:highlight w:val="none"/>
        </w:rPr>
      </w:pPr>
    </w:p>
    <w:p w14:paraId="13DCB21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3A89123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23A7F90">
      <w:pPr>
        <w:spacing w:line="360" w:lineRule="auto"/>
        <w:ind w:firstLine="435"/>
        <w:rPr>
          <w:rFonts w:asciiTheme="minorEastAsia" w:hAnsiTheme="minorEastAsia" w:eastAsiaTheme="minorEastAsia"/>
          <w:color w:val="auto"/>
          <w:sz w:val="24"/>
          <w:highlight w:val="none"/>
        </w:rPr>
      </w:pPr>
    </w:p>
    <w:p w14:paraId="7A581D12">
      <w:pPr>
        <w:spacing w:line="360" w:lineRule="auto"/>
        <w:ind w:firstLine="435"/>
        <w:rPr>
          <w:rFonts w:asciiTheme="minorEastAsia" w:hAnsiTheme="minorEastAsia" w:eastAsiaTheme="minorEastAsia"/>
          <w:color w:val="auto"/>
          <w:sz w:val="24"/>
          <w:highlight w:val="none"/>
        </w:rPr>
      </w:pPr>
    </w:p>
    <w:p w14:paraId="2A1BBDB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27E05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555FA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E4221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64" w:name="_Toc31991"/>
      <w:bookmarkStart w:id="65" w:name="_Toc6796"/>
      <w:r>
        <w:rPr>
          <w:rFonts w:hint="eastAsia" w:asciiTheme="minorEastAsia" w:hAnsiTheme="minorEastAsia" w:eastAsiaTheme="minorEastAsia"/>
          <w:b/>
          <w:color w:val="auto"/>
          <w:sz w:val="24"/>
          <w:highlight w:val="none"/>
        </w:rPr>
        <w:t>五、投标分项报价表</w:t>
      </w:r>
      <w:bookmarkEnd w:id="64"/>
      <w:bookmarkEnd w:id="65"/>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6"/>
        <w:gridCol w:w="1316"/>
        <w:gridCol w:w="672"/>
        <w:gridCol w:w="672"/>
        <w:gridCol w:w="940"/>
        <w:gridCol w:w="940"/>
        <w:gridCol w:w="67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73FB9F55">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74F9288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75AB3D7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3FC9B9D4">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69A6F33E">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5E220F61">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20CC90F">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57B37F3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989484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3425285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701081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47A63804">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7761E195">
            <w:pPr>
              <w:rPr>
                <w:rFonts w:ascii="宋体" w:hAnsi="宋体" w:eastAsia="宋体"/>
                <w:color w:val="auto"/>
                <w:sz w:val="24"/>
                <w:highlight w:val="none"/>
              </w:rPr>
            </w:pPr>
          </w:p>
        </w:tc>
        <w:tc>
          <w:tcPr>
            <w:tcW w:w="772" w:type="pct"/>
            <w:noWrap w:val="0"/>
            <w:vAlign w:val="top"/>
          </w:tcPr>
          <w:p w14:paraId="0375DE1C">
            <w:pPr>
              <w:rPr>
                <w:rFonts w:ascii="宋体" w:hAnsi="宋体" w:eastAsia="宋体"/>
                <w:color w:val="auto"/>
                <w:sz w:val="24"/>
                <w:highlight w:val="none"/>
              </w:rPr>
            </w:pPr>
          </w:p>
        </w:tc>
        <w:tc>
          <w:tcPr>
            <w:tcW w:w="772" w:type="pct"/>
            <w:noWrap w:val="0"/>
            <w:vAlign w:val="top"/>
          </w:tcPr>
          <w:p w14:paraId="52FF1C92">
            <w:pPr>
              <w:rPr>
                <w:rFonts w:ascii="宋体" w:hAnsi="宋体" w:eastAsia="宋体"/>
                <w:color w:val="auto"/>
                <w:sz w:val="24"/>
                <w:highlight w:val="none"/>
              </w:rPr>
            </w:pPr>
          </w:p>
        </w:tc>
        <w:tc>
          <w:tcPr>
            <w:tcW w:w="394" w:type="pct"/>
            <w:noWrap w:val="0"/>
            <w:vAlign w:val="top"/>
          </w:tcPr>
          <w:p w14:paraId="7C01FFE9">
            <w:pPr>
              <w:rPr>
                <w:rFonts w:ascii="宋体" w:hAnsi="宋体" w:eastAsia="宋体"/>
                <w:color w:val="auto"/>
                <w:sz w:val="24"/>
                <w:highlight w:val="none"/>
              </w:rPr>
            </w:pPr>
          </w:p>
        </w:tc>
        <w:tc>
          <w:tcPr>
            <w:tcW w:w="394" w:type="pct"/>
            <w:noWrap w:val="0"/>
            <w:vAlign w:val="top"/>
          </w:tcPr>
          <w:p w14:paraId="4DE5AC10">
            <w:pPr>
              <w:rPr>
                <w:rFonts w:ascii="宋体" w:hAnsi="宋体" w:eastAsia="宋体"/>
                <w:color w:val="auto"/>
                <w:sz w:val="24"/>
                <w:highlight w:val="none"/>
              </w:rPr>
            </w:pPr>
          </w:p>
        </w:tc>
        <w:tc>
          <w:tcPr>
            <w:tcW w:w="551" w:type="pct"/>
            <w:noWrap w:val="0"/>
            <w:vAlign w:val="top"/>
          </w:tcPr>
          <w:p w14:paraId="21DA4597">
            <w:pPr>
              <w:rPr>
                <w:rFonts w:ascii="宋体" w:hAnsi="宋体" w:eastAsia="宋体"/>
                <w:color w:val="auto"/>
                <w:sz w:val="24"/>
                <w:highlight w:val="none"/>
              </w:rPr>
            </w:pPr>
          </w:p>
        </w:tc>
        <w:tc>
          <w:tcPr>
            <w:tcW w:w="551" w:type="pct"/>
            <w:noWrap w:val="0"/>
            <w:vAlign w:val="top"/>
          </w:tcPr>
          <w:p w14:paraId="2A9B41D8">
            <w:pPr>
              <w:rPr>
                <w:rFonts w:ascii="宋体" w:hAnsi="宋体" w:eastAsia="宋体"/>
                <w:color w:val="auto"/>
                <w:sz w:val="24"/>
                <w:highlight w:val="none"/>
              </w:rPr>
            </w:pPr>
          </w:p>
        </w:tc>
        <w:tc>
          <w:tcPr>
            <w:tcW w:w="393" w:type="pct"/>
            <w:noWrap w:val="0"/>
            <w:vAlign w:val="top"/>
          </w:tcPr>
          <w:p w14:paraId="2B68B0FE">
            <w:pPr>
              <w:rPr>
                <w:rFonts w:ascii="宋体" w:hAnsi="宋体" w:eastAsia="宋体"/>
                <w:color w:val="auto"/>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1C5F27B4">
            <w:pPr>
              <w:rPr>
                <w:rFonts w:ascii="宋体" w:hAnsi="宋体" w:eastAsia="宋体"/>
                <w:color w:val="auto"/>
                <w:sz w:val="24"/>
                <w:highlight w:val="none"/>
              </w:rPr>
            </w:pPr>
          </w:p>
        </w:tc>
        <w:tc>
          <w:tcPr>
            <w:tcW w:w="772" w:type="pct"/>
            <w:noWrap w:val="0"/>
            <w:vAlign w:val="top"/>
          </w:tcPr>
          <w:p w14:paraId="439F3115">
            <w:pPr>
              <w:rPr>
                <w:rFonts w:ascii="宋体" w:hAnsi="宋体" w:eastAsia="宋体"/>
                <w:color w:val="auto"/>
                <w:sz w:val="24"/>
                <w:highlight w:val="none"/>
              </w:rPr>
            </w:pPr>
          </w:p>
        </w:tc>
        <w:tc>
          <w:tcPr>
            <w:tcW w:w="772" w:type="pct"/>
            <w:noWrap w:val="0"/>
            <w:vAlign w:val="top"/>
          </w:tcPr>
          <w:p w14:paraId="0B5EF6A2">
            <w:pPr>
              <w:rPr>
                <w:rFonts w:ascii="宋体" w:hAnsi="宋体" w:eastAsia="宋体"/>
                <w:color w:val="auto"/>
                <w:sz w:val="24"/>
                <w:highlight w:val="none"/>
              </w:rPr>
            </w:pPr>
          </w:p>
        </w:tc>
        <w:tc>
          <w:tcPr>
            <w:tcW w:w="394" w:type="pct"/>
            <w:noWrap w:val="0"/>
            <w:vAlign w:val="top"/>
          </w:tcPr>
          <w:p w14:paraId="66BA4716">
            <w:pPr>
              <w:rPr>
                <w:rFonts w:ascii="宋体" w:hAnsi="宋体" w:eastAsia="宋体"/>
                <w:color w:val="auto"/>
                <w:sz w:val="24"/>
                <w:highlight w:val="none"/>
              </w:rPr>
            </w:pPr>
          </w:p>
        </w:tc>
        <w:tc>
          <w:tcPr>
            <w:tcW w:w="394" w:type="pct"/>
            <w:noWrap w:val="0"/>
            <w:vAlign w:val="top"/>
          </w:tcPr>
          <w:p w14:paraId="4981F119">
            <w:pPr>
              <w:rPr>
                <w:rFonts w:ascii="宋体" w:hAnsi="宋体" w:eastAsia="宋体"/>
                <w:color w:val="auto"/>
                <w:sz w:val="24"/>
                <w:highlight w:val="none"/>
              </w:rPr>
            </w:pPr>
          </w:p>
        </w:tc>
        <w:tc>
          <w:tcPr>
            <w:tcW w:w="551" w:type="pct"/>
            <w:noWrap w:val="0"/>
            <w:vAlign w:val="top"/>
          </w:tcPr>
          <w:p w14:paraId="6A08DEBB">
            <w:pPr>
              <w:rPr>
                <w:rFonts w:ascii="宋体" w:hAnsi="宋体" w:eastAsia="宋体"/>
                <w:color w:val="auto"/>
                <w:sz w:val="24"/>
                <w:highlight w:val="none"/>
              </w:rPr>
            </w:pPr>
          </w:p>
        </w:tc>
        <w:tc>
          <w:tcPr>
            <w:tcW w:w="551" w:type="pct"/>
            <w:noWrap w:val="0"/>
            <w:vAlign w:val="top"/>
          </w:tcPr>
          <w:p w14:paraId="21EA39CE">
            <w:pPr>
              <w:rPr>
                <w:rFonts w:ascii="宋体" w:hAnsi="宋体" w:eastAsia="宋体"/>
                <w:color w:val="auto"/>
                <w:sz w:val="24"/>
                <w:highlight w:val="none"/>
              </w:rPr>
            </w:pPr>
          </w:p>
        </w:tc>
        <w:tc>
          <w:tcPr>
            <w:tcW w:w="393" w:type="pct"/>
            <w:noWrap w:val="0"/>
            <w:vAlign w:val="top"/>
          </w:tcPr>
          <w:p w14:paraId="2599FD7C">
            <w:pPr>
              <w:rPr>
                <w:rFonts w:ascii="宋体" w:hAnsi="宋体" w:eastAsia="宋体"/>
                <w:color w:val="auto"/>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3F508895">
            <w:pPr>
              <w:rPr>
                <w:rFonts w:ascii="宋体" w:hAnsi="宋体" w:eastAsia="宋体"/>
                <w:color w:val="auto"/>
                <w:sz w:val="24"/>
                <w:highlight w:val="none"/>
              </w:rPr>
            </w:pPr>
          </w:p>
        </w:tc>
        <w:tc>
          <w:tcPr>
            <w:tcW w:w="772" w:type="pct"/>
            <w:noWrap w:val="0"/>
            <w:vAlign w:val="top"/>
          </w:tcPr>
          <w:p w14:paraId="20B310BD">
            <w:pPr>
              <w:rPr>
                <w:rFonts w:ascii="宋体" w:hAnsi="宋体" w:eastAsia="宋体"/>
                <w:color w:val="auto"/>
                <w:sz w:val="24"/>
                <w:highlight w:val="none"/>
              </w:rPr>
            </w:pPr>
          </w:p>
        </w:tc>
        <w:tc>
          <w:tcPr>
            <w:tcW w:w="772" w:type="pct"/>
            <w:noWrap w:val="0"/>
            <w:vAlign w:val="top"/>
          </w:tcPr>
          <w:p w14:paraId="09A7230D">
            <w:pPr>
              <w:rPr>
                <w:rFonts w:ascii="宋体" w:hAnsi="宋体" w:eastAsia="宋体"/>
                <w:color w:val="auto"/>
                <w:sz w:val="24"/>
                <w:highlight w:val="none"/>
              </w:rPr>
            </w:pPr>
          </w:p>
        </w:tc>
        <w:tc>
          <w:tcPr>
            <w:tcW w:w="394" w:type="pct"/>
            <w:noWrap w:val="0"/>
            <w:vAlign w:val="top"/>
          </w:tcPr>
          <w:p w14:paraId="275F91C4">
            <w:pPr>
              <w:rPr>
                <w:rFonts w:ascii="宋体" w:hAnsi="宋体" w:eastAsia="宋体"/>
                <w:color w:val="auto"/>
                <w:sz w:val="24"/>
                <w:highlight w:val="none"/>
              </w:rPr>
            </w:pPr>
          </w:p>
        </w:tc>
        <w:tc>
          <w:tcPr>
            <w:tcW w:w="394" w:type="pct"/>
            <w:noWrap w:val="0"/>
            <w:vAlign w:val="top"/>
          </w:tcPr>
          <w:p w14:paraId="6E9B5D37">
            <w:pPr>
              <w:rPr>
                <w:rFonts w:ascii="宋体" w:hAnsi="宋体" w:eastAsia="宋体"/>
                <w:color w:val="auto"/>
                <w:sz w:val="24"/>
                <w:highlight w:val="none"/>
              </w:rPr>
            </w:pPr>
          </w:p>
        </w:tc>
        <w:tc>
          <w:tcPr>
            <w:tcW w:w="551" w:type="pct"/>
            <w:noWrap w:val="0"/>
            <w:vAlign w:val="top"/>
          </w:tcPr>
          <w:p w14:paraId="7D351FDC">
            <w:pPr>
              <w:rPr>
                <w:rFonts w:ascii="宋体" w:hAnsi="宋体" w:eastAsia="宋体"/>
                <w:color w:val="auto"/>
                <w:sz w:val="24"/>
                <w:highlight w:val="none"/>
              </w:rPr>
            </w:pPr>
          </w:p>
        </w:tc>
        <w:tc>
          <w:tcPr>
            <w:tcW w:w="551" w:type="pct"/>
            <w:noWrap w:val="0"/>
            <w:vAlign w:val="top"/>
          </w:tcPr>
          <w:p w14:paraId="68D6AC0F">
            <w:pPr>
              <w:rPr>
                <w:rFonts w:ascii="宋体" w:hAnsi="宋体" w:eastAsia="宋体"/>
                <w:color w:val="auto"/>
                <w:sz w:val="24"/>
                <w:highlight w:val="none"/>
              </w:rPr>
            </w:pPr>
          </w:p>
        </w:tc>
        <w:tc>
          <w:tcPr>
            <w:tcW w:w="393" w:type="pct"/>
            <w:noWrap w:val="0"/>
            <w:vAlign w:val="top"/>
          </w:tcPr>
          <w:p w14:paraId="2EB92AF3">
            <w:pPr>
              <w:rPr>
                <w:rFonts w:ascii="宋体" w:hAnsi="宋体" w:eastAsia="宋体"/>
                <w:color w:val="auto"/>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52FDDD29">
            <w:pPr>
              <w:rPr>
                <w:rFonts w:ascii="宋体" w:hAnsi="宋体" w:eastAsia="宋体"/>
                <w:color w:val="auto"/>
                <w:sz w:val="24"/>
                <w:highlight w:val="none"/>
              </w:rPr>
            </w:pPr>
          </w:p>
        </w:tc>
        <w:tc>
          <w:tcPr>
            <w:tcW w:w="772" w:type="pct"/>
            <w:noWrap w:val="0"/>
            <w:vAlign w:val="top"/>
          </w:tcPr>
          <w:p w14:paraId="0F448206">
            <w:pPr>
              <w:rPr>
                <w:rFonts w:ascii="宋体" w:hAnsi="宋体" w:eastAsia="宋体"/>
                <w:color w:val="auto"/>
                <w:sz w:val="24"/>
                <w:highlight w:val="none"/>
              </w:rPr>
            </w:pPr>
          </w:p>
        </w:tc>
        <w:tc>
          <w:tcPr>
            <w:tcW w:w="772" w:type="pct"/>
            <w:noWrap w:val="0"/>
            <w:vAlign w:val="top"/>
          </w:tcPr>
          <w:p w14:paraId="6F4523F1">
            <w:pPr>
              <w:rPr>
                <w:rFonts w:ascii="宋体" w:hAnsi="宋体" w:eastAsia="宋体"/>
                <w:color w:val="auto"/>
                <w:sz w:val="24"/>
                <w:highlight w:val="none"/>
              </w:rPr>
            </w:pPr>
          </w:p>
        </w:tc>
        <w:tc>
          <w:tcPr>
            <w:tcW w:w="394" w:type="pct"/>
            <w:noWrap w:val="0"/>
            <w:vAlign w:val="top"/>
          </w:tcPr>
          <w:p w14:paraId="5713503A">
            <w:pPr>
              <w:rPr>
                <w:rFonts w:ascii="宋体" w:hAnsi="宋体" w:eastAsia="宋体"/>
                <w:color w:val="auto"/>
                <w:sz w:val="24"/>
                <w:highlight w:val="none"/>
              </w:rPr>
            </w:pPr>
          </w:p>
        </w:tc>
        <w:tc>
          <w:tcPr>
            <w:tcW w:w="394" w:type="pct"/>
            <w:noWrap w:val="0"/>
            <w:vAlign w:val="top"/>
          </w:tcPr>
          <w:p w14:paraId="44B66D33">
            <w:pPr>
              <w:rPr>
                <w:rFonts w:ascii="宋体" w:hAnsi="宋体" w:eastAsia="宋体"/>
                <w:color w:val="auto"/>
                <w:sz w:val="24"/>
                <w:highlight w:val="none"/>
              </w:rPr>
            </w:pPr>
          </w:p>
        </w:tc>
        <w:tc>
          <w:tcPr>
            <w:tcW w:w="551" w:type="pct"/>
            <w:noWrap w:val="0"/>
            <w:vAlign w:val="top"/>
          </w:tcPr>
          <w:p w14:paraId="4D3028A2">
            <w:pPr>
              <w:rPr>
                <w:rFonts w:ascii="宋体" w:hAnsi="宋体" w:eastAsia="宋体"/>
                <w:color w:val="auto"/>
                <w:sz w:val="24"/>
                <w:highlight w:val="none"/>
              </w:rPr>
            </w:pPr>
          </w:p>
        </w:tc>
        <w:tc>
          <w:tcPr>
            <w:tcW w:w="551" w:type="pct"/>
            <w:noWrap w:val="0"/>
            <w:vAlign w:val="top"/>
          </w:tcPr>
          <w:p w14:paraId="1790092E">
            <w:pPr>
              <w:rPr>
                <w:rFonts w:ascii="宋体" w:hAnsi="宋体" w:eastAsia="宋体"/>
                <w:color w:val="auto"/>
                <w:sz w:val="24"/>
                <w:highlight w:val="none"/>
              </w:rPr>
            </w:pPr>
          </w:p>
        </w:tc>
        <w:tc>
          <w:tcPr>
            <w:tcW w:w="393" w:type="pct"/>
            <w:noWrap w:val="0"/>
            <w:vAlign w:val="top"/>
          </w:tcPr>
          <w:p w14:paraId="578F6552">
            <w:pPr>
              <w:rPr>
                <w:rFonts w:ascii="宋体" w:hAnsi="宋体" w:eastAsia="宋体"/>
                <w:color w:val="auto"/>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5" w:type="pct"/>
            <w:gridSpan w:val="2"/>
            <w:noWrap w:val="0"/>
            <w:vAlign w:val="top"/>
          </w:tcPr>
          <w:p w14:paraId="559957D4">
            <w:pPr>
              <w:rPr>
                <w:rFonts w:ascii="宋体" w:hAnsi="宋体" w:eastAsia="宋体"/>
                <w:color w:val="auto"/>
                <w:sz w:val="24"/>
                <w:highlight w:val="none"/>
              </w:rPr>
            </w:pPr>
          </w:p>
        </w:tc>
      </w:tr>
    </w:tbl>
    <w:p w14:paraId="6AD76037">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41DF4DBB">
      <w:pPr>
        <w:spacing w:line="360" w:lineRule="auto"/>
        <w:rPr>
          <w:rFonts w:hint="eastAsia" w:ascii="宋体" w:hAnsi="宋体" w:eastAsia="宋体"/>
          <w:b/>
          <w:bCs/>
          <w:color w:val="auto"/>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0FC5F10B">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6F8C7329">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6856CEA">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66" w:name="_Toc11940"/>
      <w:bookmarkStart w:id="67" w:name="_Toc20329"/>
      <w:r>
        <w:rPr>
          <w:rFonts w:hint="eastAsia" w:asciiTheme="minorEastAsia" w:hAnsiTheme="minorEastAsia" w:eastAsiaTheme="minorEastAsia"/>
          <w:b/>
          <w:color w:val="auto"/>
          <w:sz w:val="24"/>
          <w:highlight w:val="none"/>
        </w:rPr>
        <w:t>六、投标响应表</w:t>
      </w:r>
      <w:bookmarkEnd w:id="66"/>
      <w:bookmarkEnd w:id="67"/>
    </w:p>
    <w:p w14:paraId="49D3ABA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437"/>
        <w:gridCol w:w="2977"/>
        <w:gridCol w:w="2575"/>
        <w:gridCol w:w="810"/>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DE5CA5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843" w:type="pct"/>
            <w:vAlign w:val="center"/>
          </w:tcPr>
          <w:p w14:paraId="6E5D9937">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746" w:type="pct"/>
            <w:vAlign w:val="center"/>
          </w:tcPr>
          <w:p w14:paraId="5D44F6BE">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1DE3AE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1A0A2A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843" w:type="pct"/>
            <w:vAlign w:val="center"/>
          </w:tcPr>
          <w:p w14:paraId="7C1AF61C">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rPr>
              <w:t>付款方式</w:t>
            </w:r>
          </w:p>
        </w:tc>
        <w:tc>
          <w:tcPr>
            <w:tcW w:w="1746" w:type="pct"/>
            <w:vAlign w:val="center"/>
          </w:tcPr>
          <w:p w14:paraId="09F9664D">
            <w:pPr>
              <w:pStyle w:val="31"/>
              <w:widowControl w:val="0"/>
              <w:spacing w:before="0" w:beforeAutospacing="0" w:after="0" w:afterAutospacing="0" w:line="360" w:lineRule="auto"/>
              <w:jc w:val="left"/>
              <w:rPr>
                <w:rFonts w:asciiTheme="minorEastAsia" w:hAnsiTheme="minorEastAsia" w:eastAsiaTheme="minorEastAsia"/>
                <w:color w:val="auto"/>
                <w:sz w:val="24"/>
                <w:highlight w:val="none"/>
              </w:rPr>
            </w:pPr>
            <w:r>
              <w:rPr>
                <w:rFonts w:hint="eastAsia" w:ascii="宋体" w:hAnsi="宋体" w:eastAsia="宋体"/>
                <w:b w:val="0"/>
                <w:bCs/>
                <w:color w:val="auto"/>
                <w:sz w:val="24"/>
                <w:highlight w:val="none"/>
                <w:u w:val="none"/>
              </w:rPr>
              <w:t>经验收合格后6个月后依照医院付款流程支付。</w:t>
            </w:r>
          </w:p>
        </w:tc>
        <w:tc>
          <w:tcPr>
            <w:tcW w:w="1510" w:type="pct"/>
            <w:vAlign w:val="center"/>
          </w:tcPr>
          <w:p w14:paraId="6ED78673">
            <w:pPr>
              <w:jc w:val="center"/>
              <w:rPr>
                <w:rFonts w:asciiTheme="minorEastAsia" w:hAnsiTheme="minorEastAsia" w:eastAsiaTheme="minorEastAsia"/>
                <w:color w:val="auto"/>
                <w:sz w:val="24"/>
                <w:highlight w:val="none"/>
              </w:rPr>
            </w:pPr>
          </w:p>
        </w:tc>
        <w:tc>
          <w:tcPr>
            <w:tcW w:w="475" w:type="pct"/>
            <w:vAlign w:val="center"/>
          </w:tcPr>
          <w:p w14:paraId="4090BFB7">
            <w:pPr>
              <w:jc w:val="center"/>
              <w:rPr>
                <w:rFonts w:asciiTheme="minorEastAsia" w:hAnsiTheme="minorEastAsia" w:eastAsiaTheme="minorEastAsia"/>
                <w:color w:val="auto"/>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843" w:type="pct"/>
            <w:vAlign w:val="center"/>
          </w:tcPr>
          <w:p w14:paraId="2380CFC8">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rPr>
              <w:t>供货及安装地点</w:t>
            </w:r>
          </w:p>
        </w:tc>
        <w:tc>
          <w:tcPr>
            <w:tcW w:w="1746" w:type="pct"/>
            <w:vAlign w:val="center"/>
          </w:tcPr>
          <w:p w14:paraId="465346DC">
            <w:pPr>
              <w:pStyle w:val="31"/>
              <w:widowControl w:val="0"/>
              <w:spacing w:before="0" w:beforeAutospacing="0" w:after="0" w:afterAutospacing="0" w:line="360" w:lineRule="auto"/>
              <w:jc w:val="left"/>
              <w:rPr>
                <w:rFonts w:asciiTheme="minorEastAsia" w:hAnsiTheme="minorEastAsia" w:eastAsiaTheme="minorEastAsia"/>
                <w:color w:val="auto"/>
                <w:sz w:val="24"/>
                <w:highlight w:val="none"/>
              </w:rPr>
            </w:pPr>
            <w:r>
              <w:rPr>
                <w:rFonts w:hint="eastAsia" w:ascii="宋体" w:hAnsi="宋体" w:eastAsia="宋体"/>
                <w:b w:val="0"/>
                <w:bCs/>
                <w:color w:val="auto"/>
                <w:sz w:val="24"/>
                <w:highlight w:val="none"/>
                <w:u w:val="none"/>
                <w:lang w:val="en-US" w:eastAsia="zh-CN"/>
              </w:rPr>
              <w:t>宿州市立医院，采购人指定地点</w:t>
            </w:r>
            <w:r>
              <w:rPr>
                <w:rFonts w:hint="eastAsia" w:ascii="宋体" w:hAnsi="宋体" w:eastAsia="宋体"/>
                <w:b w:val="0"/>
                <w:bCs/>
                <w:color w:val="auto"/>
                <w:sz w:val="24"/>
                <w:highlight w:val="none"/>
                <w:u w:val="none"/>
              </w:rPr>
              <w:t xml:space="preserve"> </w:t>
            </w:r>
          </w:p>
        </w:tc>
        <w:tc>
          <w:tcPr>
            <w:tcW w:w="1510" w:type="pct"/>
            <w:vAlign w:val="center"/>
          </w:tcPr>
          <w:p w14:paraId="3451F342">
            <w:pPr>
              <w:jc w:val="center"/>
              <w:rPr>
                <w:rFonts w:asciiTheme="minorEastAsia" w:hAnsiTheme="minorEastAsia" w:eastAsiaTheme="minorEastAsia"/>
                <w:color w:val="auto"/>
                <w:sz w:val="24"/>
                <w:highlight w:val="none"/>
              </w:rPr>
            </w:pPr>
          </w:p>
        </w:tc>
        <w:tc>
          <w:tcPr>
            <w:tcW w:w="475" w:type="pct"/>
            <w:vAlign w:val="center"/>
          </w:tcPr>
          <w:p w14:paraId="4E06C111">
            <w:pPr>
              <w:jc w:val="center"/>
              <w:rPr>
                <w:rFonts w:asciiTheme="minorEastAsia" w:hAnsiTheme="minorEastAsia" w:eastAsiaTheme="minorEastAsia"/>
                <w:color w:val="auto"/>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843" w:type="pct"/>
            <w:vAlign w:val="center"/>
          </w:tcPr>
          <w:p w14:paraId="0BE4F9CA">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rPr>
              <w:t>供货及安装期限</w:t>
            </w:r>
          </w:p>
        </w:tc>
        <w:tc>
          <w:tcPr>
            <w:tcW w:w="1746" w:type="pct"/>
            <w:vAlign w:val="center"/>
          </w:tcPr>
          <w:p w14:paraId="49C10EBC">
            <w:pPr>
              <w:pStyle w:val="31"/>
              <w:widowControl w:val="0"/>
              <w:spacing w:before="0" w:beforeAutospacing="0" w:after="0" w:afterAutospacing="0" w:line="360" w:lineRule="auto"/>
              <w:jc w:val="left"/>
              <w:rPr>
                <w:rFonts w:hint="eastAsia" w:ascii="宋体" w:hAnsi="宋体" w:eastAsia="宋体"/>
                <w:b w:val="0"/>
                <w:bCs/>
                <w:color w:val="auto"/>
                <w:sz w:val="24"/>
                <w:szCs w:val="18"/>
                <w:highlight w:val="none"/>
                <w:u w:val="none"/>
                <w:lang w:val="en-US" w:eastAsia="zh-CN"/>
              </w:rPr>
            </w:pPr>
            <w:r>
              <w:rPr>
                <w:rFonts w:hint="eastAsia" w:ascii="宋体" w:hAnsi="宋体" w:eastAsia="宋体"/>
                <w:b w:val="0"/>
                <w:bCs/>
                <w:color w:val="auto"/>
                <w:sz w:val="24"/>
                <w:szCs w:val="18"/>
                <w:highlight w:val="none"/>
                <w:u w:val="none"/>
              </w:rPr>
              <w:t>合同签订后30日内</w:t>
            </w:r>
            <w:r>
              <w:rPr>
                <w:rFonts w:hint="eastAsia" w:ascii="宋体" w:hAnsi="宋体" w:eastAsia="宋体"/>
                <w:b w:val="0"/>
                <w:bCs/>
                <w:color w:val="auto"/>
                <w:sz w:val="24"/>
                <w:szCs w:val="18"/>
                <w:highlight w:val="none"/>
                <w:u w:val="none"/>
                <w:lang w:val="en-US" w:eastAsia="zh-CN"/>
              </w:rPr>
              <w:t>完成供货、安装及调试</w:t>
            </w:r>
            <w:r>
              <w:rPr>
                <w:rFonts w:hint="eastAsia" w:ascii="宋体" w:hAnsi="宋体" w:eastAsia="宋体"/>
                <w:b w:val="0"/>
                <w:bCs/>
                <w:color w:val="auto"/>
                <w:sz w:val="24"/>
                <w:szCs w:val="18"/>
                <w:highlight w:val="none"/>
                <w:u w:val="none"/>
              </w:rPr>
              <w:t>。</w:t>
            </w:r>
            <w:r>
              <w:rPr>
                <w:rFonts w:hint="eastAsia" w:ascii="宋体" w:hAnsi="宋体" w:eastAsia="宋体"/>
                <w:b w:val="0"/>
                <w:bCs/>
                <w:color w:val="auto"/>
                <w:sz w:val="24"/>
                <w:szCs w:val="18"/>
                <w:highlight w:val="none"/>
                <w:u w:val="none"/>
                <w:lang w:val="en-US" w:eastAsia="zh-CN"/>
              </w:rPr>
              <w:t xml:space="preserve">     </w:t>
            </w:r>
          </w:p>
          <w:p w14:paraId="76360C49">
            <w:pPr>
              <w:pStyle w:val="31"/>
              <w:widowControl w:val="0"/>
              <w:spacing w:before="0" w:beforeAutospacing="0" w:after="0" w:afterAutospacing="0" w:line="360" w:lineRule="auto"/>
              <w:jc w:val="left"/>
              <w:rPr>
                <w:rFonts w:asciiTheme="minorEastAsia" w:hAnsiTheme="minorEastAsia" w:eastAsiaTheme="minorEastAsia"/>
                <w:color w:val="auto"/>
                <w:sz w:val="24"/>
                <w:highlight w:val="none"/>
              </w:rPr>
            </w:pPr>
            <w:r>
              <w:rPr>
                <w:rFonts w:hint="eastAsia" w:ascii="宋体" w:hAnsi="宋体" w:eastAsia="宋体"/>
                <w:b w:val="0"/>
                <w:bCs/>
                <w:color w:val="auto"/>
                <w:sz w:val="24"/>
                <w:highlight w:val="none"/>
                <w:u w:val="none"/>
              </w:rPr>
              <w:t>保修生效期为：设备安装后验收合格后</w:t>
            </w:r>
          </w:p>
        </w:tc>
        <w:tc>
          <w:tcPr>
            <w:tcW w:w="1510" w:type="pct"/>
            <w:vAlign w:val="center"/>
          </w:tcPr>
          <w:p w14:paraId="14884059">
            <w:pPr>
              <w:pStyle w:val="39"/>
              <w:jc w:val="center"/>
              <w:rPr>
                <w:rFonts w:asciiTheme="minorEastAsia" w:hAnsiTheme="minorEastAsia" w:eastAsiaTheme="minorEastAsia"/>
                <w:color w:val="auto"/>
                <w:highlight w:val="none"/>
              </w:rPr>
            </w:pPr>
          </w:p>
        </w:tc>
        <w:tc>
          <w:tcPr>
            <w:tcW w:w="475" w:type="pct"/>
            <w:vAlign w:val="center"/>
          </w:tcPr>
          <w:p w14:paraId="637032A7">
            <w:pPr>
              <w:jc w:val="center"/>
              <w:rPr>
                <w:rFonts w:asciiTheme="minorEastAsia" w:hAnsiTheme="minorEastAsia" w:eastAsiaTheme="minorEastAsia"/>
                <w:color w:val="auto"/>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437" w:type="dxa"/>
            <w:vAlign w:val="center"/>
          </w:tcPr>
          <w:p w14:paraId="63516FEB">
            <w:pPr>
              <w:pStyle w:val="31"/>
              <w:widowControl w:val="0"/>
              <w:spacing w:before="0" w:beforeAutospacing="0" w:after="0" w:afterAutospacing="0" w:line="360" w:lineRule="auto"/>
              <w:rPr>
                <w:rFonts w:ascii="宋体" w:hAnsi="宋体" w:eastAsia="宋体"/>
                <w:color w:val="auto"/>
                <w:sz w:val="24"/>
                <w:highlight w:val="none"/>
                <w:u w:val="none"/>
              </w:rPr>
            </w:pPr>
            <w:r>
              <w:rPr>
                <w:rFonts w:hint="eastAsia" w:ascii="宋体" w:hAnsi="宋体" w:eastAsia="宋体"/>
                <w:b w:val="0"/>
                <w:color w:val="auto"/>
                <w:sz w:val="24"/>
                <w:highlight w:val="none"/>
                <w:u w:val="none"/>
              </w:rPr>
              <w:t>免费质保期</w:t>
            </w:r>
          </w:p>
        </w:tc>
        <w:tc>
          <w:tcPr>
            <w:tcW w:w="2977" w:type="dxa"/>
            <w:vAlign w:val="center"/>
          </w:tcPr>
          <w:p w14:paraId="2FE1171C">
            <w:pPr>
              <w:pStyle w:val="31"/>
              <w:widowControl w:val="0"/>
              <w:spacing w:before="0" w:beforeAutospacing="0" w:after="0" w:afterAutospacing="0" w:line="360" w:lineRule="auto"/>
              <w:jc w:val="both"/>
              <w:rPr>
                <w:rFonts w:asciiTheme="minorEastAsia" w:hAnsiTheme="minorEastAsia" w:eastAsiaTheme="minorEastAsia"/>
                <w:color w:val="auto"/>
                <w:sz w:val="24"/>
                <w:highlight w:val="none"/>
                <w:u w:val="none"/>
              </w:rPr>
            </w:pPr>
            <w:r>
              <w:rPr>
                <w:rFonts w:hint="eastAsia" w:ascii="宋体" w:hAnsi="宋体" w:eastAsia="宋体"/>
                <w:b w:val="0"/>
                <w:color w:val="auto"/>
                <w:sz w:val="24"/>
                <w:highlight w:val="none"/>
                <w:u w:val="none"/>
              </w:rPr>
              <w:t xml:space="preserve"> 整机质保自验收合格之日起不少于3年。 </w:t>
            </w:r>
          </w:p>
        </w:tc>
        <w:tc>
          <w:tcPr>
            <w:tcW w:w="1510" w:type="pct"/>
            <w:vAlign w:val="center"/>
          </w:tcPr>
          <w:p w14:paraId="0E421BCA">
            <w:pPr>
              <w:jc w:val="center"/>
              <w:rPr>
                <w:rFonts w:asciiTheme="minorEastAsia" w:hAnsiTheme="minorEastAsia" w:eastAsiaTheme="minorEastAsia"/>
                <w:color w:val="auto"/>
                <w:sz w:val="24"/>
                <w:highlight w:val="none"/>
              </w:rPr>
            </w:pPr>
          </w:p>
        </w:tc>
        <w:tc>
          <w:tcPr>
            <w:tcW w:w="475" w:type="pct"/>
            <w:vAlign w:val="center"/>
          </w:tcPr>
          <w:p w14:paraId="369EF4EE">
            <w:pPr>
              <w:jc w:val="center"/>
              <w:rPr>
                <w:rFonts w:asciiTheme="minorEastAsia" w:hAnsiTheme="minorEastAsia" w:eastAsiaTheme="minorEastAsia"/>
                <w:color w:val="auto"/>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843" w:type="pct"/>
            <w:vAlign w:val="center"/>
          </w:tcPr>
          <w:p w14:paraId="71929B76">
            <w:pPr>
              <w:jc w:val="center"/>
              <w:rPr>
                <w:rFonts w:ascii="宋体" w:hAnsi="宋体" w:eastAsia="宋体"/>
                <w:color w:val="auto"/>
                <w:sz w:val="24"/>
                <w:highlight w:val="none"/>
              </w:rPr>
            </w:pPr>
          </w:p>
        </w:tc>
        <w:tc>
          <w:tcPr>
            <w:tcW w:w="1746" w:type="pct"/>
            <w:vAlign w:val="center"/>
          </w:tcPr>
          <w:p w14:paraId="05607E67">
            <w:pPr>
              <w:jc w:val="center"/>
              <w:rPr>
                <w:rFonts w:asciiTheme="minorEastAsia" w:hAnsiTheme="minorEastAsia" w:eastAsiaTheme="minorEastAsia"/>
                <w:color w:val="auto"/>
                <w:sz w:val="24"/>
                <w:highlight w:val="none"/>
              </w:rPr>
            </w:pPr>
          </w:p>
        </w:tc>
        <w:tc>
          <w:tcPr>
            <w:tcW w:w="1510" w:type="pct"/>
            <w:vAlign w:val="center"/>
          </w:tcPr>
          <w:p w14:paraId="33130A6B">
            <w:pPr>
              <w:jc w:val="center"/>
              <w:rPr>
                <w:rFonts w:asciiTheme="minorEastAsia" w:hAnsiTheme="minorEastAsia" w:eastAsiaTheme="minorEastAsia"/>
                <w:color w:val="auto"/>
                <w:sz w:val="24"/>
                <w:highlight w:val="none"/>
              </w:rPr>
            </w:pPr>
          </w:p>
        </w:tc>
        <w:tc>
          <w:tcPr>
            <w:tcW w:w="475" w:type="pct"/>
            <w:vAlign w:val="center"/>
          </w:tcPr>
          <w:p w14:paraId="22AC22C6">
            <w:pPr>
              <w:jc w:val="center"/>
              <w:rPr>
                <w:rFonts w:asciiTheme="minorEastAsia" w:hAnsiTheme="minorEastAsia" w:eastAsiaTheme="minorEastAsia"/>
                <w:color w:val="auto"/>
                <w:sz w:val="24"/>
                <w:highlight w:val="none"/>
              </w:rPr>
            </w:pPr>
          </w:p>
        </w:tc>
      </w:tr>
    </w:tbl>
    <w:p w14:paraId="37389C14">
      <w:pPr>
        <w:rPr>
          <w:rFonts w:hint="eastAsia" w:asciiTheme="minorEastAsia" w:hAnsiTheme="minorEastAsia" w:eastAsiaTheme="minorEastAsia"/>
          <w:b/>
          <w:color w:val="auto"/>
          <w:sz w:val="24"/>
          <w:highlight w:val="none"/>
        </w:rPr>
      </w:pPr>
    </w:p>
    <w:p w14:paraId="0811107B">
      <w:pPr>
        <w:keepNext w:val="0"/>
        <w:keepLines w:val="0"/>
        <w:pageBreakBefore w:val="0"/>
        <w:widowControl w:val="0"/>
        <w:kinsoku/>
        <w:wordWrap w:val="0"/>
        <w:overflowPunct/>
        <w:bidi w:val="0"/>
        <w:spacing w:line="360" w:lineRule="auto"/>
        <w:rPr>
          <w:rFonts w:hint="default" w:ascii="Times New Roman" w:hAnsi="Times New Roman" w:eastAsia="仿宋" w:cs="Times New Roman"/>
          <w:color w:val="auto"/>
          <w:highlight w:val="none"/>
        </w:rPr>
      </w:pPr>
      <w:r>
        <w:rPr>
          <w:rFonts w:hint="eastAsia" w:ascii="Times New Roman" w:hAnsi="Times New Roman" w:eastAsia="仿宋" w:cs="Times New Roman"/>
          <w:b/>
          <w:color w:val="auto"/>
          <w:highlight w:val="none"/>
          <w:lang w:val="en-US" w:eastAsia="zh-CN"/>
        </w:rPr>
        <w:t>偏离说明：</w:t>
      </w:r>
      <w:r>
        <w:rPr>
          <w:rFonts w:hint="default" w:ascii="Times New Roman" w:hAnsi="Times New Roman" w:eastAsia="仿宋" w:cs="Times New Roman"/>
          <w:b/>
          <w:color w:val="auto"/>
          <w:highlight w:val="none"/>
        </w:rPr>
        <w:t>“符合”指与招标文件要求一致</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“正偏离”指优于招标文件要求；“负偏离”指低于招标文件要求</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供应商根据项目实际填写，自行调整。</w:t>
      </w:r>
    </w:p>
    <w:p w14:paraId="5A247145">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FC26D16">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2"/>
        <w:tblW w:w="56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56"/>
        <w:gridCol w:w="5153"/>
        <w:gridCol w:w="1577"/>
        <w:gridCol w:w="880"/>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94" w:type="pct"/>
            <w:vAlign w:val="center"/>
          </w:tcPr>
          <w:p w14:paraId="00AF40FB">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652" w:type="pct"/>
            <w:vAlign w:val="center"/>
          </w:tcPr>
          <w:p w14:paraId="2D699A9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676" w:type="pct"/>
            <w:vAlign w:val="center"/>
          </w:tcPr>
          <w:p w14:paraId="2EA6266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819" w:type="pct"/>
            <w:vAlign w:val="center"/>
          </w:tcPr>
          <w:p w14:paraId="2D27B6D9">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457" w:type="pct"/>
            <w:vAlign w:val="center"/>
          </w:tcPr>
          <w:p w14:paraId="776F5A4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4" w:type="pct"/>
            <w:vAlign w:val="center"/>
          </w:tcPr>
          <w:p w14:paraId="755C58F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652" w:type="pct"/>
            <w:vAlign w:val="center"/>
          </w:tcPr>
          <w:p w14:paraId="03C26E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8"/>
                <w:szCs w:val="36"/>
                <w:highlight w:val="none"/>
                <w:lang w:val="en-US" w:eastAsia="zh-CN"/>
              </w:rPr>
              <w:t>★</w:t>
            </w:r>
            <w:r>
              <w:rPr>
                <w:rFonts w:hint="eastAsia" w:ascii="宋体" w:hAnsi="宋体" w:eastAsia="宋体" w:cs="宋体"/>
                <w:color w:val="auto"/>
                <w:sz w:val="24"/>
                <w:szCs w:val="24"/>
                <w:highlight w:val="none"/>
                <w:lang w:val="en-US" w:eastAsia="zh-CN"/>
              </w:rPr>
              <w:t>一、整体要求：</w:t>
            </w:r>
          </w:p>
          <w:p w14:paraId="4786DC41">
            <w:pPr>
              <w:jc w:val="center"/>
              <w:rPr>
                <w:rFonts w:asciiTheme="minorEastAsia" w:hAnsiTheme="minorEastAsia" w:eastAsiaTheme="minorEastAsia"/>
                <w:color w:val="auto"/>
                <w:sz w:val="24"/>
                <w:highlight w:val="none"/>
              </w:rPr>
            </w:pPr>
          </w:p>
        </w:tc>
        <w:tc>
          <w:tcPr>
            <w:tcW w:w="2676" w:type="pct"/>
            <w:vAlign w:val="center"/>
          </w:tcPr>
          <w:p w14:paraId="5702C9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一级（Ⅰ级）标准多导睡眠监测（PSG）</w:t>
            </w:r>
            <w:r>
              <w:rPr>
                <w:rFonts w:hint="eastAsia"/>
                <w:color w:val="auto"/>
                <w:sz w:val="24"/>
                <w:szCs w:val="24"/>
                <w:highlight w:val="none"/>
              </w:rPr>
              <w:t>。</w:t>
            </w:r>
            <w:r>
              <w:rPr>
                <w:rFonts w:hint="eastAsia" w:ascii="宋体" w:hAnsi="宋体" w:eastAsia="宋体" w:cs="宋体"/>
                <w:color w:val="auto"/>
                <w:sz w:val="24"/>
                <w:szCs w:val="24"/>
                <w:highlight w:val="none"/>
              </w:rPr>
              <w:t>一级PSG必须在专业睡眠实验室中进行，且检查全程必须有经过训练的专业技术人员</w:t>
            </w:r>
            <w:r>
              <w:rPr>
                <w:rFonts w:hint="eastAsia" w:ascii="宋体" w:hAnsi="宋体" w:eastAsia="宋体" w:cs="宋体"/>
                <w:color w:val="auto"/>
                <w:sz w:val="24"/>
                <w:szCs w:val="24"/>
                <w:highlight w:val="none"/>
                <w:lang w:val="en-US" w:eastAsia="zh-CN"/>
              </w:rPr>
              <w:t>实时</w:t>
            </w:r>
            <w:r>
              <w:rPr>
                <w:rFonts w:hint="eastAsia" w:ascii="宋体" w:hAnsi="宋体" w:eastAsia="宋体" w:cs="宋体"/>
                <w:color w:val="auto"/>
                <w:sz w:val="24"/>
                <w:szCs w:val="24"/>
                <w:highlight w:val="none"/>
              </w:rPr>
              <w:t>值守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非便携机</w:t>
            </w:r>
            <w:r>
              <w:rPr>
                <w:rFonts w:hint="eastAsia" w:ascii="宋体" w:hAnsi="宋体" w:eastAsia="宋体" w:cs="宋体"/>
                <w:color w:val="auto"/>
                <w:sz w:val="24"/>
                <w:szCs w:val="24"/>
                <w:highlight w:val="none"/>
              </w:rPr>
              <w:t>。</w:t>
            </w:r>
          </w:p>
          <w:p w14:paraId="270780A3">
            <w:pPr>
              <w:jc w:val="center"/>
              <w:rPr>
                <w:rFonts w:asciiTheme="minorEastAsia" w:hAnsiTheme="minorEastAsia" w:eastAsiaTheme="minorEastAsia"/>
                <w:color w:val="auto"/>
                <w:sz w:val="24"/>
                <w:highlight w:val="none"/>
              </w:rPr>
            </w:pPr>
          </w:p>
        </w:tc>
        <w:tc>
          <w:tcPr>
            <w:tcW w:w="819" w:type="pct"/>
            <w:vAlign w:val="center"/>
          </w:tcPr>
          <w:p w14:paraId="2A81A73A">
            <w:pPr>
              <w:jc w:val="center"/>
              <w:rPr>
                <w:rFonts w:asciiTheme="minorEastAsia" w:hAnsiTheme="minorEastAsia" w:eastAsiaTheme="minorEastAsia"/>
                <w:color w:val="auto"/>
                <w:sz w:val="24"/>
                <w:highlight w:val="none"/>
              </w:rPr>
            </w:pPr>
          </w:p>
        </w:tc>
        <w:tc>
          <w:tcPr>
            <w:tcW w:w="457" w:type="pct"/>
            <w:vAlign w:val="center"/>
          </w:tcPr>
          <w:p w14:paraId="62BD3450">
            <w:pPr>
              <w:jc w:val="center"/>
              <w:rPr>
                <w:rFonts w:asciiTheme="minorEastAsia" w:hAnsiTheme="minorEastAsia" w:eastAsiaTheme="minorEastAsia"/>
                <w:color w:val="auto"/>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4" w:type="pct"/>
            <w:vAlign w:val="center"/>
          </w:tcPr>
          <w:p w14:paraId="3A8AF8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652" w:type="pct"/>
            <w:vAlign w:val="center"/>
          </w:tcPr>
          <w:p w14:paraId="6BE1402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二、</w:t>
            </w:r>
            <w:r>
              <w:rPr>
                <w:rFonts w:hint="eastAsia" w:ascii="宋体" w:hAnsi="宋体" w:eastAsia="宋体" w:cs="宋体"/>
                <w:b w:val="0"/>
                <w:bCs w:val="0"/>
                <w:color w:val="auto"/>
                <w:sz w:val="24"/>
                <w:szCs w:val="24"/>
                <w:highlight w:val="none"/>
              </w:rPr>
              <w:t>核心监测</w:t>
            </w:r>
            <w:r>
              <w:rPr>
                <w:rFonts w:hint="eastAsia" w:ascii="宋体" w:hAnsi="宋体" w:eastAsia="宋体" w:cs="宋体"/>
                <w:b w:val="0"/>
                <w:bCs w:val="0"/>
                <w:color w:val="auto"/>
                <w:sz w:val="24"/>
                <w:szCs w:val="24"/>
                <w:highlight w:val="none"/>
                <w:lang w:val="en-US" w:eastAsia="zh-CN"/>
              </w:rPr>
              <w:t>要求</w:t>
            </w:r>
            <w:r>
              <w:rPr>
                <w:rFonts w:hint="eastAsia" w:ascii="宋体" w:hAnsi="宋体" w:eastAsia="宋体" w:cs="宋体"/>
                <w:b w:val="0"/>
                <w:bCs w:val="0"/>
                <w:color w:val="auto"/>
                <w:sz w:val="24"/>
                <w:szCs w:val="24"/>
                <w:highlight w:val="none"/>
              </w:rPr>
              <w:t>：</w:t>
            </w:r>
          </w:p>
          <w:p w14:paraId="5CDED0AB">
            <w:pPr>
              <w:jc w:val="center"/>
              <w:rPr>
                <w:rFonts w:asciiTheme="minorEastAsia" w:hAnsiTheme="minorEastAsia" w:eastAsiaTheme="minorEastAsia"/>
                <w:color w:val="auto"/>
                <w:sz w:val="24"/>
                <w:highlight w:val="none"/>
              </w:rPr>
            </w:pPr>
          </w:p>
        </w:tc>
        <w:tc>
          <w:tcPr>
            <w:tcW w:w="2676" w:type="pct"/>
            <w:vAlign w:val="center"/>
          </w:tcPr>
          <w:p w14:paraId="421A0CDC">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1、具备</w:t>
            </w:r>
            <w:r>
              <w:rPr>
                <w:rFonts w:hint="eastAsia" w:ascii="宋体" w:hAnsi="宋体" w:eastAsia="宋体" w:cs="宋体"/>
                <w:color w:val="auto"/>
                <w:sz w:val="24"/>
                <w:szCs w:val="24"/>
                <w:highlight w:val="none"/>
              </w:rPr>
              <w:t>脑电图：用于判断睡眠分期和觉醒。</w:t>
            </w:r>
          </w:p>
          <w:p w14:paraId="21DAEF47">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2、具备</w:t>
            </w:r>
            <w:r>
              <w:rPr>
                <w:rFonts w:hint="eastAsia" w:ascii="宋体" w:hAnsi="宋体" w:eastAsia="宋体" w:cs="宋体"/>
                <w:color w:val="auto"/>
                <w:sz w:val="24"/>
                <w:szCs w:val="24"/>
                <w:highlight w:val="none"/>
              </w:rPr>
              <w:t>眼动电图：用于区分快速眼动睡眠（REM）与非快速眼动睡眠（NREM）。</w:t>
            </w:r>
          </w:p>
          <w:p w14:paraId="369DA907">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3、具备</w:t>
            </w:r>
            <w:r>
              <w:rPr>
                <w:rFonts w:hint="eastAsia" w:ascii="宋体" w:hAnsi="宋体" w:eastAsia="宋体" w:cs="宋体"/>
                <w:color w:val="auto"/>
                <w:sz w:val="24"/>
                <w:szCs w:val="24"/>
                <w:highlight w:val="none"/>
              </w:rPr>
              <w:t>下颌肌电</w:t>
            </w:r>
            <w:r>
              <w:rPr>
                <w:rFonts w:hint="eastAsia" w:ascii="宋体" w:hAnsi="宋体" w:eastAsia="宋体" w:cs="宋体"/>
                <w:color w:val="auto"/>
                <w:sz w:val="24"/>
                <w:szCs w:val="24"/>
                <w:highlight w:val="none"/>
                <w:lang w:val="en-US" w:eastAsia="zh-CN"/>
              </w:rPr>
              <w:t>和胫骨肌电</w:t>
            </w:r>
            <w:r>
              <w:rPr>
                <w:rFonts w:hint="eastAsia" w:ascii="宋体" w:hAnsi="宋体" w:eastAsia="宋体" w:cs="宋体"/>
                <w:color w:val="auto"/>
                <w:sz w:val="24"/>
                <w:szCs w:val="24"/>
                <w:highlight w:val="none"/>
              </w:rPr>
              <w:t>图：辅助睡眠分期，并监测磨牙</w:t>
            </w:r>
            <w:r>
              <w:rPr>
                <w:rFonts w:hint="eastAsia" w:ascii="宋体" w:hAnsi="宋体" w:eastAsia="宋体" w:cs="宋体"/>
                <w:color w:val="auto"/>
                <w:sz w:val="24"/>
                <w:szCs w:val="24"/>
                <w:highlight w:val="none"/>
                <w:lang w:val="en-US" w:eastAsia="zh-CN"/>
              </w:rPr>
              <w:t>和腿动</w:t>
            </w:r>
            <w:r>
              <w:rPr>
                <w:rFonts w:hint="eastAsia" w:ascii="宋体" w:hAnsi="宋体" w:eastAsia="宋体" w:cs="宋体"/>
                <w:color w:val="auto"/>
                <w:sz w:val="24"/>
                <w:szCs w:val="24"/>
                <w:highlight w:val="none"/>
              </w:rPr>
              <w:t>等事件。</w:t>
            </w:r>
          </w:p>
          <w:p w14:paraId="05FC4A54">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4、具备</w:t>
            </w:r>
            <w:r>
              <w:rPr>
                <w:rFonts w:hint="eastAsia" w:ascii="宋体" w:hAnsi="宋体" w:eastAsia="宋体" w:cs="宋体"/>
                <w:color w:val="auto"/>
                <w:sz w:val="24"/>
                <w:szCs w:val="24"/>
                <w:highlight w:val="none"/>
              </w:rPr>
              <w:t>心电图：监测睡眠期间的心脏电活动。</w:t>
            </w:r>
          </w:p>
          <w:p w14:paraId="5B7EEE93">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5、具备</w:t>
            </w:r>
            <w:r>
              <w:rPr>
                <w:rFonts w:hint="eastAsia" w:ascii="宋体" w:hAnsi="宋体" w:eastAsia="宋体" w:cs="宋体"/>
                <w:color w:val="auto"/>
                <w:sz w:val="24"/>
                <w:szCs w:val="24"/>
                <w:highlight w:val="none"/>
              </w:rPr>
              <w:t>呼吸气流：通常通过口鼻压力传感器和热敏传感器共同监测。</w:t>
            </w:r>
          </w:p>
          <w:p w14:paraId="02D36743">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6、具备</w:t>
            </w:r>
            <w:r>
              <w:rPr>
                <w:rFonts w:hint="eastAsia" w:ascii="宋体" w:hAnsi="宋体" w:eastAsia="宋体" w:cs="宋体"/>
                <w:color w:val="auto"/>
                <w:sz w:val="24"/>
                <w:szCs w:val="24"/>
                <w:highlight w:val="none"/>
              </w:rPr>
              <w:t>呼吸努力：通过胸腹运动传感器（如RIP带）监测。</w:t>
            </w:r>
          </w:p>
          <w:p w14:paraId="07B85703">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7、具备</w:t>
            </w:r>
            <w:r>
              <w:rPr>
                <w:rFonts w:hint="eastAsia" w:ascii="宋体" w:hAnsi="宋体" w:eastAsia="宋体" w:cs="宋体"/>
                <w:color w:val="auto"/>
                <w:sz w:val="24"/>
                <w:szCs w:val="24"/>
                <w:highlight w:val="none"/>
              </w:rPr>
              <w:t>血氧饱和度：监测血液中的氧含量。</w:t>
            </w:r>
          </w:p>
          <w:p w14:paraId="438EA99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8、具备体动监测、鼾声传感器、视频和音频记录</w:t>
            </w:r>
          </w:p>
          <w:p w14:paraId="66FCD440">
            <w:pPr>
              <w:jc w:val="center"/>
              <w:rPr>
                <w:rFonts w:asciiTheme="minorEastAsia" w:hAnsiTheme="minorEastAsia" w:eastAsiaTheme="minorEastAsia"/>
                <w:color w:val="auto"/>
                <w:sz w:val="24"/>
                <w:highlight w:val="none"/>
              </w:rPr>
            </w:pPr>
          </w:p>
        </w:tc>
        <w:tc>
          <w:tcPr>
            <w:tcW w:w="819" w:type="pct"/>
            <w:vAlign w:val="center"/>
          </w:tcPr>
          <w:p w14:paraId="411F3E68">
            <w:pPr>
              <w:jc w:val="center"/>
              <w:rPr>
                <w:rFonts w:asciiTheme="minorEastAsia" w:hAnsiTheme="minorEastAsia" w:eastAsiaTheme="minorEastAsia"/>
                <w:color w:val="auto"/>
                <w:sz w:val="24"/>
                <w:highlight w:val="none"/>
              </w:rPr>
            </w:pPr>
          </w:p>
        </w:tc>
        <w:tc>
          <w:tcPr>
            <w:tcW w:w="457" w:type="pct"/>
            <w:vAlign w:val="center"/>
          </w:tcPr>
          <w:p w14:paraId="23169102">
            <w:pPr>
              <w:jc w:val="center"/>
              <w:rPr>
                <w:rFonts w:asciiTheme="minorEastAsia" w:hAnsiTheme="minorEastAsia" w:eastAsiaTheme="minorEastAsia"/>
                <w:color w:val="auto"/>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4" w:type="pct"/>
            <w:vAlign w:val="center"/>
          </w:tcPr>
          <w:p w14:paraId="05C3CBB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652" w:type="pct"/>
            <w:vAlign w:val="center"/>
          </w:tcPr>
          <w:p w14:paraId="6DD719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val="0"/>
                <w:bCs w:val="0"/>
                <w:color w:val="auto"/>
                <w:sz w:val="24"/>
                <w:szCs w:val="24"/>
                <w:highlight w:val="none"/>
                <w:lang w:val="en-US" w:eastAsia="zh-CN"/>
              </w:rPr>
              <w:t>精准采集要求</w:t>
            </w:r>
          </w:p>
          <w:p w14:paraId="2775C515">
            <w:pPr>
              <w:jc w:val="center"/>
              <w:rPr>
                <w:rFonts w:asciiTheme="minorEastAsia" w:hAnsiTheme="minorEastAsia" w:eastAsiaTheme="minorEastAsia"/>
                <w:color w:val="auto"/>
                <w:sz w:val="24"/>
                <w:highlight w:val="none"/>
              </w:rPr>
            </w:pPr>
          </w:p>
        </w:tc>
        <w:tc>
          <w:tcPr>
            <w:tcW w:w="2676" w:type="pct"/>
            <w:vAlign w:val="center"/>
          </w:tcPr>
          <w:p w14:paraId="449FDC95">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通道数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32导</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采样率：≥1000Hz</w:t>
            </w:r>
            <w:r>
              <w:rPr>
                <w:rFonts w:hint="eastAsia" w:ascii="宋体" w:hAnsi="宋体" w:eastAsia="宋体" w:cs="宋体"/>
                <w:color w:val="auto"/>
                <w:sz w:val="24"/>
                <w:szCs w:val="24"/>
                <w:highlight w:val="none"/>
                <w:lang w:eastAsia="zh-CN"/>
              </w:rPr>
              <w:t>；</w:t>
            </w:r>
          </w:p>
          <w:p w14:paraId="4B899F4A">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2、脑电、眼电采样频率200HZ-500HZ，低频滤波≤0.3HZ，高频率波≥35HZ；</w:t>
            </w:r>
          </w:p>
          <w:p w14:paraId="4DDC35B1">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3、颠肌电采样频率200HZ-500HZ，肌电：低频滤波≤10HZ，高频率波≥100HZ；</w:t>
            </w:r>
          </w:p>
          <w:p w14:paraId="7417E1CC">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4、心电采样频率200HZ-500HZ，低频滤波≤0.3HZ，高频率波≥70HZ；</w:t>
            </w:r>
          </w:p>
          <w:p w14:paraId="56CBF44E">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5、气流，胸、腹运动采样频率25HZ-100HZ，鼻湿度气流/胸、腹运动：低频滤波≤0.1HZ，高频率波≥15HZ；</w:t>
            </w:r>
          </w:p>
          <w:p w14:paraId="64837F6B">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6、血氧饱和度/经皮PCO2采样频率10HZ-25HZ；</w:t>
            </w:r>
          </w:p>
          <w:p w14:paraId="2E7D0DC5">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7、鼻压力/呼气末PCO2/PAP设备气流、食管压采样频率25HZ-100HZ；鼻压力气流：低频滤波≤0.03HZ或DC，高频率波≥100HZ；PAP设备气流：低频滤波DC，高频率波DC；</w:t>
            </w:r>
          </w:p>
          <w:p w14:paraId="23F5107A">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8、体位采样频率1HZ；</w:t>
            </w:r>
          </w:p>
          <w:p w14:paraId="1C4D94D2">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9、鼾声采样频率200HZ-500HZ，低频滤波≤10HZ，高频率波≥100HZ；</w:t>
            </w:r>
          </w:p>
          <w:p w14:paraId="2C6CF63F">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输入阻抗通常要求≥10MΩ，共模抑制比要求≥80dB。</w:t>
            </w:r>
          </w:p>
          <w:p w14:paraId="22EFC286">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模数转换：≥24位的A/D转换</w:t>
            </w:r>
          </w:p>
          <w:p w14:paraId="767A1D1C">
            <w:pPr>
              <w:jc w:val="center"/>
              <w:rPr>
                <w:rFonts w:asciiTheme="minorEastAsia" w:hAnsiTheme="minorEastAsia" w:eastAsiaTheme="minorEastAsia"/>
                <w:color w:val="auto"/>
                <w:sz w:val="24"/>
                <w:highlight w:val="none"/>
              </w:rPr>
            </w:pPr>
          </w:p>
        </w:tc>
        <w:tc>
          <w:tcPr>
            <w:tcW w:w="819" w:type="pct"/>
            <w:vAlign w:val="center"/>
          </w:tcPr>
          <w:p w14:paraId="79158BE1">
            <w:pPr>
              <w:pStyle w:val="39"/>
              <w:jc w:val="center"/>
              <w:rPr>
                <w:rFonts w:asciiTheme="minorEastAsia" w:hAnsiTheme="minorEastAsia" w:eastAsiaTheme="minorEastAsia"/>
                <w:color w:val="auto"/>
                <w:highlight w:val="none"/>
              </w:rPr>
            </w:pPr>
          </w:p>
        </w:tc>
        <w:tc>
          <w:tcPr>
            <w:tcW w:w="457" w:type="pct"/>
            <w:vAlign w:val="center"/>
          </w:tcPr>
          <w:p w14:paraId="51CD182D">
            <w:pPr>
              <w:jc w:val="center"/>
              <w:rPr>
                <w:rFonts w:asciiTheme="minorEastAsia" w:hAnsiTheme="minorEastAsia" w:eastAsiaTheme="minorEastAsia"/>
                <w:color w:val="auto"/>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4" w:type="pct"/>
            <w:vAlign w:val="center"/>
          </w:tcPr>
          <w:p w14:paraId="22740B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652" w:type="pct"/>
            <w:vAlign w:val="center"/>
          </w:tcPr>
          <w:p w14:paraId="0ECA98CD">
            <w:pPr>
              <w:jc w:val="center"/>
              <w:rPr>
                <w:rFonts w:asciiTheme="minorEastAsia" w:hAnsiTheme="minorEastAsia" w:eastAsiaTheme="minorEastAsia"/>
                <w:color w:val="auto"/>
                <w:sz w:val="24"/>
                <w:highlight w:val="none"/>
              </w:rPr>
            </w:pPr>
          </w:p>
        </w:tc>
        <w:tc>
          <w:tcPr>
            <w:tcW w:w="2676" w:type="pct"/>
            <w:vAlign w:val="center"/>
          </w:tcPr>
          <w:p w14:paraId="4235117A">
            <w:pPr>
              <w:jc w:val="center"/>
              <w:rPr>
                <w:rFonts w:asciiTheme="minorEastAsia" w:hAnsiTheme="minorEastAsia" w:eastAsiaTheme="minorEastAsia"/>
                <w:color w:val="auto"/>
                <w:sz w:val="24"/>
                <w:highlight w:val="none"/>
              </w:rPr>
            </w:pPr>
          </w:p>
        </w:tc>
        <w:tc>
          <w:tcPr>
            <w:tcW w:w="819" w:type="pct"/>
            <w:vAlign w:val="center"/>
          </w:tcPr>
          <w:p w14:paraId="5A9E69F4">
            <w:pPr>
              <w:pStyle w:val="39"/>
              <w:jc w:val="center"/>
              <w:rPr>
                <w:rFonts w:asciiTheme="minorEastAsia" w:hAnsiTheme="minorEastAsia" w:eastAsiaTheme="minorEastAsia"/>
                <w:color w:val="auto"/>
                <w:highlight w:val="none"/>
              </w:rPr>
            </w:pPr>
          </w:p>
        </w:tc>
        <w:tc>
          <w:tcPr>
            <w:tcW w:w="457" w:type="pct"/>
            <w:vAlign w:val="center"/>
          </w:tcPr>
          <w:p w14:paraId="62CE2BB3">
            <w:pPr>
              <w:jc w:val="center"/>
              <w:rPr>
                <w:rFonts w:asciiTheme="minorEastAsia" w:hAnsiTheme="minorEastAsia" w:eastAsiaTheme="minorEastAsia"/>
                <w:color w:val="auto"/>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4" w:type="pct"/>
            <w:vAlign w:val="center"/>
          </w:tcPr>
          <w:p w14:paraId="478674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652" w:type="pct"/>
            <w:vAlign w:val="center"/>
          </w:tcPr>
          <w:p w14:paraId="1AEF0F50">
            <w:pPr>
              <w:jc w:val="center"/>
              <w:rPr>
                <w:rFonts w:asciiTheme="minorEastAsia" w:hAnsiTheme="minorEastAsia" w:eastAsiaTheme="minorEastAsia"/>
                <w:color w:val="auto"/>
                <w:sz w:val="24"/>
                <w:highlight w:val="none"/>
              </w:rPr>
            </w:pPr>
          </w:p>
        </w:tc>
        <w:tc>
          <w:tcPr>
            <w:tcW w:w="2676" w:type="pct"/>
            <w:vAlign w:val="center"/>
          </w:tcPr>
          <w:p w14:paraId="6E85071B">
            <w:pPr>
              <w:jc w:val="center"/>
              <w:rPr>
                <w:rFonts w:asciiTheme="minorEastAsia" w:hAnsiTheme="minorEastAsia" w:eastAsiaTheme="minorEastAsia"/>
                <w:color w:val="auto"/>
                <w:sz w:val="24"/>
                <w:highlight w:val="none"/>
              </w:rPr>
            </w:pPr>
          </w:p>
        </w:tc>
        <w:tc>
          <w:tcPr>
            <w:tcW w:w="819" w:type="pct"/>
            <w:vAlign w:val="center"/>
          </w:tcPr>
          <w:p w14:paraId="2F6648C5">
            <w:pPr>
              <w:jc w:val="center"/>
              <w:rPr>
                <w:rFonts w:asciiTheme="minorEastAsia" w:hAnsiTheme="minorEastAsia" w:eastAsiaTheme="minorEastAsia"/>
                <w:color w:val="auto"/>
                <w:sz w:val="24"/>
                <w:highlight w:val="none"/>
              </w:rPr>
            </w:pPr>
          </w:p>
        </w:tc>
        <w:tc>
          <w:tcPr>
            <w:tcW w:w="457" w:type="pct"/>
            <w:vAlign w:val="center"/>
          </w:tcPr>
          <w:p w14:paraId="22E3CC90">
            <w:pPr>
              <w:jc w:val="center"/>
              <w:rPr>
                <w:rFonts w:asciiTheme="minorEastAsia" w:hAnsiTheme="minorEastAsia" w:eastAsiaTheme="minorEastAsia"/>
                <w:color w:val="auto"/>
                <w:sz w:val="24"/>
                <w:highlight w:val="none"/>
              </w:rPr>
            </w:pPr>
          </w:p>
        </w:tc>
      </w:tr>
    </w:tbl>
    <w:p w14:paraId="4872A825">
      <w:pPr>
        <w:spacing w:line="360" w:lineRule="auto"/>
        <w:ind w:firstLine="4800" w:firstLineChars="2000"/>
        <w:rPr>
          <w:rFonts w:hint="eastAsia" w:ascii="宋体" w:hAnsi="宋体" w:eastAsia="宋体"/>
          <w:color w:val="auto"/>
          <w:sz w:val="24"/>
          <w:highlight w:val="none"/>
        </w:rPr>
      </w:pPr>
    </w:p>
    <w:p w14:paraId="6F5A257D">
      <w:pPr>
        <w:keepNext w:val="0"/>
        <w:keepLines w:val="0"/>
        <w:pageBreakBefore w:val="0"/>
        <w:widowControl w:val="0"/>
        <w:kinsoku/>
        <w:wordWrap w:val="0"/>
        <w:overflowPunct/>
        <w:bidi w:val="0"/>
        <w:spacing w:line="360" w:lineRule="auto"/>
        <w:rPr>
          <w:rFonts w:hint="default" w:ascii="Times New Roman" w:hAnsi="Times New Roman" w:eastAsia="仿宋" w:cs="Times New Roman"/>
          <w:color w:val="auto"/>
          <w:highlight w:val="none"/>
        </w:rPr>
      </w:pPr>
      <w:r>
        <w:rPr>
          <w:rFonts w:hint="eastAsia" w:ascii="Times New Roman" w:hAnsi="Times New Roman" w:eastAsia="仿宋" w:cs="Times New Roman"/>
          <w:b/>
          <w:color w:val="auto"/>
          <w:highlight w:val="none"/>
          <w:lang w:val="en-US" w:eastAsia="zh-CN"/>
        </w:rPr>
        <w:t>偏离说明：</w:t>
      </w:r>
      <w:r>
        <w:rPr>
          <w:rFonts w:hint="default" w:ascii="Times New Roman" w:hAnsi="Times New Roman" w:eastAsia="仿宋" w:cs="Times New Roman"/>
          <w:b/>
          <w:color w:val="auto"/>
          <w:highlight w:val="none"/>
        </w:rPr>
        <w:t>“符合”指与招标文件要求一致</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“正偏离”指优于招标文件要求；“负偏离”指低于招标文件要求</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供应商根据项目实际填写，自行调整。</w:t>
      </w:r>
    </w:p>
    <w:p w14:paraId="09835108">
      <w:pPr>
        <w:spacing w:line="360" w:lineRule="auto"/>
        <w:ind w:firstLine="4800" w:firstLineChars="2000"/>
        <w:rPr>
          <w:rFonts w:hint="eastAsia" w:ascii="宋体" w:hAnsi="宋体" w:eastAsia="宋体"/>
          <w:color w:val="auto"/>
          <w:sz w:val="24"/>
          <w:highlight w:val="none"/>
        </w:rPr>
      </w:pPr>
    </w:p>
    <w:p w14:paraId="25FDEC3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6B679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80D7F4F">
      <w:pPr>
        <w:pStyle w:val="12"/>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6E1E6CC2">
      <w:pPr>
        <w:spacing w:line="360" w:lineRule="auto"/>
        <w:jc w:val="center"/>
        <w:outlineLvl w:val="1"/>
        <w:rPr>
          <w:rFonts w:hint="default" w:asciiTheme="minorEastAsia" w:hAnsiTheme="minorEastAsia" w:eastAsiaTheme="minorEastAsia"/>
          <w:b/>
          <w:color w:val="auto"/>
          <w:sz w:val="24"/>
          <w:highlight w:val="none"/>
          <w:lang w:val="en-US"/>
        </w:rPr>
      </w:pPr>
      <w:bookmarkStart w:id="68" w:name="_Toc25337"/>
      <w:bookmarkStart w:id="69" w:name="_Toc300210382"/>
      <w:bookmarkStart w:id="70" w:name="_Toc520299348"/>
      <w:bookmarkStart w:id="71" w:name="_Toc457768004"/>
      <w:bookmarkStart w:id="72" w:name="_Toc25813"/>
      <w:bookmarkStart w:id="73" w:name="_Toc26536"/>
      <w:bookmarkStart w:id="74" w:name="_Hlk11701496"/>
      <w:r>
        <w:rPr>
          <w:rFonts w:hint="eastAsia" w:asciiTheme="minorEastAsia" w:hAnsiTheme="minorEastAsia" w:eastAsiaTheme="minorEastAsia"/>
          <w:b/>
          <w:color w:val="auto"/>
          <w:sz w:val="24"/>
          <w:highlight w:val="none"/>
          <w:lang w:val="en-US" w:eastAsia="zh-CN"/>
        </w:rPr>
        <w:t>七、供应商资格声明书</w:t>
      </w:r>
      <w:bookmarkEnd w:id="68"/>
      <w:r>
        <w:rPr>
          <w:rFonts w:hint="eastAsia" w:asciiTheme="minorEastAsia" w:hAnsiTheme="minorEastAsia" w:eastAsiaTheme="minorEastAsia"/>
          <w:b/>
          <w:color w:val="auto"/>
          <w:sz w:val="24"/>
          <w:highlight w:val="none"/>
          <w:lang w:val="en-US" w:eastAsia="zh-CN"/>
        </w:rPr>
        <w:t xml:space="preserve"> （承诺函)</w:t>
      </w:r>
    </w:p>
    <w:p w14:paraId="20B4AF61">
      <w:pPr>
        <w:pStyle w:val="12"/>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77521BD2">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我公司郑重承诺：我公司完全响应《中华人民共和国政府采购法》第二十二条以及下列内容：</w:t>
      </w:r>
    </w:p>
    <w:p w14:paraId="3B57CE9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1.1具有独立承担民事责任的能力；</w:t>
      </w:r>
    </w:p>
    <w:p w14:paraId="15D1E67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1.2具有良好的商业信誉和健全的财务会计制度；</w:t>
      </w:r>
    </w:p>
    <w:p w14:paraId="0640283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1.3具有履行合同所必需的设备和专业技术能力；</w:t>
      </w:r>
    </w:p>
    <w:p w14:paraId="08BF8C6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1.4有依法缴纳税收和社会保障资金的良好记录；</w:t>
      </w:r>
    </w:p>
    <w:p w14:paraId="01E91A8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1.5参加本采购活动前三年内，在经营活动中没有重大违法记录；</w:t>
      </w:r>
    </w:p>
    <w:p w14:paraId="4AF34B64">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1.6法律、行政法规规定的其他条件。</w:t>
      </w:r>
    </w:p>
    <w:p w14:paraId="756181E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被人民法院列入失信被执行人；</w:t>
      </w:r>
    </w:p>
    <w:p w14:paraId="3959731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供应商或其法定代表人或拟派项目经理（项目负责人）</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被列入行贿犯罪档案；</w:t>
      </w:r>
    </w:p>
    <w:p w14:paraId="57E5CFF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被市场监督管理局列入企业经营异常名录；</w:t>
      </w:r>
    </w:p>
    <w:p w14:paraId="5766DEE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2.4</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被税务部门列入重大税收违法案件当事人名单；</w:t>
      </w:r>
    </w:p>
    <w:p w14:paraId="3C93A87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被政府采购监管部门列入政府采购严重违法失信行为记录名单。</w:t>
      </w:r>
    </w:p>
    <w:p w14:paraId="185EEAF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w:t>
      </w:r>
      <w:r>
        <w:rPr>
          <w:rFonts w:hint="eastAsia" w:asciiTheme="minorEastAsia" w:hAnsiTheme="minorEastAsia" w:eastAsiaTheme="minorEastAsia"/>
          <w:color w:val="auto"/>
          <w:sz w:val="24"/>
          <w:highlight w:val="none"/>
          <w:lang w:val="en-US" w:eastAsia="zh-CN"/>
        </w:rPr>
        <w:t>为非</w:t>
      </w:r>
      <w:r>
        <w:rPr>
          <w:rFonts w:hint="eastAsia" w:asciiTheme="minorEastAsia" w:hAnsiTheme="minorEastAsia" w:eastAsiaTheme="minorEastAsia"/>
          <w:color w:val="auto"/>
          <w:sz w:val="24"/>
          <w:highlight w:val="none"/>
        </w:rPr>
        <w:t>联合体投标。</w:t>
      </w:r>
    </w:p>
    <w:p w14:paraId="612D063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我公司</w:t>
      </w:r>
      <w:r>
        <w:rPr>
          <w:rFonts w:hint="eastAsia" w:asciiTheme="minorEastAsia" w:hAnsiTheme="minorEastAsia" w:eastAsiaTheme="minorEastAsia"/>
          <w:color w:val="auto"/>
          <w:sz w:val="24"/>
          <w:highlight w:val="none"/>
        </w:rPr>
        <w:t>确保自己在投标文件中提交的信息及技术真实、准确。否则，投标人因此蒙受损失，采购人概不负责。</w:t>
      </w:r>
    </w:p>
    <w:p w14:paraId="52F2DCF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5.本项目不得转包或分包。</w:t>
      </w:r>
    </w:p>
    <w:p w14:paraId="63CEC4C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hint="eastAsia" w:ascii="宋体" w:hAnsi="宋体" w:eastAsia="宋体"/>
          <w:color w:val="auto"/>
          <w:sz w:val="24"/>
          <w:highlight w:val="none"/>
        </w:rPr>
        <w:t>所投设备为自合同签订之日起（进口产品前后六个月，国内产品前后三个月）生产的最新产品</w:t>
      </w:r>
      <w:r>
        <w:rPr>
          <w:rFonts w:hint="eastAsia" w:asciiTheme="minorEastAsia" w:hAnsiTheme="minorEastAsia" w:eastAsiaTheme="minorEastAsia"/>
          <w:color w:val="auto"/>
          <w:sz w:val="24"/>
          <w:highlight w:val="none"/>
        </w:rPr>
        <w:t>。</w:t>
      </w:r>
    </w:p>
    <w:p w14:paraId="56BF281E">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7.所投产品不含专机专用耗材，如有专机专用耗材终身免费提供使用</w:t>
      </w:r>
      <w:r>
        <w:rPr>
          <w:rFonts w:hint="eastAsia" w:asciiTheme="minorEastAsia" w:hAnsiTheme="minorEastAsia" w:eastAsiaTheme="minorEastAsia"/>
          <w:color w:val="auto"/>
          <w:sz w:val="24"/>
          <w:highlight w:val="none"/>
          <w:lang w:eastAsia="zh-CN"/>
        </w:rPr>
        <w:t>。</w:t>
      </w:r>
    </w:p>
    <w:p w14:paraId="2174D400">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8.我公司完全响应招标文件第三章 采购需求&lt;三&gt;报价要求和&lt;四&gt;其他要求中的所有条款。</w:t>
      </w:r>
    </w:p>
    <w:p w14:paraId="1CCA69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71CE2196">
      <w:pPr>
        <w:spacing w:line="360" w:lineRule="auto"/>
        <w:ind w:firstLine="480" w:firstLineChars="200"/>
        <w:jc w:val="both"/>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特此承诺！</w:t>
      </w:r>
    </w:p>
    <w:p w14:paraId="4F41F7C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652F45A">
      <w:pPr>
        <w:spacing w:line="360" w:lineRule="auto"/>
        <w:ind w:firstLine="4800" w:firstLineChars="2000"/>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6DC91BFF">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0DF3B3A">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八、</w:t>
      </w:r>
      <w:bookmarkEnd w:id="69"/>
      <w:bookmarkEnd w:id="70"/>
      <w:bookmarkEnd w:id="71"/>
      <w:r>
        <w:rPr>
          <w:rFonts w:hint="eastAsia" w:asciiTheme="minorEastAsia" w:hAnsiTheme="minorEastAsia" w:eastAsiaTheme="minorEastAsia"/>
          <w:b/>
          <w:color w:val="auto"/>
          <w:sz w:val="24"/>
          <w:highlight w:val="none"/>
          <w:lang w:val="en-US" w:eastAsia="zh-CN"/>
        </w:rPr>
        <w:t>诚信履约承诺函</w:t>
      </w:r>
      <w:bookmarkEnd w:id="72"/>
      <w:bookmarkEnd w:id="73"/>
    </w:p>
    <w:p w14:paraId="0E258856">
      <w:pPr>
        <w:spacing w:line="360" w:lineRule="auto"/>
        <w:rPr>
          <w:rFonts w:asciiTheme="minorEastAsia" w:hAnsiTheme="minorEastAsia" w:eastAsiaTheme="minorEastAsia"/>
          <w:b/>
          <w:bCs/>
          <w:color w:val="auto"/>
          <w:sz w:val="24"/>
          <w:highlight w:val="none"/>
        </w:rPr>
      </w:pPr>
    </w:p>
    <w:p w14:paraId="5D73717C">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27EDFB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如我单位被确定为本项目中标人，我单位承诺在合同签订及履约过程中将严格执行本项目采购文件中关于合同签订及履约的相关规定，不出现以下情形：</w:t>
      </w:r>
    </w:p>
    <w:p w14:paraId="6E7E46E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（1）中标或者成交后无正当理由拒不与采购人签订采购合同；</w:t>
      </w:r>
    </w:p>
    <w:p w14:paraId="76248F6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（2）未按照采购文件确定的事项签订采购合同；</w:t>
      </w:r>
    </w:p>
    <w:p w14:paraId="25FEE32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（3）将采购合同转包；</w:t>
      </w:r>
    </w:p>
    <w:p w14:paraId="29A0347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0B24E4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（5）擅自变更、中止或者终止采购合同。</w:t>
      </w:r>
    </w:p>
    <w:p w14:paraId="32AAE4B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采购活动，有违法所得的，并处没收违法所得，情节严重的，由工商行政管理机关吊销营业执照；构成犯罪的，依法追究刑事责任。</w:t>
      </w:r>
    </w:p>
    <w:p w14:paraId="030B2D9C">
      <w:pPr>
        <w:spacing w:line="360" w:lineRule="auto"/>
        <w:rPr>
          <w:rFonts w:asciiTheme="minorEastAsia" w:hAnsiTheme="minorEastAsia" w:eastAsiaTheme="minorEastAsia"/>
          <w:bCs/>
          <w:color w:val="auto"/>
          <w:sz w:val="24"/>
          <w:highlight w:val="none"/>
        </w:rPr>
      </w:pPr>
    </w:p>
    <w:p w14:paraId="3FC54976">
      <w:pPr>
        <w:spacing w:line="360" w:lineRule="auto"/>
        <w:rPr>
          <w:rFonts w:asciiTheme="minorEastAsia" w:hAnsiTheme="minorEastAsia" w:eastAsiaTheme="minorEastAsia"/>
          <w:bCs/>
          <w:color w:val="auto"/>
          <w:sz w:val="24"/>
          <w:highlight w:val="none"/>
        </w:rPr>
      </w:pPr>
    </w:p>
    <w:p w14:paraId="032B6DC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9D177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5FE8DAB">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4"/>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5" w:name="_Toc2683"/>
      <w:bookmarkStart w:id="76" w:name="_Toc32633"/>
      <w:r>
        <w:rPr>
          <w:rFonts w:hint="eastAsia" w:asciiTheme="minorEastAsia" w:hAnsiTheme="minorEastAsia" w:eastAsiaTheme="minorEastAsia"/>
          <w:b/>
          <w:color w:val="auto"/>
          <w:sz w:val="24"/>
          <w:highlight w:val="none"/>
          <w:lang w:val="en-US" w:eastAsia="zh-CN"/>
        </w:rPr>
        <w:t>九、其他相关证明材料</w:t>
      </w:r>
      <w:bookmarkEnd w:id="75"/>
      <w:bookmarkEnd w:id="76"/>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asciiTheme="minorEastAsia" w:hAnsiTheme="minorEastAsia" w:eastAsiaTheme="minorEastAsia"/>
          <w:color w:val="auto"/>
          <w:sz w:val="24"/>
          <w:highlight w:val="none"/>
        </w:rPr>
      </w:pP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承诺函</w:t>
      </w:r>
      <w:r>
        <w:rPr>
          <w:rFonts w:asciiTheme="minorEastAsia" w:hAnsiTheme="minorEastAsia" w:eastAsiaTheme="minorEastAsia"/>
          <w:color w:val="auto"/>
          <w:sz w:val="24"/>
          <w:highlight w:val="none"/>
        </w:rPr>
        <w:t>等，应将上述证明材料制作成扫描件上传。</w:t>
      </w:r>
    </w:p>
    <w:p w14:paraId="1BAB6A4B">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E44E95B">
      <w:pPr>
        <w:spacing w:line="360" w:lineRule="auto"/>
        <w:jc w:val="center"/>
        <w:outlineLvl w:val="0"/>
        <w:rPr>
          <w:rFonts w:ascii="宋体" w:hAnsi="宋体" w:eastAsia="宋体"/>
          <w:b/>
          <w:bCs/>
          <w:color w:val="auto"/>
          <w:sz w:val="28"/>
          <w:highlight w:val="none"/>
        </w:rPr>
      </w:pPr>
      <w:bookmarkStart w:id="77" w:name="_Toc6435"/>
      <w:bookmarkStart w:id="78" w:name="_Toc18131"/>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7"/>
      <w:bookmarkEnd w:id="78"/>
    </w:p>
    <w:p w14:paraId="7A40B900">
      <w:pPr>
        <w:spacing w:line="360" w:lineRule="auto"/>
        <w:jc w:val="center"/>
        <w:outlineLvl w:val="1"/>
        <w:rPr>
          <w:rFonts w:ascii="仿宋" w:hAnsi="仿宋" w:eastAsia="仿宋" w:cs="仿宋"/>
          <w:b/>
          <w:bCs/>
          <w:color w:val="auto"/>
          <w:sz w:val="32"/>
          <w:szCs w:val="44"/>
          <w:highlight w:val="none"/>
        </w:rPr>
      </w:pPr>
      <w:bookmarkStart w:id="79" w:name="_Toc27489"/>
      <w:bookmarkStart w:id="80" w:name="_Toc27159"/>
      <w:r>
        <w:rPr>
          <w:rFonts w:hint="eastAsia" w:ascii="仿宋" w:hAnsi="仿宋" w:eastAsia="仿宋" w:cs="仿宋"/>
          <w:b/>
          <w:bCs/>
          <w:color w:val="auto"/>
          <w:sz w:val="32"/>
          <w:szCs w:val="44"/>
          <w:highlight w:val="none"/>
        </w:rPr>
        <w:t>询问函范本</w:t>
      </w:r>
      <w:bookmarkEnd w:id="79"/>
      <w:bookmarkEnd w:id="80"/>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1" w:name="_Toc13899"/>
      <w:r>
        <w:rPr>
          <w:rFonts w:hint="eastAsia" w:cs="仿宋" w:asciiTheme="minorEastAsia" w:hAnsiTheme="minorEastAsia" w:eastAsiaTheme="minorEastAsia"/>
          <w:color w:val="auto"/>
          <w:sz w:val="24"/>
          <w:szCs w:val="24"/>
          <w:highlight w:val="none"/>
        </w:rPr>
        <w:t>一、(事项一)</w:t>
      </w:r>
      <w:bookmarkEnd w:id="81"/>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2" w:name="_Toc3352"/>
      <w:r>
        <w:rPr>
          <w:rFonts w:hint="eastAsia" w:cs="仿宋" w:asciiTheme="minorEastAsia" w:hAnsiTheme="minorEastAsia" w:eastAsiaTheme="minorEastAsia"/>
          <w:color w:val="auto"/>
          <w:sz w:val="24"/>
          <w:szCs w:val="24"/>
          <w:highlight w:val="none"/>
        </w:rPr>
        <w:t>二、(事项二)</w:t>
      </w:r>
      <w:bookmarkEnd w:id="82"/>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83" w:name="_Toc3245"/>
      <w:bookmarkStart w:id="84" w:name="_Toc1575"/>
      <w:r>
        <w:rPr>
          <w:rFonts w:hint="eastAsia" w:ascii="仿宋" w:hAnsi="仿宋" w:eastAsia="仿宋" w:cs="仿宋"/>
          <w:b/>
          <w:bCs/>
          <w:color w:val="auto"/>
          <w:sz w:val="32"/>
          <w:szCs w:val="44"/>
          <w:highlight w:val="none"/>
        </w:rPr>
        <w:t>质疑函范本</w:t>
      </w:r>
      <w:bookmarkEnd w:id="83"/>
      <w:bookmarkEnd w:id="84"/>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85" w:name="_Toc21381"/>
      <w:r>
        <w:rPr>
          <w:rFonts w:hint="eastAsia" w:cs="仿宋" w:asciiTheme="minorEastAsia" w:hAnsiTheme="minorEastAsia" w:eastAsiaTheme="minorEastAsia"/>
          <w:b/>
          <w:bCs/>
          <w:color w:val="auto"/>
          <w:sz w:val="24"/>
          <w:szCs w:val="24"/>
          <w:highlight w:val="none"/>
        </w:rPr>
        <w:t>一、质疑供应商基本信息</w:t>
      </w:r>
      <w:bookmarkEnd w:id="85"/>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86" w:name="_Toc28415"/>
      <w:r>
        <w:rPr>
          <w:rFonts w:hint="eastAsia" w:cs="仿宋" w:asciiTheme="minorEastAsia" w:hAnsiTheme="minorEastAsia" w:eastAsiaTheme="minorEastAsia"/>
          <w:b/>
          <w:bCs/>
          <w:color w:val="auto"/>
          <w:sz w:val="24"/>
          <w:szCs w:val="24"/>
          <w:highlight w:val="none"/>
        </w:rPr>
        <w:t>二、质疑项目基本情况</w:t>
      </w:r>
      <w:bookmarkEnd w:id="86"/>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87" w:name="_Toc19014"/>
      <w:r>
        <w:rPr>
          <w:rFonts w:hint="eastAsia" w:cs="仿宋" w:asciiTheme="minorEastAsia" w:hAnsiTheme="minorEastAsia" w:eastAsiaTheme="minorEastAsia"/>
          <w:b/>
          <w:bCs/>
          <w:color w:val="auto"/>
          <w:sz w:val="24"/>
          <w:szCs w:val="24"/>
          <w:highlight w:val="none"/>
        </w:rPr>
        <w:t>三、质疑事项具体内容</w:t>
      </w:r>
      <w:bookmarkEnd w:id="87"/>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88" w:name="_Toc17919"/>
      <w:r>
        <w:rPr>
          <w:rFonts w:hint="eastAsia" w:cs="仿宋" w:asciiTheme="minorEastAsia" w:hAnsiTheme="minorEastAsia" w:eastAsiaTheme="minorEastAsia"/>
          <w:b/>
          <w:bCs/>
          <w:color w:val="auto"/>
          <w:sz w:val="24"/>
          <w:szCs w:val="24"/>
          <w:highlight w:val="none"/>
        </w:rPr>
        <w:t>四、与质疑事项相关的质疑请求</w:t>
      </w:r>
      <w:bookmarkEnd w:id="88"/>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outlineLvl w:val="0"/>
        <w:rPr>
          <w:rFonts w:asciiTheme="minorEastAsia" w:hAnsiTheme="minorEastAsia" w:eastAsiaTheme="minorEastAsia"/>
          <w:b/>
          <w:color w:val="auto"/>
          <w:sz w:val="28"/>
          <w:szCs w:val="32"/>
          <w:highlight w:val="none"/>
        </w:rPr>
      </w:pPr>
      <w:bookmarkStart w:id="89" w:name="_Toc26836"/>
      <w:bookmarkStart w:id="90" w:name="_Toc9754"/>
      <w:r>
        <w:rPr>
          <w:rFonts w:hint="eastAsia" w:asciiTheme="minorEastAsia" w:hAnsiTheme="minorEastAsia" w:eastAsiaTheme="minorEastAsia"/>
          <w:b/>
          <w:color w:val="auto"/>
          <w:sz w:val="28"/>
          <w:szCs w:val="32"/>
          <w:highlight w:val="none"/>
        </w:rPr>
        <w:t>质疑函制作说明：</w:t>
      </w:r>
      <w:bookmarkEnd w:id="89"/>
      <w:bookmarkEnd w:id="90"/>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bookmarkEnd w:id="91"/>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AE03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4AE03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7A0F6431"/>
    <w:multiLevelType w:val="singleLevel"/>
    <w:tmpl w:val="7A0F6431"/>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EE"/>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214602E"/>
    <w:rsid w:val="03486B27"/>
    <w:rsid w:val="040A094E"/>
    <w:rsid w:val="056F201D"/>
    <w:rsid w:val="05B664D4"/>
    <w:rsid w:val="064B485A"/>
    <w:rsid w:val="068C65C4"/>
    <w:rsid w:val="07076C01"/>
    <w:rsid w:val="071C12AC"/>
    <w:rsid w:val="07A934B3"/>
    <w:rsid w:val="07C66F31"/>
    <w:rsid w:val="07EB6287"/>
    <w:rsid w:val="0806421B"/>
    <w:rsid w:val="0980799C"/>
    <w:rsid w:val="09944B8E"/>
    <w:rsid w:val="0A6A18DB"/>
    <w:rsid w:val="0A975B48"/>
    <w:rsid w:val="0AEF3828"/>
    <w:rsid w:val="0AFB5144"/>
    <w:rsid w:val="0B406381"/>
    <w:rsid w:val="0BB452AA"/>
    <w:rsid w:val="0BBB665B"/>
    <w:rsid w:val="0C4429F1"/>
    <w:rsid w:val="0DD62FF4"/>
    <w:rsid w:val="0E9A6B23"/>
    <w:rsid w:val="0EEA6FC1"/>
    <w:rsid w:val="0F663B9D"/>
    <w:rsid w:val="0F790928"/>
    <w:rsid w:val="10CD72BB"/>
    <w:rsid w:val="12197477"/>
    <w:rsid w:val="12EF7D74"/>
    <w:rsid w:val="131B5CD3"/>
    <w:rsid w:val="13776448"/>
    <w:rsid w:val="1466407E"/>
    <w:rsid w:val="14834E28"/>
    <w:rsid w:val="148E7D65"/>
    <w:rsid w:val="15231BF9"/>
    <w:rsid w:val="15AA7DDD"/>
    <w:rsid w:val="15C4546D"/>
    <w:rsid w:val="15E52C78"/>
    <w:rsid w:val="16044950"/>
    <w:rsid w:val="163A2888"/>
    <w:rsid w:val="1A064976"/>
    <w:rsid w:val="1A3B68AA"/>
    <w:rsid w:val="1A3E1C1E"/>
    <w:rsid w:val="1B6F4F40"/>
    <w:rsid w:val="1C141836"/>
    <w:rsid w:val="1C76537D"/>
    <w:rsid w:val="1E6B6A14"/>
    <w:rsid w:val="1FE3647B"/>
    <w:rsid w:val="2001516D"/>
    <w:rsid w:val="201D417F"/>
    <w:rsid w:val="20550D9A"/>
    <w:rsid w:val="218E2416"/>
    <w:rsid w:val="226915FE"/>
    <w:rsid w:val="228C2C29"/>
    <w:rsid w:val="229273EC"/>
    <w:rsid w:val="236204AC"/>
    <w:rsid w:val="23BC656D"/>
    <w:rsid w:val="241804A5"/>
    <w:rsid w:val="24B97929"/>
    <w:rsid w:val="24D632D7"/>
    <w:rsid w:val="26583EBF"/>
    <w:rsid w:val="27D65DBA"/>
    <w:rsid w:val="285F40CA"/>
    <w:rsid w:val="289E1AF0"/>
    <w:rsid w:val="28C01ECB"/>
    <w:rsid w:val="295054F6"/>
    <w:rsid w:val="29BF71E3"/>
    <w:rsid w:val="29D6387F"/>
    <w:rsid w:val="2A127B63"/>
    <w:rsid w:val="2A451A6C"/>
    <w:rsid w:val="2AAA4765"/>
    <w:rsid w:val="2AC21606"/>
    <w:rsid w:val="2AD63D42"/>
    <w:rsid w:val="2B794137"/>
    <w:rsid w:val="2B7E7608"/>
    <w:rsid w:val="2B7F04E9"/>
    <w:rsid w:val="2B8B554A"/>
    <w:rsid w:val="2D496D68"/>
    <w:rsid w:val="2E7A48DE"/>
    <w:rsid w:val="2EBA5177"/>
    <w:rsid w:val="2EDC3ED8"/>
    <w:rsid w:val="2F104B00"/>
    <w:rsid w:val="2F6351B4"/>
    <w:rsid w:val="2FC86126"/>
    <w:rsid w:val="2FCF199E"/>
    <w:rsid w:val="30483E83"/>
    <w:rsid w:val="30BF3991"/>
    <w:rsid w:val="3111619A"/>
    <w:rsid w:val="319775DB"/>
    <w:rsid w:val="31B139DC"/>
    <w:rsid w:val="32497AF3"/>
    <w:rsid w:val="343C0775"/>
    <w:rsid w:val="356C50EC"/>
    <w:rsid w:val="36137E45"/>
    <w:rsid w:val="36376E0A"/>
    <w:rsid w:val="3700166C"/>
    <w:rsid w:val="379A1012"/>
    <w:rsid w:val="38694EE9"/>
    <w:rsid w:val="3A6818FA"/>
    <w:rsid w:val="3B365CC9"/>
    <w:rsid w:val="3B9A7B88"/>
    <w:rsid w:val="3D2C7AC8"/>
    <w:rsid w:val="3D855D12"/>
    <w:rsid w:val="3D8B42FF"/>
    <w:rsid w:val="3DE86C4C"/>
    <w:rsid w:val="3DF36A6E"/>
    <w:rsid w:val="3E3E5FBB"/>
    <w:rsid w:val="3E592F2B"/>
    <w:rsid w:val="3EBA1EE9"/>
    <w:rsid w:val="3F792F1E"/>
    <w:rsid w:val="40824826"/>
    <w:rsid w:val="40E63923"/>
    <w:rsid w:val="43495010"/>
    <w:rsid w:val="43A91E5B"/>
    <w:rsid w:val="449E0D39"/>
    <w:rsid w:val="459070D4"/>
    <w:rsid w:val="45E32B26"/>
    <w:rsid w:val="46007B61"/>
    <w:rsid w:val="463A3650"/>
    <w:rsid w:val="46461627"/>
    <w:rsid w:val="469F0116"/>
    <w:rsid w:val="46D27594"/>
    <w:rsid w:val="475259B7"/>
    <w:rsid w:val="488302AE"/>
    <w:rsid w:val="48831CF9"/>
    <w:rsid w:val="49024C9C"/>
    <w:rsid w:val="49B1408D"/>
    <w:rsid w:val="4A7D4C52"/>
    <w:rsid w:val="4A7D4FD2"/>
    <w:rsid w:val="4A913C9A"/>
    <w:rsid w:val="4AFA2747"/>
    <w:rsid w:val="4B1F70AC"/>
    <w:rsid w:val="4B240F94"/>
    <w:rsid w:val="4BD765E4"/>
    <w:rsid w:val="4C0832E5"/>
    <w:rsid w:val="4C3C565C"/>
    <w:rsid w:val="4C782631"/>
    <w:rsid w:val="4CCC79C7"/>
    <w:rsid w:val="4D3D322C"/>
    <w:rsid w:val="4D7555C7"/>
    <w:rsid w:val="4DD52FF7"/>
    <w:rsid w:val="4EAE6DA0"/>
    <w:rsid w:val="4FE617D9"/>
    <w:rsid w:val="5016514B"/>
    <w:rsid w:val="509E5922"/>
    <w:rsid w:val="50BD4DF3"/>
    <w:rsid w:val="50FC1A26"/>
    <w:rsid w:val="51723664"/>
    <w:rsid w:val="51CB1C78"/>
    <w:rsid w:val="51FD6A51"/>
    <w:rsid w:val="526B680A"/>
    <w:rsid w:val="52836F71"/>
    <w:rsid w:val="52A326D5"/>
    <w:rsid w:val="52B30743"/>
    <w:rsid w:val="52D26B02"/>
    <w:rsid w:val="541A5D30"/>
    <w:rsid w:val="54320932"/>
    <w:rsid w:val="557B651E"/>
    <w:rsid w:val="55C1559C"/>
    <w:rsid w:val="55F068CD"/>
    <w:rsid w:val="566C3136"/>
    <w:rsid w:val="568D04F2"/>
    <w:rsid w:val="56B86DA6"/>
    <w:rsid w:val="5A526582"/>
    <w:rsid w:val="5A5F5C77"/>
    <w:rsid w:val="5A711A0D"/>
    <w:rsid w:val="5B1613E4"/>
    <w:rsid w:val="5B78003B"/>
    <w:rsid w:val="5BC11A60"/>
    <w:rsid w:val="5C7A4D54"/>
    <w:rsid w:val="5CD23B73"/>
    <w:rsid w:val="5D132C52"/>
    <w:rsid w:val="5D815969"/>
    <w:rsid w:val="5F127819"/>
    <w:rsid w:val="60350ED3"/>
    <w:rsid w:val="60B72AEE"/>
    <w:rsid w:val="61025188"/>
    <w:rsid w:val="61057D5F"/>
    <w:rsid w:val="6126068F"/>
    <w:rsid w:val="614D4977"/>
    <w:rsid w:val="61FB0E26"/>
    <w:rsid w:val="62FD1A73"/>
    <w:rsid w:val="63C60FC0"/>
    <w:rsid w:val="64BA3D7A"/>
    <w:rsid w:val="64BC23C3"/>
    <w:rsid w:val="64F179BC"/>
    <w:rsid w:val="65533E29"/>
    <w:rsid w:val="665704D3"/>
    <w:rsid w:val="67C065A4"/>
    <w:rsid w:val="67D359C9"/>
    <w:rsid w:val="68042537"/>
    <w:rsid w:val="68FE36DD"/>
    <w:rsid w:val="694E60FC"/>
    <w:rsid w:val="6994390F"/>
    <w:rsid w:val="69CA1183"/>
    <w:rsid w:val="69E95A08"/>
    <w:rsid w:val="6A256904"/>
    <w:rsid w:val="6A49294B"/>
    <w:rsid w:val="6B656832"/>
    <w:rsid w:val="6C1D67AE"/>
    <w:rsid w:val="6C675CE6"/>
    <w:rsid w:val="6D4F4321"/>
    <w:rsid w:val="6DF41B82"/>
    <w:rsid w:val="6DFF7360"/>
    <w:rsid w:val="6E7A5F73"/>
    <w:rsid w:val="6E873A42"/>
    <w:rsid w:val="6EE90F9D"/>
    <w:rsid w:val="6FB878FD"/>
    <w:rsid w:val="6FD74228"/>
    <w:rsid w:val="7021106F"/>
    <w:rsid w:val="71633091"/>
    <w:rsid w:val="72997B5B"/>
    <w:rsid w:val="72E25DA2"/>
    <w:rsid w:val="73081CA5"/>
    <w:rsid w:val="74201F7D"/>
    <w:rsid w:val="7487762D"/>
    <w:rsid w:val="74C33AA4"/>
    <w:rsid w:val="75210D7A"/>
    <w:rsid w:val="75385498"/>
    <w:rsid w:val="75F37776"/>
    <w:rsid w:val="76BC207F"/>
    <w:rsid w:val="76EB4904"/>
    <w:rsid w:val="77645DCD"/>
    <w:rsid w:val="777378F5"/>
    <w:rsid w:val="777A2D3C"/>
    <w:rsid w:val="78474930"/>
    <w:rsid w:val="78AD22F7"/>
    <w:rsid w:val="79074B81"/>
    <w:rsid w:val="794F0939"/>
    <w:rsid w:val="79AF0FCA"/>
    <w:rsid w:val="7AF9279C"/>
    <w:rsid w:val="7CC51958"/>
    <w:rsid w:val="7CD53DF9"/>
    <w:rsid w:val="7D097C86"/>
    <w:rsid w:val="7E0C7AC0"/>
    <w:rsid w:val="7E2936C3"/>
    <w:rsid w:val="7E6411B9"/>
    <w:rsid w:val="7F3E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6"/>
    <w:autoRedefine/>
    <w:qFormat/>
    <w:uiPriority w:val="9"/>
    <w:pPr>
      <w:keepNext/>
      <w:keepLines/>
      <w:spacing w:before="340" w:after="330" w:line="578" w:lineRule="auto"/>
      <w:outlineLvl w:val="0"/>
    </w:pPr>
    <w:rPr>
      <w:b/>
      <w:bCs/>
      <w:kern w:val="44"/>
      <w:sz w:val="44"/>
      <w:szCs w:val="44"/>
    </w:rPr>
  </w:style>
  <w:style w:type="paragraph" w:styleId="2">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8"/>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3"/>
    <w:autoRedefine/>
    <w:qFormat/>
    <w:uiPriority w:val="0"/>
    <w:pPr>
      <w:keepNext/>
      <w:keepLines/>
      <w:spacing w:before="280" w:after="290" w:line="376" w:lineRule="auto"/>
      <w:outlineLvl w:val="3"/>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5"/>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autoRedefine/>
    <w:qFormat/>
    <w:uiPriority w:val="0"/>
    <w:pPr>
      <w:spacing w:after="12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35"/>
    <w:autoRedefine/>
    <w:qFormat/>
    <w:uiPriority w:val="99"/>
    <w:rPr>
      <w:rFonts w:ascii="宋体" w:hAnsi="Courier New" w:eastAsiaTheme="minorEastAsia" w:cstheme="minorBidi"/>
      <w:szCs w:val="22"/>
    </w:rPr>
  </w:style>
  <w:style w:type="paragraph" w:styleId="12">
    <w:name w:val="Date"/>
    <w:basedOn w:val="1"/>
    <w:next w:val="1"/>
    <w:link w:val="42"/>
    <w:autoRedefine/>
    <w:qFormat/>
    <w:uiPriority w:val="0"/>
    <w:rPr>
      <w:rFonts w:ascii="Arial" w:hAnsi="Arial" w:eastAsia="宋体" w:cs="Arial"/>
      <w:b/>
      <w:sz w:val="28"/>
    </w:rPr>
  </w:style>
  <w:style w:type="paragraph" w:styleId="13">
    <w:name w:val="Balloon Text"/>
    <w:basedOn w:val="1"/>
    <w:link w:val="29"/>
    <w:autoRedefine/>
    <w:semiHidden/>
    <w:unhideWhenUsed/>
    <w:qFormat/>
    <w:uiPriority w:val="99"/>
    <w:rPr>
      <w:sz w:val="18"/>
      <w:szCs w:val="18"/>
    </w:rPr>
  </w:style>
  <w:style w:type="paragraph" w:styleId="14">
    <w:name w:val="footer"/>
    <w:basedOn w:val="1"/>
    <w:link w:val="34"/>
    <w:autoRedefine/>
    <w:unhideWhenUsed/>
    <w:qFormat/>
    <w:uiPriority w:val="99"/>
    <w:pPr>
      <w:tabs>
        <w:tab w:val="center" w:pos="4153"/>
        <w:tab w:val="right" w:pos="8306"/>
      </w:tabs>
      <w:snapToGrid w:val="0"/>
      <w:jc w:val="left"/>
    </w:pPr>
    <w:rPr>
      <w:sz w:val="18"/>
      <w:szCs w:val="18"/>
    </w:rPr>
  </w:style>
  <w:style w:type="paragraph" w:styleId="15">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autoRedefine/>
    <w:qFormat/>
    <w:uiPriority w:val="0"/>
    <w:pPr>
      <w:spacing w:before="100" w:beforeAutospacing="1" w:after="100" w:afterAutospacing="1"/>
      <w:jc w:val="left"/>
    </w:pPr>
    <w:rPr>
      <w:rFonts w:cs="Times New Roman"/>
      <w:kern w:val="0"/>
      <w:sz w:val="24"/>
    </w:rPr>
  </w:style>
  <w:style w:type="paragraph" w:styleId="19">
    <w:name w:val="index 1"/>
    <w:basedOn w:val="1"/>
    <w:next w:val="1"/>
    <w:autoRedefine/>
    <w:qFormat/>
    <w:uiPriority w:val="0"/>
    <w:pPr>
      <w:jc w:val="center"/>
    </w:pPr>
    <w:rPr>
      <w:rFonts w:ascii="Arial" w:hAnsi="Arial" w:eastAsia="Arial" w:cs="Arial"/>
      <w:b/>
      <w:bCs/>
      <w:sz w:val="28"/>
    </w:rPr>
  </w:style>
  <w:style w:type="paragraph" w:styleId="20">
    <w:name w:val="annotation subject"/>
    <w:basedOn w:val="7"/>
    <w:next w:val="7"/>
    <w:link w:val="56"/>
    <w:autoRedefine/>
    <w:semiHidden/>
    <w:unhideWhenUsed/>
    <w:qFormat/>
    <w:uiPriority w:val="99"/>
    <w:rPr>
      <w:rFonts w:ascii="@仿宋_GB2312" w:hAnsi="@仿宋_GB2312" w:eastAsia="@仿宋_GB2312" w:cs="@仿宋_GB2312"/>
      <w:b/>
      <w:bCs/>
    </w:rPr>
  </w:style>
  <w:style w:type="paragraph" w:styleId="21">
    <w:name w:val="Body Text First Indent"/>
    <w:basedOn w:val="8"/>
    <w:autoRedefine/>
    <w:unhideWhenUsed/>
    <w:qFormat/>
    <w:uiPriority w:val="99"/>
    <w:pPr>
      <w:ind w:firstLine="420" w:firstLineChars="100"/>
    </w:pPr>
  </w:style>
  <w:style w:type="table" w:styleId="23">
    <w:name w:val="Table Grid"/>
    <w:basedOn w:val="22"/>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autoRedefine/>
    <w:qFormat/>
    <w:uiPriority w:val="0"/>
    <w:rPr>
      <w:b/>
      <w:bCs/>
    </w:rPr>
  </w:style>
  <w:style w:type="character" w:styleId="26">
    <w:name w:val="Emphasis"/>
    <w:basedOn w:val="24"/>
    <w:qFormat/>
    <w:uiPriority w:val="0"/>
    <w:rPr>
      <w:i/>
    </w:rPr>
  </w:style>
  <w:style w:type="character" w:styleId="27">
    <w:name w:val="Hyperlink"/>
    <w:basedOn w:val="24"/>
    <w:autoRedefine/>
    <w:unhideWhenUsed/>
    <w:qFormat/>
    <w:uiPriority w:val="99"/>
    <w:rPr>
      <w:color w:val="0000FF" w:themeColor="hyperlink"/>
      <w:u w:val="single"/>
      <w14:textFill>
        <w14:solidFill>
          <w14:schemeClr w14:val="hlink"/>
        </w14:solidFill>
      </w14:textFill>
    </w:rPr>
  </w:style>
  <w:style w:type="character" w:styleId="28">
    <w:name w:val="annotation reference"/>
    <w:basedOn w:val="24"/>
    <w:autoRedefine/>
    <w:semiHidden/>
    <w:unhideWhenUsed/>
    <w:qFormat/>
    <w:uiPriority w:val="99"/>
    <w:rPr>
      <w:sz w:val="21"/>
      <w:szCs w:val="21"/>
    </w:rPr>
  </w:style>
  <w:style w:type="character" w:customStyle="1" w:styleId="29">
    <w:name w:val="批注框文本 Char"/>
    <w:basedOn w:val="24"/>
    <w:link w:val="13"/>
    <w:autoRedefine/>
    <w:semiHidden/>
    <w:qFormat/>
    <w:uiPriority w:val="99"/>
    <w:rPr>
      <w:rFonts w:ascii="@仿宋_GB2312" w:hAnsi="@仿宋_GB2312" w:eastAsia="@仿宋_GB2312" w:cs="@仿宋_GB2312"/>
      <w:sz w:val="18"/>
      <w:szCs w:val="18"/>
    </w:rPr>
  </w:style>
  <w:style w:type="paragraph" w:customStyle="1" w:styleId="30">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2">
    <w:name w:val="D&amp;L"/>
    <w:basedOn w:val="1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3">
    <w:name w:val="页眉 Char"/>
    <w:basedOn w:val="24"/>
    <w:link w:val="15"/>
    <w:autoRedefine/>
    <w:qFormat/>
    <w:uiPriority w:val="99"/>
    <w:rPr>
      <w:rFonts w:ascii="@仿宋_GB2312" w:hAnsi="@仿宋_GB2312" w:eastAsia="@仿宋_GB2312" w:cs="@仿宋_GB2312"/>
      <w:sz w:val="18"/>
      <w:szCs w:val="18"/>
    </w:rPr>
  </w:style>
  <w:style w:type="character" w:customStyle="1" w:styleId="34">
    <w:name w:val="页脚 Char"/>
    <w:basedOn w:val="24"/>
    <w:link w:val="14"/>
    <w:autoRedefine/>
    <w:qFormat/>
    <w:uiPriority w:val="99"/>
    <w:rPr>
      <w:rFonts w:ascii="@仿宋_GB2312" w:hAnsi="@仿宋_GB2312" w:eastAsia="@仿宋_GB2312" w:cs="@仿宋_GB2312"/>
      <w:sz w:val="18"/>
      <w:szCs w:val="18"/>
    </w:rPr>
  </w:style>
  <w:style w:type="character" w:customStyle="1" w:styleId="35">
    <w:name w:val="纯文本 Char"/>
    <w:link w:val="11"/>
    <w:autoRedefine/>
    <w:qFormat/>
    <w:uiPriority w:val="0"/>
    <w:rPr>
      <w:rFonts w:ascii="宋体" w:hAnsi="Courier New"/>
    </w:rPr>
  </w:style>
  <w:style w:type="character" w:customStyle="1" w:styleId="36">
    <w:name w:val="纯文本 字符1"/>
    <w:basedOn w:val="24"/>
    <w:autoRedefine/>
    <w:semiHidden/>
    <w:qFormat/>
    <w:uiPriority w:val="99"/>
    <w:rPr>
      <w:rFonts w:hAnsi="Courier New" w:cs="Courier New" w:asciiTheme="minorEastAsia"/>
      <w:szCs w:val="20"/>
    </w:rPr>
  </w:style>
  <w:style w:type="character" w:customStyle="1" w:styleId="37">
    <w:name w:val="未处理的提及1"/>
    <w:basedOn w:val="24"/>
    <w:autoRedefine/>
    <w:semiHidden/>
    <w:unhideWhenUsed/>
    <w:qFormat/>
    <w:uiPriority w:val="99"/>
    <w:rPr>
      <w:color w:val="605E5C"/>
      <w:shd w:val="clear" w:color="auto" w:fill="E1DFDD"/>
    </w:rPr>
  </w:style>
  <w:style w:type="paragraph" w:styleId="38">
    <w:name w:val="List Paragraph"/>
    <w:basedOn w:val="1"/>
    <w:autoRedefine/>
    <w:qFormat/>
    <w:uiPriority w:val="34"/>
    <w:pPr>
      <w:ind w:firstLine="420" w:firstLineChars="200"/>
    </w:pPr>
  </w:style>
  <w:style w:type="paragraph" w:customStyle="1" w:styleId="39">
    <w:name w:val="Char Char Char Char Char Char Char1 Char"/>
    <w:basedOn w:val="1"/>
    <w:autoRedefine/>
    <w:qFormat/>
    <w:uiPriority w:val="0"/>
    <w:rPr>
      <w:rFonts w:ascii="Arial" w:hAnsi="Arial" w:eastAsia="宋体" w:cs="Arial"/>
      <w:sz w:val="24"/>
    </w:rPr>
  </w:style>
  <w:style w:type="table" w:customStyle="1" w:styleId="40">
    <w:name w:val="网格表 1 浅色1"/>
    <w:basedOn w:val="22"/>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1">
    <w:name w:val="日期 字符"/>
    <w:basedOn w:val="24"/>
    <w:autoRedefine/>
    <w:semiHidden/>
    <w:qFormat/>
    <w:uiPriority w:val="99"/>
    <w:rPr>
      <w:rFonts w:ascii="@仿宋_GB2312" w:hAnsi="@仿宋_GB2312" w:eastAsia="@仿宋_GB2312" w:cs="@仿宋_GB2312"/>
      <w:szCs w:val="20"/>
    </w:rPr>
  </w:style>
  <w:style w:type="character" w:customStyle="1" w:styleId="42">
    <w:name w:val="日期 Char"/>
    <w:link w:val="12"/>
    <w:autoRedefine/>
    <w:qFormat/>
    <w:uiPriority w:val="0"/>
    <w:rPr>
      <w:rFonts w:ascii="Arial" w:hAnsi="Arial" w:eastAsia="宋体" w:cs="Arial"/>
      <w:b/>
      <w:sz w:val="28"/>
      <w:szCs w:val="20"/>
    </w:rPr>
  </w:style>
  <w:style w:type="character" w:customStyle="1" w:styleId="43">
    <w:name w:val="纯文本 Char1"/>
    <w:autoRedefine/>
    <w:qFormat/>
    <w:locked/>
    <w:uiPriority w:val="99"/>
    <w:rPr>
      <w:rFonts w:ascii="Arial" w:hAnsi="Arial" w:eastAsia="Arial"/>
      <w:kern w:val="2"/>
      <w:sz w:val="21"/>
      <w:lang w:val="en-US" w:eastAsia="zh-CN" w:bidi="ar-SA"/>
    </w:rPr>
  </w:style>
  <w:style w:type="character" w:customStyle="1" w:styleId="44">
    <w:name w:val="批注文字 Char"/>
    <w:basedOn w:val="24"/>
    <w:autoRedefine/>
    <w:semiHidden/>
    <w:qFormat/>
    <w:uiPriority w:val="99"/>
    <w:rPr>
      <w:rFonts w:ascii="@仿宋_GB2312" w:hAnsi="@仿宋_GB2312" w:eastAsia="@仿宋_GB2312" w:cs="@仿宋_GB2312"/>
      <w:szCs w:val="20"/>
    </w:rPr>
  </w:style>
  <w:style w:type="character" w:customStyle="1" w:styleId="45">
    <w:name w:val="批注文字 Char1"/>
    <w:link w:val="7"/>
    <w:autoRedefine/>
    <w:qFormat/>
    <w:uiPriority w:val="0"/>
    <w:rPr>
      <w:rFonts w:ascii="Arial" w:hAnsi="Arial" w:eastAsia="黑体" w:cs="Arial"/>
      <w:szCs w:val="20"/>
    </w:rPr>
  </w:style>
  <w:style w:type="character" w:customStyle="1" w:styleId="46">
    <w:name w:val="标题 1 Char"/>
    <w:basedOn w:val="24"/>
    <w:link w:val="3"/>
    <w:autoRedefine/>
    <w:qFormat/>
    <w:uiPriority w:val="9"/>
    <w:rPr>
      <w:rFonts w:ascii="@仿宋_GB2312" w:hAnsi="@仿宋_GB2312" w:eastAsia="@仿宋_GB2312" w:cs="@仿宋_GB2312"/>
      <w:b/>
      <w:bCs/>
      <w:kern w:val="44"/>
      <w:sz w:val="44"/>
      <w:szCs w:val="44"/>
    </w:rPr>
  </w:style>
  <w:style w:type="paragraph" w:customStyle="1" w:styleId="47">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标题 3 Char"/>
    <w:basedOn w:val="24"/>
    <w:link w:val="4"/>
    <w:autoRedefine/>
    <w:semiHidden/>
    <w:qFormat/>
    <w:uiPriority w:val="9"/>
    <w:rPr>
      <w:rFonts w:ascii="@仿宋_GB2312" w:hAnsi="@仿宋_GB2312" w:eastAsia="@仿宋_GB2312" w:cs="@仿宋_GB2312"/>
      <w:b/>
      <w:bCs/>
      <w:sz w:val="32"/>
      <w:szCs w:val="32"/>
    </w:rPr>
  </w:style>
  <w:style w:type="character" w:customStyle="1" w:styleId="49">
    <w:name w:val="fontstyle01"/>
    <w:basedOn w:val="24"/>
    <w:autoRedefine/>
    <w:qFormat/>
    <w:uiPriority w:val="0"/>
    <w:rPr>
      <w:rFonts w:hint="eastAsia" w:ascii="宋体" w:hAnsi="宋体" w:eastAsia="宋体"/>
      <w:color w:val="000000"/>
      <w:sz w:val="22"/>
      <w:szCs w:val="22"/>
    </w:rPr>
  </w:style>
  <w:style w:type="character" w:customStyle="1" w:styleId="50">
    <w:name w:val="fontstyle21"/>
    <w:basedOn w:val="24"/>
    <w:autoRedefine/>
    <w:qFormat/>
    <w:uiPriority w:val="0"/>
    <w:rPr>
      <w:rFonts w:hint="default" w:ascii="TimesNewRomanPSMT" w:hAnsi="TimesNewRomanPSMT"/>
      <w:color w:val="000000"/>
      <w:sz w:val="22"/>
      <w:szCs w:val="22"/>
    </w:rPr>
  </w:style>
  <w:style w:type="character" w:customStyle="1" w:styleId="51">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2">
    <w:name w:val="标题 4 字符"/>
    <w:basedOn w:val="24"/>
    <w:autoRedefine/>
    <w:semiHidden/>
    <w:qFormat/>
    <w:uiPriority w:val="9"/>
    <w:rPr>
      <w:rFonts w:asciiTheme="majorHAnsi" w:hAnsiTheme="majorHAnsi" w:eastAsiaTheme="majorEastAsia" w:cstheme="majorBidi"/>
      <w:b/>
      <w:bCs/>
      <w:sz w:val="28"/>
      <w:szCs w:val="28"/>
    </w:rPr>
  </w:style>
  <w:style w:type="character" w:customStyle="1" w:styleId="53">
    <w:name w:val="标题 4 Char1"/>
    <w:link w:val="5"/>
    <w:autoRedefine/>
    <w:qFormat/>
    <w:uiPriority w:val="0"/>
    <w:rPr>
      <w:rFonts w:ascii="@仿宋_GB2312" w:hAnsi="@仿宋_GB2312" w:eastAsia="@仿宋_GB2312" w:cs="@仿宋_GB2312"/>
      <w:b/>
      <w:bCs/>
      <w:sz w:val="28"/>
      <w:szCs w:val="28"/>
    </w:rPr>
  </w:style>
  <w:style w:type="character" w:customStyle="1" w:styleId="54">
    <w:name w:val="标题 4 Char"/>
    <w:autoRedefine/>
    <w:qFormat/>
    <w:uiPriority w:val="0"/>
    <w:rPr>
      <w:rFonts w:ascii="Arial" w:hAnsi="Arial" w:eastAsia="Arial"/>
      <w:b/>
      <w:bCs/>
      <w:kern w:val="2"/>
      <w:sz w:val="28"/>
      <w:szCs w:val="28"/>
      <w:lang w:val="en-US" w:eastAsia="zh-CN" w:bidi="ar-SA"/>
    </w:rPr>
  </w:style>
  <w:style w:type="table" w:customStyle="1" w:styleId="55">
    <w:name w:val="网格型1"/>
    <w:basedOn w:val="2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6">
    <w:name w:val="批注主题 Char"/>
    <w:basedOn w:val="45"/>
    <w:link w:val="20"/>
    <w:autoRedefine/>
    <w:semiHidden/>
    <w:qFormat/>
    <w:uiPriority w:val="99"/>
    <w:rPr>
      <w:rFonts w:ascii="@仿宋_GB2312" w:hAnsi="@仿宋_GB2312" w:eastAsia="@仿宋_GB2312" w:cs="@仿宋_GB2312"/>
      <w:b/>
      <w:bCs/>
      <w:szCs w:val="20"/>
    </w:rPr>
  </w:style>
  <w:style w:type="table" w:customStyle="1" w:styleId="57">
    <w:name w:val="Table Normal"/>
    <w:autoRedefine/>
    <w:semiHidden/>
    <w:unhideWhenUsed/>
    <w:qFormat/>
    <w:uiPriority w:val="0"/>
    <w:tblPr>
      <w:tblCellMar>
        <w:top w:w="0" w:type="dxa"/>
        <w:left w:w="0" w:type="dxa"/>
        <w:bottom w:w="0" w:type="dxa"/>
        <w:right w:w="0" w:type="dxa"/>
      </w:tblCellMar>
    </w:tblPr>
  </w:style>
  <w:style w:type="paragraph" w:customStyle="1" w:styleId="58">
    <w:name w:val="Table Text"/>
    <w:basedOn w:val="1"/>
    <w:autoRedefine/>
    <w:semiHidden/>
    <w:qFormat/>
    <w:uiPriority w:val="0"/>
    <w:rPr>
      <w:rFonts w:ascii="Arial" w:hAnsi="Arial" w:eastAsia="Arial" w:cs="Arial"/>
      <w:sz w:val="21"/>
      <w:szCs w:val="21"/>
      <w:lang w:val="en-US" w:eastAsia="en-US" w:bidi="ar-SA"/>
    </w:rPr>
  </w:style>
  <w:style w:type="paragraph" w:customStyle="1" w:styleId="5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0">
    <w:name w:val="列出段落1"/>
    <w:basedOn w:val="1"/>
    <w:autoRedefine/>
    <w:qFormat/>
    <w:uiPriority w:val="0"/>
    <w:pPr>
      <w:ind w:firstLine="420" w:firstLineChars="200"/>
    </w:pPr>
    <w:rPr>
      <w:szCs w:val="21"/>
    </w:rPr>
  </w:style>
  <w:style w:type="paragraph" w:customStyle="1" w:styleId="61">
    <w:name w:val="正文格式"/>
    <w:basedOn w:val="1"/>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62">
    <w:name w:val="p0"/>
    <w:basedOn w:val="1"/>
    <w:qFormat/>
    <w:uiPriority w:val="0"/>
    <w:pPr>
      <w:widowControl/>
    </w:pPr>
    <w:rPr>
      <w:rFonts w:ascii="Times New Roman" w:hAnsi="Times New Roman"/>
      <w:kern w:val="0"/>
      <w:szCs w:val="21"/>
    </w:rPr>
  </w:style>
  <w:style w:type="character" w:customStyle="1" w:styleId="63">
    <w:name w:val="NormalCharacter"/>
    <w:semiHidden/>
    <w:qFormat/>
    <w:uiPriority w:val="0"/>
  </w:style>
  <w:style w:type="paragraph" w:customStyle="1" w:styleId="64">
    <w:name w:val="列表段落1"/>
    <w:basedOn w:val="1"/>
    <w:qFormat/>
    <w:uiPriority w:val="34"/>
    <w:pPr>
      <w:ind w:firstLine="420" w:firstLineChars="200"/>
    </w:pPr>
  </w:style>
  <w:style w:type="character" w:customStyle="1" w:styleId="65">
    <w:name w:val="标题 2 Char Char"/>
    <w:qFormat/>
    <w:uiPriority w:val="0"/>
    <w:rPr>
      <w:rFonts w:ascii="Arial" w:hAnsi="Arial" w:eastAsia="黑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67</Pages>
  <Words>3374</Words>
  <Characters>3824</Characters>
  <Lines>244</Lines>
  <Paragraphs>68</Paragraphs>
  <TotalTime>13</TotalTime>
  <ScaleCrop>false</ScaleCrop>
  <LinksUpToDate>false</LinksUpToDate>
  <CharactersWithSpaces>4134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贾先生</cp:lastModifiedBy>
  <cp:lastPrinted>2019-12-07T15:18:00Z</cp:lastPrinted>
  <dcterms:modified xsi:type="dcterms:W3CDTF">2026-08-28T07:30:19Z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1ECEA165F94845FFAF35C1C96E4FB9B0_12</vt:lpwstr>
  </property>
  <property fmtid="{D5CDD505-2E9C-101B-9397-08002B2CF9AE}" pid="4" name="KSOTemplateDocerSaveRecord">
    <vt:lpwstr>eyJoZGlkIjoiZGM2NDk5OGFiYzg4ZTEzM2NiYjUxZTQ1OTBjMWNmM2MiLCJ1c2VySWQiOiI0OTcwNTQxMDcifQ==</vt:lpwstr>
  </property>
</Properties>
</file>