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287B7F">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92" w:name="_GoBack"/>
      <w:r>
        <w:rPr>
          <w:rFonts w:hint="eastAsia" w:ascii="宋体" w:hAnsi="宋体" w:eastAsia="宋体"/>
          <w:b/>
          <w:bCs/>
          <w:color w:val="auto"/>
          <w:sz w:val="52"/>
          <w:szCs w:val="52"/>
          <w:highlight w:val="none"/>
          <w:lang w:val="en-US" w:eastAsia="zh-CN"/>
        </w:rPr>
        <w:t xml:space="preserve"> </w:t>
      </w:r>
    </w:p>
    <w:p w14:paraId="28208C84">
      <w:pPr>
        <w:keepNext w:val="0"/>
        <w:keepLines w:val="0"/>
        <w:pageBreakBefore w:val="0"/>
        <w:widowControl w:val="0"/>
        <w:tabs>
          <w:tab w:val="left" w:pos="315"/>
          <w:tab w:val="left" w:pos="8820"/>
        </w:tabs>
        <w:kinsoku/>
        <w:wordWrap/>
        <w:overflowPunct/>
        <w:topLinePunct w:val="0"/>
        <w:autoSpaceDE/>
        <w:autoSpaceDN/>
        <w:bidi w:val="0"/>
        <w:adjustRightInd/>
        <w:snapToGrid/>
        <w:spacing w:before="312" w:beforeLines="100" w:after="156" w:afterLines="50" w:line="360" w:lineRule="auto"/>
        <w:ind w:right="267" w:rightChars="127"/>
        <w:jc w:val="center"/>
        <w:textAlignment w:val="auto"/>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宿州市立医院经颅磁刺激治疗仪采购项目</w:t>
      </w:r>
    </w:p>
    <w:p w14:paraId="20B9F3B4">
      <w:pPr>
        <w:keepNext w:val="0"/>
        <w:keepLines w:val="0"/>
        <w:pageBreakBefore w:val="0"/>
        <w:widowControl w:val="0"/>
        <w:tabs>
          <w:tab w:val="left" w:pos="315"/>
          <w:tab w:val="left" w:pos="8820"/>
        </w:tabs>
        <w:kinsoku/>
        <w:wordWrap/>
        <w:overflowPunct/>
        <w:topLinePunct w:val="0"/>
        <w:autoSpaceDE/>
        <w:autoSpaceDN/>
        <w:bidi w:val="0"/>
        <w:adjustRightInd/>
        <w:snapToGrid/>
        <w:spacing w:before="312" w:beforeLines="100" w:after="156" w:afterLines="50" w:line="360" w:lineRule="auto"/>
        <w:ind w:right="267" w:rightChars="127"/>
        <w:jc w:val="center"/>
        <w:textAlignment w:val="auto"/>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w:t>
      </w:r>
      <w:bookmarkEnd w:id="0"/>
    </w:p>
    <w:p w14:paraId="27483BD5">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A6A03D6">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4B01004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6A1633E1">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71E930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6326335A">
      <w:pPr>
        <w:tabs>
          <w:tab w:val="left" w:pos="2410"/>
        </w:tabs>
        <w:autoSpaceDE w:val="0"/>
        <w:autoSpaceDN w:val="0"/>
        <w:adjustRightInd w:val="0"/>
        <w:snapToGrid w:val="0"/>
        <w:spacing w:line="360" w:lineRule="auto"/>
        <w:rPr>
          <w:rFonts w:hint="default" w:ascii="宋体" w:hAnsi="宋体" w:eastAsia="宋体"/>
          <w:b/>
          <w:color w:val="auto"/>
          <w:spacing w:val="20"/>
          <w:kern w:val="0"/>
          <w:sz w:val="28"/>
          <w:szCs w:val="28"/>
          <w:highlight w:val="none"/>
          <w:lang w:val="en-US" w:eastAsia="zh-CN"/>
        </w:rPr>
      </w:pPr>
      <w:r>
        <w:rPr>
          <w:rFonts w:hint="eastAsia" w:ascii="宋体" w:hAnsi="宋体" w:eastAsia="宋体"/>
          <w:b/>
          <w:color w:val="auto"/>
          <w:spacing w:val="20"/>
          <w:kern w:val="0"/>
          <w:sz w:val="28"/>
          <w:szCs w:val="28"/>
          <w:highlight w:val="none"/>
        </w:rPr>
        <w:t>项目名称：</w:t>
      </w:r>
      <w:r>
        <w:rPr>
          <w:rFonts w:hint="eastAsia" w:ascii="宋体" w:hAnsi="宋体" w:eastAsia="宋体"/>
          <w:b/>
          <w:color w:val="auto"/>
          <w:spacing w:val="20"/>
          <w:kern w:val="0"/>
          <w:sz w:val="28"/>
          <w:szCs w:val="28"/>
          <w:highlight w:val="none"/>
          <w:u w:val="single"/>
          <w:lang w:val="en-US" w:eastAsia="zh-CN"/>
        </w:rPr>
        <w:t xml:space="preserve">宿州市立医院经颅磁刺激治疗仪采购项目  </w:t>
      </w:r>
    </w:p>
    <w:p w14:paraId="3295737D">
      <w:pPr>
        <w:tabs>
          <w:tab w:val="left" w:pos="2410"/>
        </w:tabs>
        <w:autoSpaceDE w:val="0"/>
        <w:autoSpaceDN w:val="0"/>
        <w:adjustRightInd w:val="0"/>
        <w:snapToGrid w:val="0"/>
        <w:spacing w:line="360" w:lineRule="auto"/>
        <w:rPr>
          <w:rFonts w:ascii="宋体" w:hAnsi="宋体" w:eastAsia="宋体"/>
          <w:b/>
          <w:color w:val="auto"/>
          <w:spacing w:val="20"/>
          <w:kern w:val="0"/>
          <w:sz w:val="28"/>
          <w:szCs w:val="28"/>
          <w:highlight w:val="none"/>
        </w:rPr>
      </w:pPr>
      <w:r>
        <w:rPr>
          <w:rFonts w:hint="eastAsia" w:ascii="宋体" w:hAnsi="宋体" w:eastAsia="宋体"/>
          <w:b/>
          <w:color w:val="auto"/>
          <w:spacing w:val="20"/>
          <w:kern w:val="0"/>
          <w:sz w:val="28"/>
          <w:szCs w:val="28"/>
          <w:highlight w:val="none"/>
        </w:rPr>
        <w:t>项目编号：</w:t>
      </w:r>
      <w:r>
        <w:rPr>
          <w:rFonts w:hint="eastAsia" w:ascii="宋体" w:hAnsi="宋体" w:eastAsia="宋体"/>
          <w:b/>
          <w:color w:val="auto"/>
          <w:spacing w:val="20"/>
          <w:kern w:val="0"/>
          <w:sz w:val="28"/>
          <w:szCs w:val="28"/>
          <w:highlight w:val="none"/>
          <w:u w:val="single"/>
          <w:lang w:val="en-US" w:eastAsia="zh-CN"/>
        </w:rPr>
        <w:t xml:space="preserve"> ******** </w:t>
      </w:r>
    </w:p>
    <w:p w14:paraId="348D8AEC">
      <w:pPr>
        <w:tabs>
          <w:tab w:val="left" w:pos="2410"/>
        </w:tabs>
        <w:autoSpaceDE w:val="0"/>
        <w:autoSpaceDN w:val="0"/>
        <w:adjustRightInd w:val="0"/>
        <w:snapToGrid w:val="0"/>
        <w:spacing w:line="360" w:lineRule="auto"/>
        <w:rPr>
          <w:rFonts w:ascii="宋体" w:hAnsi="宋体" w:eastAsia="宋体"/>
          <w:b/>
          <w:color w:val="auto"/>
          <w:spacing w:val="20"/>
          <w:kern w:val="0"/>
          <w:sz w:val="28"/>
          <w:szCs w:val="28"/>
          <w:highlight w:val="none"/>
        </w:rPr>
      </w:pPr>
      <w:r>
        <w:rPr>
          <w:rFonts w:hint="eastAsia" w:ascii="宋体" w:hAnsi="宋体" w:eastAsia="宋体"/>
          <w:b/>
          <w:color w:val="auto"/>
          <w:spacing w:val="20"/>
          <w:kern w:val="0"/>
          <w:sz w:val="28"/>
          <w:szCs w:val="28"/>
          <w:highlight w:val="none"/>
        </w:rPr>
        <w:t>采 购 人：</w:t>
      </w:r>
      <w:r>
        <w:rPr>
          <w:rFonts w:hint="eastAsia" w:ascii="宋体" w:hAnsi="宋体" w:eastAsia="宋体"/>
          <w:b/>
          <w:color w:val="auto"/>
          <w:spacing w:val="20"/>
          <w:kern w:val="0"/>
          <w:sz w:val="28"/>
          <w:szCs w:val="28"/>
          <w:highlight w:val="none"/>
          <w:u w:val="single"/>
          <w:lang w:val="en-US" w:eastAsia="zh-CN"/>
        </w:rPr>
        <w:t xml:space="preserve"> 安徽省宿州市立医院 </w:t>
      </w:r>
    </w:p>
    <w:p w14:paraId="1CCBBF19">
      <w:pPr>
        <w:tabs>
          <w:tab w:val="left" w:pos="2410"/>
        </w:tabs>
        <w:autoSpaceDE w:val="0"/>
        <w:autoSpaceDN w:val="0"/>
        <w:adjustRightInd w:val="0"/>
        <w:snapToGrid w:val="0"/>
        <w:spacing w:line="360" w:lineRule="auto"/>
        <w:rPr>
          <w:rFonts w:hint="default" w:ascii="宋体" w:hAnsi="宋体" w:eastAsia="宋体"/>
          <w:b/>
          <w:color w:val="auto"/>
          <w:spacing w:val="20"/>
          <w:kern w:val="0"/>
          <w:sz w:val="28"/>
          <w:szCs w:val="28"/>
          <w:highlight w:val="none"/>
          <w:lang w:val="en-US"/>
        </w:rPr>
      </w:pPr>
      <w:r>
        <w:rPr>
          <w:rFonts w:hint="eastAsia" w:ascii="宋体" w:hAnsi="宋体" w:eastAsia="宋体"/>
          <w:b/>
          <w:color w:val="auto"/>
          <w:spacing w:val="20"/>
          <w:kern w:val="0"/>
          <w:sz w:val="28"/>
          <w:szCs w:val="28"/>
          <w:highlight w:val="none"/>
        </w:rPr>
        <w:t>采购代理机构：</w:t>
      </w:r>
      <w:r>
        <w:rPr>
          <w:rFonts w:hint="eastAsia" w:ascii="宋体" w:hAnsi="宋体" w:eastAsia="宋体"/>
          <w:b/>
          <w:color w:val="auto"/>
          <w:spacing w:val="20"/>
          <w:kern w:val="0"/>
          <w:sz w:val="28"/>
          <w:szCs w:val="28"/>
          <w:highlight w:val="none"/>
          <w:u w:val="single"/>
          <w:lang w:val="en-US" w:eastAsia="zh-CN"/>
        </w:rPr>
        <w:t xml:space="preserve"> 安徽中技工程咨询有限公司 </w:t>
      </w:r>
    </w:p>
    <w:p w14:paraId="5681EA1F">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65BFF3AC">
      <w:pPr>
        <w:tabs>
          <w:tab w:val="left" w:pos="2410"/>
        </w:tabs>
        <w:autoSpaceDE w:val="0"/>
        <w:autoSpaceDN w:val="0"/>
        <w:adjustRightInd w:val="0"/>
        <w:snapToGrid w:val="0"/>
        <w:spacing w:line="360" w:lineRule="auto"/>
        <w:jc w:val="center"/>
        <w:rPr>
          <w:rFonts w:hint="eastAsia" w:ascii="宋体" w:hAnsi="宋体" w:eastAsia="宋体"/>
          <w:b/>
          <w:color w:val="auto"/>
          <w:sz w:val="32"/>
          <w:szCs w:val="18"/>
          <w:highlight w:val="none"/>
        </w:rPr>
      </w:pPr>
      <w:r>
        <w:rPr>
          <w:rFonts w:hint="eastAsia" w:ascii="宋体" w:hAnsi="宋体" w:eastAsia="宋体"/>
          <w:b/>
          <w:color w:val="auto"/>
          <w:sz w:val="32"/>
          <w:szCs w:val="18"/>
          <w:highlight w:val="none"/>
          <w:u w:val="single"/>
        </w:rPr>
        <w:t xml:space="preserve"> </w:t>
      </w:r>
      <w:r>
        <w:rPr>
          <w:rFonts w:hint="eastAsia" w:ascii="宋体" w:hAnsi="宋体" w:eastAsia="宋体"/>
          <w:b/>
          <w:color w:val="auto"/>
          <w:sz w:val="32"/>
          <w:szCs w:val="18"/>
          <w:highlight w:val="none"/>
          <w:u w:val="single"/>
          <w:lang w:val="en-US" w:eastAsia="zh-CN"/>
        </w:rPr>
        <w:t>2026</w:t>
      </w:r>
      <w:r>
        <w:rPr>
          <w:rFonts w:hint="eastAsia" w:ascii="宋体" w:hAnsi="宋体" w:eastAsia="宋体"/>
          <w:b/>
          <w:color w:val="auto"/>
          <w:sz w:val="32"/>
          <w:szCs w:val="18"/>
          <w:highlight w:val="none"/>
          <w:u w:val="single"/>
        </w:rPr>
        <w:t xml:space="preserve"> </w:t>
      </w:r>
      <w:r>
        <w:rPr>
          <w:rFonts w:hint="eastAsia" w:ascii="宋体" w:hAnsi="宋体" w:eastAsia="宋体"/>
          <w:b/>
          <w:color w:val="auto"/>
          <w:sz w:val="32"/>
          <w:szCs w:val="18"/>
          <w:highlight w:val="none"/>
        </w:rPr>
        <w:t>年</w:t>
      </w:r>
      <w:r>
        <w:rPr>
          <w:rFonts w:hint="eastAsia" w:ascii="宋体" w:hAnsi="宋体" w:eastAsia="宋体"/>
          <w:b/>
          <w:color w:val="auto"/>
          <w:sz w:val="32"/>
          <w:szCs w:val="18"/>
          <w:highlight w:val="none"/>
          <w:u w:val="single"/>
        </w:rPr>
        <w:t xml:space="preserve"> </w:t>
      </w:r>
      <w:r>
        <w:rPr>
          <w:rFonts w:hint="eastAsia" w:ascii="宋体" w:hAnsi="宋体" w:eastAsia="宋体"/>
          <w:b/>
          <w:color w:val="auto"/>
          <w:sz w:val="32"/>
          <w:szCs w:val="18"/>
          <w:highlight w:val="none"/>
          <w:u w:val="single"/>
          <w:lang w:val="en-US" w:eastAsia="zh-CN"/>
        </w:rPr>
        <w:t xml:space="preserve">08 </w:t>
      </w:r>
      <w:r>
        <w:rPr>
          <w:rFonts w:hint="eastAsia" w:ascii="宋体" w:hAnsi="宋体" w:eastAsia="宋体"/>
          <w:b/>
          <w:color w:val="auto"/>
          <w:sz w:val="32"/>
          <w:szCs w:val="18"/>
          <w:highlight w:val="none"/>
        </w:rPr>
        <w:t>月</w:t>
      </w:r>
    </w:p>
    <w:p w14:paraId="33E1F0EF">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ascii="宋体" w:hAnsi="宋体" w:eastAsia="宋体"/>
          <w:b/>
          <w:color w:val="auto"/>
          <w:sz w:val="36"/>
          <w:highlight w:val="none"/>
        </w:rPr>
        <w:br w:type="page"/>
      </w:r>
    </w:p>
    <w:p w14:paraId="61384983">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6908259D">
      <w:pPr>
        <w:pStyle w:val="16"/>
        <w:tabs>
          <w:tab w:val="right" w:leader="dot" w:pos="8306"/>
        </w:tabs>
        <w:rPr>
          <w:color w:val="auto"/>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_Toc23443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 xml:space="preserve">第一章 </w:t>
      </w:r>
      <w:r>
        <w:rPr>
          <w:rFonts w:asciiTheme="minorEastAsia" w:hAnsiTheme="minorEastAsia" w:eastAsiaTheme="minorEastAsia"/>
          <w:color w:val="auto"/>
          <w:highlight w:val="none"/>
        </w:rPr>
        <w:t xml:space="preserve"> 投标邀请</w:t>
      </w:r>
      <w:r>
        <w:rPr>
          <w:color w:val="auto"/>
          <w:highlight w:val="none"/>
        </w:rPr>
        <w:tab/>
      </w:r>
      <w:r>
        <w:rPr>
          <w:color w:val="auto"/>
          <w:highlight w:val="none"/>
        </w:rPr>
        <w:fldChar w:fldCharType="begin"/>
      </w:r>
      <w:r>
        <w:rPr>
          <w:color w:val="auto"/>
          <w:highlight w:val="none"/>
        </w:rPr>
        <w:instrText xml:space="preserve"> PAGEREF _Toc23443 \h </w:instrText>
      </w:r>
      <w:r>
        <w:rPr>
          <w:color w:val="auto"/>
          <w:highlight w:val="none"/>
        </w:rPr>
        <w:fldChar w:fldCharType="separate"/>
      </w:r>
      <w:r>
        <w:rPr>
          <w:color w:val="auto"/>
          <w:highlight w:val="none"/>
        </w:rPr>
        <w:t>3</w:t>
      </w:r>
      <w:r>
        <w:rPr>
          <w:color w:val="auto"/>
          <w:highlight w:val="none"/>
        </w:rPr>
        <w:fldChar w:fldCharType="end"/>
      </w:r>
      <w:r>
        <w:rPr>
          <w:rFonts w:asciiTheme="minorEastAsia" w:hAnsiTheme="minorEastAsia" w:eastAsiaTheme="minorEastAsia"/>
          <w:color w:val="auto"/>
          <w:szCs w:val="24"/>
          <w:highlight w:val="none"/>
        </w:rPr>
        <w:fldChar w:fldCharType="end"/>
      </w:r>
    </w:p>
    <w:p w14:paraId="38C6091F">
      <w:pPr>
        <w:pStyle w:val="16"/>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_Toc31935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第二章</w:t>
      </w:r>
      <w:r>
        <w:rPr>
          <w:rFonts w:asciiTheme="minorEastAsia" w:hAnsiTheme="minorEastAsia" w:eastAsiaTheme="minorEastAsia"/>
          <w:color w:val="auto"/>
          <w:highlight w:val="none"/>
        </w:rPr>
        <w:t xml:space="preserve"> </w:t>
      </w:r>
      <w:r>
        <w:rPr>
          <w:rFonts w:hint="eastAsia" w:asciiTheme="minorEastAsia" w:hAnsiTheme="minorEastAsia" w:eastAsiaTheme="minorEastAsia"/>
          <w:color w:val="auto"/>
          <w:highlight w:val="none"/>
        </w:rPr>
        <w:t xml:space="preserve"> </w:t>
      </w:r>
      <w:r>
        <w:rPr>
          <w:rFonts w:asciiTheme="minorEastAsia" w:hAnsiTheme="minorEastAsia" w:eastAsiaTheme="minorEastAsia"/>
          <w:color w:val="auto"/>
          <w:highlight w:val="none"/>
        </w:rPr>
        <w:t>投标人须知</w:t>
      </w:r>
      <w:r>
        <w:rPr>
          <w:color w:val="auto"/>
          <w:highlight w:val="none"/>
        </w:rPr>
        <w:tab/>
      </w:r>
      <w:r>
        <w:rPr>
          <w:color w:val="auto"/>
          <w:highlight w:val="none"/>
        </w:rPr>
        <w:fldChar w:fldCharType="begin"/>
      </w:r>
      <w:r>
        <w:rPr>
          <w:color w:val="auto"/>
          <w:highlight w:val="none"/>
        </w:rPr>
        <w:instrText xml:space="preserve"> PAGEREF _Toc31935 \h </w:instrText>
      </w:r>
      <w:r>
        <w:rPr>
          <w:color w:val="auto"/>
          <w:highlight w:val="none"/>
        </w:rPr>
        <w:fldChar w:fldCharType="separate"/>
      </w:r>
      <w:r>
        <w:rPr>
          <w:color w:val="auto"/>
          <w:highlight w:val="none"/>
        </w:rPr>
        <w:t>6</w:t>
      </w:r>
      <w:r>
        <w:rPr>
          <w:color w:val="auto"/>
          <w:highlight w:val="none"/>
        </w:rPr>
        <w:fldChar w:fldCharType="end"/>
      </w:r>
      <w:r>
        <w:rPr>
          <w:rFonts w:asciiTheme="minorEastAsia" w:hAnsiTheme="minorEastAsia" w:eastAsiaTheme="minorEastAsia"/>
          <w:color w:val="auto"/>
          <w:szCs w:val="24"/>
          <w:highlight w:val="none"/>
        </w:rPr>
        <w:fldChar w:fldCharType="end"/>
      </w:r>
    </w:p>
    <w:p w14:paraId="540DF2B9">
      <w:pPr>
        <w:pStyle w:val="16"/>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_Toc10891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第三章  采购需求</w:t>
      </w:r>
      <w:r>
        <w:rPr>
          <w:color w:val="auto"/>
          <w:highlight w:val="none"/>
        </w:rPr>
        <w:tab/>
      </w:r>
      <w:r>
        <w:rPr>
          <w:color w:val="auto"/>
          <w:highlight w:val="none"/>
        </w:rPr>
        <w:fldChar w:fldCharType="begin"/>
      </w:r>
      <w:r>
        <w:rPr>
          <w:color w:val="auto"/>
          <w:highlight w:val="none"/>
        </w:rPr>
        <w:instrText xml:space="preserve"> PAGEREF _Toc10891 \h </w:instrText>
      </w:r>
      <w:r>
        <w:rPr>
          <w:color w:val="auto"/>
          <w:highlight w:val="none"/>
        </w:rPr>
        <w:fldChar w:fldCharType="separate"/>
      </w:r>
      <w:r>
        <w:rPr>
          <w:color w:val="auto"/>
          <w:highlight w:val="none"/>
        </w:rPr>
        <w:t>21</w:t>
      </w:r>
      <w:r>
        <w:rPr>
          <w:color w:val="auto"/>
          <w:highlight w:val="none"/>
        </w:rPr>
        <w:fldChar w:fldCharType="end"/>
      </w:r>
      <w:r>
        <w:rPr>
          <w:rFonts w:asciiTheme="minorEastAsia" w:hAnsiTheme="minorEastAsia" w:eastAsiaTheme="minorEastAsia"/>
          <w:color w:val="auto"/>
          <w:szCs w:val="24"/>
          <w:highlight w:val="none"/>
        </w:rPr>
        <w:fldChar w:fldCharType="end"/>
      </w:r>
    </w:p>
    <w:p w14:paraId="2309FF48">
      <w:pPr>
        <w:pStyle w:val="16"/>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_Toc16417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第四章  评标方法和标准（综合评分法）</w:t>
      </w:r>
      <w:r>
        <w:rPr>
          <w:color w:val="auto"/>
          <w:highlight w:val="none"/>
        </w:rPr>
        <w:tab/>
      </w:r>
      <w:r>
        <w:rPr>
          <w:color w:val="auto"/>
          <w:highlight w:val="none"/>
        </w:rPr>
        <w:fldChar w:fldCharType="begin"/>
      </w:r>
      <w:r>
        <w:rPr>
          <w:color w:val="auto"/>
          <w:highlight w:val="none"/>
        </w:rPr>
        <w:instrText xml:space="preserve"> PAGEREF _Toc16417 \h </w:instrText>
      </w:r>
      <w:r>
        <w:rPr>
          <w:color w:val="auto"/>
          <w:highlight w:val="none"/>
        </w:rPr>
        <w:fldChar w:fldCharType="separate"/>
      </w:r>
      <w:r>
        <w:rPr>
          <w:color w:val="auto"/>
          <w:highlight w:val="none"/>
        </w:rPr>
        <w:t>27</w:t>
      </w:r>
      <w:r>
        <w:rPr>
          <w:color w:val="auto"/>
          <w:highlight w:val="none"/>
        </w:rPr>
        <w:fldChar w:fldCharType="end"/>
      </w:r>
      <w:r>
        <w:rPr>
          <w:rFonts w:asciiTheme="minorEastAsia" w:hAnsiTheme="minorEastAsia" w:eastAsiaTheme="minorEastAsia"/>
          <w:color w:val="auto"/>
          <w:szCs w:val="24"/>
          <w:highlight w:val="none"/>
        </w:rPr>
        <w:fldChar w:fldCharType="end"/>
      </w:r>
    </w:p>
    <w:p w14:paraId="59DCF857">
      <w:pPr>
        <w:pStyle w:val="16"/>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_Toc4682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 xml:space="preserve">第五章  </w:t>
      </w:r>
      <w:r>
        <w:rPr>
          <w:rFonts w:asciiTheme="minorEastAsia" w:hAnsiTheme="minorEastAsia" w:eastAsiaTheme="minorEastAsia"/>
          <w:color w:val="auto"/>
          <w:highlight w:val="none"/>
        </w:rPr>
        <w:t>采购合同</w:t>
      </w:r>
      <w:r>
        <w:rPr>
          <w:color w:val="auto"/>
          <w:highlight w:val="none"/>
        </w:rPr>
        <w:tab/>
      </w:r>
      <w:r>
        <w:rPr>
          <w:color w:val="auto"/>
          <w:highlight w:val="none"/>
        </w:rPr>
        <w:fldChar w:fldCharType="begin"/>
      </w:r>
      <w:r>
        <w:rPr>
          <w:color w:val="auto"/>
          <w:highlight w:val="none"/>
        </w:rPr>
        <w:instrText xml:space="preserve"> PAGEREF _Toc4682 \h </w:instrText>
      </w:r>
      <w:r>
        <w:rPr>
          <w:color w:val="auto"/>
          <w:highlight w:val="none"/>
        </w:rPr>
        <w:fldChar w:fldCharType="separate"/>
      </w:r>
      <w:r>
        <w:rPr>
          <w:color w:val="auto"/>
          <w:highlight w:val="none"/>
        </w:rPr>
        <w:t>34</w:t>
      </w:r>
      <w:r>
        <w:rPr>
          <w:color w:val="auto"/>
          <w:highlight w:val="none"/>
        </w:rPr>
        <w:fldChar w:fldCharType="end"/>
      </w:r>
      <w:r>
        <w:rPr>
          <w:rFonts w:asciiTheme="minorEastAsia" w:hAnsiTheme="minorEastAsia" w:eastAsiaTheme="minorEastAsia"/>
          <w:color w:val="auto"/>
          <w:szCs w:val="24"/>
          <w:highlight w:val="none"/>
        </w:rPr>
        <w:fldChar w:fldCharType="end"/>
      </w:r>
    </w:p>
    <w:p w14:paraId="3A96B3E5">
      <w:pPr>
        <w:pStyle w:val="16"/>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_Toc22492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_Toc22492 \h </w:instrText>
      </w:r>
      <w:r>
        <w:rPr>
          <w:color w:val="auto"/>
          <w:highlight w:val="none"/>
        </w:rPr>
        <w:fldChar w:fldCharType="separate"/>
      </w:r>
      <w:r>
        <w:rPr>
          <w:color w:val="auto"/>
          <w:highlight w:val="none"/>
        </w:rPr>
        <w:t>53</w:t>
      </w:r>
      <w:r>
        <w:rPr>
          <w:color w:val="auto"/>
          <w:highlight w:val="none"/>
        </w:rPr>
        <w:fldChar w:fldCharType="end"/>
      </w:r>
      <w:r>
        <w:rPr>
          <w:rFonts w:asciiTheme="minorEastAsia" w:hAnsiTheme="minorEastAsia" w:eastAsiaTheme="minorEastAsia"/>
          <w:color w:val="auto"/>
          <w:szCs w:val="24"/>
          <w:highlight w:val="none"/>
        </w:rPr>
        <w:fldChar w:fldCharType="end"/>
      </w:r>
    </w:p>
    <w:p w14:paraId="5E839302">
      <w:pPr>
        <w:pStyle w:val="16"/>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_Toc18131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w:t>
      </w:r>
      <w:r>
        <w:rPr>
          <w:rFonts w:hint="eastAsia" w:asciiTheme="minorEastAsia" w:hAnsiTheme="minorEastAsia" w:eastAsiaTheme="minorEastAsia"/>
          <w:color w:val="auto"/>
          <w:highlight w:val="none"/>
          <w:lang w:val="en-US" w:eastAsia="zh-CN"/>
        </w:rPr>
        <w:t>七</w:t>
      </w:r>
      <w:r>
        <w:rPr>
          <w:rFonts w:hint="eastAsia" w:asciiTheme="minorEastAsia" w:hAnsiTheme="minorEastAsia" w:eastAsiaTheme="minorEastAsia"/>
          <w:color w:val="auto"/>
          <w:highlight w:val="none"/>
        </w:rPr>
        <w:t>章</w:t>
      </w:r>
      <w:r>
        <w:rPr>
          <w:rFonts w:hint="eastAsia" w:ascii="宋体" w:hAnsi="宋体" w:eastAsia="宋体"/>
          <w:bCs/>
          <w:color w:val="auto"/>
          <w:highlight w:val="none"/>
        </w:rPr>
        <w:t xml:space="preserve">  采购</w:t>
      </w:r>
      <w:r>
        <w:rPr>
          <w:rFonts w:hint="eastAsia" w:asciiTheme="minorEastAsia" w:hAnsiTheme="minorEastAsia" w:eastAsiaTheme="minorEastAsia"/>
          <w:color w:val="auto"/>
          <w:highlight w:val="none"/>
        </w:rPr>
        <w:t>供应</w:t>
      </w:r>
      <w:r>
        <w:rPr>
          <w:rFonts w:hint="eastAsia" w:ascii="宋体" w:hAnsi="宋体" w:eastAsia="宋体"/>
          <w:bCs/>
          <w:color w:val="auto"/>
          <w:highlight w:val="none"/>
        </w:rPr>
        <w:t>商询问函和质疑函范本</w:t>
      </w:r>
      <w:r>
        <w:rPr>
          <w:color w:val="auto"/>
          <w:highlight w:val="none"/>
        </w:rPr>
        <w:tab/>
      </w:r>
      <w:r>
        <w:rPr>
          <w:color w:val="auto"/>
          <w:highlight w:val="none"/>
        </w:rPr>
        <w:fldChar w:fldCharType="begin"/>
      </w:r>
      <w:r>
        <w:rPr>
          <w:color w:val="auto"/>
          <w:highlight w:val="none"/>
        </w:rPr>
        <w:instrText xml:space="preserve"> PAGEREF _Toc18131 \h </w:instrText>
      </w:r>
      <w:r>
        <w:rPr>
          <w:color w:val="auto"/>
          <w:highlight w:val="none"/>
        </w:rPr>
        <w:fldChar w:fldCharType="separate"/>
      </w:r>
      <w:r>
        <w:rPr>
          <w:color w:val="auto"/>
          <w:highlight w:val="none"/>
        </w:rPr>
        <w:t>68</w:t>
      </w:r>
      <w:r>
        <w:rPr>
          <w:color w:val="auto"/>
          <w:highlight w:val="none"/>
        </w:rPr>
        <w:fldChar w:fldCharType="end"/>
      </w:r>
      <w:r>
        <w:rPr>
          <w:rFonts w:asciiTheme="minorEastAsia" w:hAnsiTheme="minorEastAsia" w:eastAsiaTheme="minorEastAsia"/>
          <w:color w:val="auto"/>
          <w:szCs w:val="24"/>
          <w:highlight w:val="none"/>
        </w:rPr>
        <w:fldChar w:fldCharType="end"/>
      </w:r>
    </w:p>
    <w:p w14:paraId="1FCBC0B8">
      <w:pPr>
        <w:spacing w:line="360" w:lineRule="auto"/>
        <w:jc w:val="center"/>
        <w:outlineLvl w:val="0"/>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fldChar w:fldCharType="end"/>
      </w:r>
      <w:bookmarkStart w:id="1" w:name="_Toc23443"/>
    </w:p>
    <w:p w14:paraId="1176B55F">
      <w:pPr>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br w:type="page"/>
      </w:r>
    </w:p>
    <w:p w14:paraId="5720CCCC">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67B94087">
      <w:pPr>
        <w:spacing w:line="360" w:lineRule="auto"/>
        <w:ind w:firstLine="437"/>
        <w:outlineLvl w:val="1"/>
        <w:rPr>
          <w:rFonts w:hint="eastAsia" w:ascii="宋体" w:hAnsi="宋体" w:eastAsia="宋体"/>
          <w:b/>
          <w:bCs/>
          <w:color w:val="auto"/>
          <w:sz w:val="24"/>
          <w:szCs w:val="18"/>
          <w:highlight w:val="none"/>
        </w:rPr>
      </w:pPr>
      <w:bookmarkStart w:id="2" w:name="_Toc1381"/>
      <w:bookmarkStart w:id="3" w:name="_Toc5842"/>
      <w:r>
        <w:rPr>
          <w:rFonts w:hint="eastAsia" w:ascii="宋体" w:hAnsi="宋体" w:eastAsia="宋体"/>
          <w:b/>
          <w:bCs/>
          <w:color w:val="auto"/>
          <w:sz w:val="24"/>
          <w:szCs w:val="18"/>
          <w:highlight w:val="none"/>
        </w:rPr>
        <w:t>一、</w:t>
      </w:r>
      <w:bookmarkEnd w:id="2"/>
      <w:r>
        <w:rPr>
          <w:rFonts w:hint="eastAsia" w:ascii="宋体" w:hAnsi="宋体" w:eastAsia="宋体"/>
          <w:b/>
          <w:bCs/>
          <w:color w:val="auto"/>
          <w:sz w:val="24"/>
          <w:szCs w:val="18"/>
          <w:highlight w:val="none"/>
        </w:rPr>
        <w:t>项目基本情况</w:t>
      </w:r>
      <w:bookmarkEnd w:id="3"/>
    </w:p>
    <w:p w14:paraId="6CF39A4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1.项目编号：</w:t>
      </w:r>
      <w:r>
        <w:rPr>
          <w:rFonts w:hint="eastAsia" w:ascii="宋体" w:hAnsi="宋体" w:eastAsia="宋体"/>
          <w:color w:val="auto"/>
          <w:sz w:val="24"/>
          <w:szCs w:val="18"/>
          <w:highlight w:val="none"/>
          <w:u w:val="single"/>
        </w:rPr>
        <w:t xml:space="preserve"> </w:t>
      </w:r>
      <w:r>
        <w:rPr>
          <w:rFonts w:ascii="宋体" w:hAnsi="宋体" w:eastAsia="宋体"/>
          <w:color w:val="auto"/>
          <w:sz w:val="24"/>
          <w:szCs w:val="18"/>
          <w:highlight w:val="none"/>
          <w:u w:val="single"/>
        </w:rPr>
        <w:t xml:space="preserve">         </w:t>
      </w:r>
    </w:p>
    <w:p w14:paraId="5CDF36A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2.项目名称：</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eastAsia="zh-CN"/>
        </w:rPr>
        <w:t>宿州市立医院经颅磁刺激治疗仪采购项目</w:t>
      </w:r>
      <w:r>
        <w:rPr>
          <w:rFonts w:ascii="宋体" w:hAnsi="宋体" w:eastAsia="宋体"/>
          <w:color w:val="auto"/>
          <w:sz w:val="24"/>
          <w:szCs w:val="18"/>
          <w:highlight w:val="none"/>
          <w:u w:val="single"/>
        </w:rPr>
        <w:t xml:space="preserve">         </w:t>
      </w:r>
    </w:p>
    <w:p w14:paraId="0286646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350000元</w:t>
      </w:r>
      <w:r>
        <w:rPr>
          <w:rFonts w:ascii="宋体" w:hAnsi="宋体" w:eastAsia="宋体"/>
          <w:color w:val="auto"/>
          <w:sz w:val="24"/>
          <w:szCs w:val="18"/>
          <w:highlight w:val="none"/>
          <w:u w:val="single"/>
        </w:rPr>
        <w:t xml:space="preserve">         </w:t>
      </w:r>
    </w:p>
    <w:p w14:paraId="747D5EE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350000元</w:t>
      </w:r>
      <w:r>
        <w:rPr>
          <w:rFonts w:ascii="宋体" w:hAnsi="宋体" w:eastAsia="宋体"/>
          <w:color w:val="auto"/>
          <w:sz w:val="24"/>
          <w:szCs w:val="18"/>
          <w:highlight w:val="none"/>
          <w:u w:val="single"/>
        </w:rPr>
        <w:t xml:space="preserve">          </w:t>
      </w:r>
    </w:p>
    <w:p w14:paraId="1FF7CDA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5.采购需求：</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采购一套</w:t>
      </w:r>
      <w:r>
        <w:rPr>
          <w:rFonts w:hint="eastAsia" w:ascii="宋体" w:hAnsi="宋体" w:eastAsia="宋体"/>
          <w:color w:val="auto"/>
          <w:sz w:val="24"/>
          <w:szCs w:val="18"/>
          <w:highlight w:val="none"/>
          <w:u w:val="single"/>
        </w:rPr>
        <w:t>经颅磁刺激治疗仪</w:t>
      </w:r>
      <w:r>
        <w:rPr>
          <w:rFonts w:hint="eastAsia" w:ascii="宋体" w:hAnsi="宋体" w:eastAsia="宋体"/>
          <w:color w:val="auto"/>
          <w:sz w:val="24"/>
          <w:szCs w:val="18"/>
          <w:highlight w:val="none"/>
          <w:u w:val="single"/>
          <w:lang w:eastAsia="zh-CN"/>
        </w:rPr>
        <w:t>，</w:t>
      </w:r>
      <w:r>
        <w:rPr>
          <w:rFonts w:hint="eastAsia" w:ascii="宋体" w:hAnsi="宋体" w:eastAsia="宋体"/>
          <w:color w:val="auto"/>
          <w:sz w:val="24"/>
          <w:szCs w:val="18"/>
          <w:highlight w:val="none"/>
          <w:u w:val="single"/>
          <w:lang w:val="en-US" w:eastAsia="zh-CN"/>
        </w:rPr>
        <w:t>详见第三章 采购需求。</w:t>
      </w:r>
      <w:r>
        <w:rPr>
          <w:rFonts w:ascii="宋体" w:hAnsi="宋体" w:eastAsia="宋体"/>
          <w:color w:val="auto"/>
          <w:sz w:val="24"/>
          <w:szCs w:val="18"/>
          <w:highlight w:val="none"/>
          <w:u w:val="single"/>
        </w:rPr>
        <w:t xml:space="preserve">        </w:t>
      </w:r>
    </w:p>
    <w:p w14:paraId="1A0D76F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6.合同履行期限：</w:t>
      </w:r>
      <w:r>
        <w:rPr>
          <w:rFonts w:hint="eastAsia" w:ascii="宋体" w:hAnsi="宋体" w:eastAsia="宋体"/>
          <w:color w:val="auto"/>
          <w:sz w:val="24"/>
          <w:szCs w:val="18"/>
          <w:highlight w:val="none"/>
          <w:u w:val="single"/>
        </w:rPr>
        <w:t xml:space="preserve"> 合同签订后30日内</w:t>
      </w:r>
      <w:r>
        <w:rPr>
          <w:rFonts w:hint="eastAsia" w:ascii="宋体" w:hAnsi="宋体" w:eastAsia="宋体"/>
          <w:color w:val="auto"/>
          <w:sz w:val="24"/>
          <w:szCs w:val="18"/>
          <w:highlight w:val="none"/>
          <w:u w:val="single"/>
          <w:lang w:val="en-US" w:eastAsia="zh-CN"/>
        </w:rPr>
        <w:t>完成供货、安装及调试</w:t>
      </w:r>
      <w:r>
        <w:rPr>
          <w:rFonts w:hint="eastAsia" w:ascii="宋体" w:hAnsi="宋体" w:eastAsia="宋体"/>
          <w:color w:val="auto"/>
          <w:sz w:val="24"/>
          <w:szCs w:val="18"/>
          <w:highlight w:val="none"/>
          <w:u w:val="single"/>
        </w:rPr>
        <w:t>。</w:t>
      </w:r>
      <w:r>
        <w:rPr>
          <w:rFonts w:ascii="宋体" w:hAnsi="宋体" w:eastAsia="宋体"/>
          <w:color w:val="auto"/>
          <w:sz w:val="24"/>
          <w:szCs w:val="18"/>
          <w:highlight w:val="none"/>
          <w:u w:val="single"/>
        </w:rPr>
        <w:t xml:space="preserve"> </w:t>
      </w:r>
    </w:p>
    <w:p w14:paraId="22848A5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接受联合体投标。</w:t>
      </w:r>
    </w:p>
    <w:p w14:paraId="07547E18">
      <w:pPr>
        <w:spacing w:line="360" w:lineRule="auto"/>
        <w:ind w:firstLine="437"/>
        <w:outlineLvl w:val="1"/>
        <w:rPr>
          <w:rFonts w:hint="eastAsia" w:ascii="宋体" w:hAnsi="宋体" w:eastAsia="宋体"/>
          <w:b/>
          <w:bCs/>
          <w:color w:val="auto"/>
          <w:sz w:val="24"/>
          <w:szCs w:val="18"/>
          <w:highlight w:val="none"/>
        </w:rPr>
      </w:pPr>
      <w:bookmarkStart w:id="4" w:name="_Toc13530"/>
      <w:bookmarkStart w:id="5" w:name="_Toc26178"/>
      <w:r>
        <w:rPr>
          <w:rFonts w:hint="eastAsia" w:ascii="宋体" w:hAnsi="宋体" w:eastAsia="宋体"/>
          <w:b/>
          <w:bCs/>
          <w:color w:val="auto"/>
          <w:sz w:val="24"/>
          <w:szCs w:val="18"/>
          <w:highlight w:val="none"/>
        </w:rPr>
        <w:t>二、</w:t>
      </w:r>
      <w:bookmarkEnd w:id="4"/>
      <w:r>
        <w:rPr>
          <w:rFonts w:hint="eastAsia" w:ascii="宋体" w:hAnsi="宋体" w:eastAsia="宋体"/>
          <w:b/>
          <w:bCs/>
          <w:color w:val="auto"/>
          <w:sz w:val="24"/>
          <w:szCs w:val="18"/>
          <w:highlight w:val="none"/>
        </w:rPr>
        <w:t>申请人的资格要求</w:t>
      </w:r>
      <w:bookmarkEnd w:id="5"/>
    </w:p>
    <w:p w14:paraId="60D53DFB">
      <w:pPr>
        <w:spacing w:line="360" w:lineRule="auto"/>
        <w:ind w:firstLine="435"/>
        <w:rPr>
          <w:rFonts w:hint="eastAsia" w:asciiTheme="minorEastAsia" w:hAnsiTheme="minorEastAsia" w:eastAsiaTheme="minorEastAsia"/>
          <w:color w:val="auto"/>
          <w:sz w:val="24"/>
          <w:highlight w:val="none"/>
        </w:rPr>
      </w:pPr>
      <w:bookmarkStart w:id="6" w:name="_Toc30110"/>
      <w:bookmarkStart w:id="7" w:name="_Toc32089"/>
      <w:r>
        <w:rPr>
          <w:rFonts w:hint="eastAsia" w:asciiTheme="minorEastAsia" w:hAnsiTheme="minorEastAsia" w:eastAsiaTheme="minorEastAsia"/>
          <w:color w:val="auto"/>
          <w:sz w:val="24"/>
          <w:highlight w:val="none"/>
        </w:rPr>
        <w:t>1.满足《中华人民共和国政府采购法》第二十二条规定；</w:t>
      </w:r>
    </w:p>
    <w:p w14:paraId="2B336F4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2.本项目的特定资格要求：</w:t>
      </w:r>
    </w:p>
    <w:p w14:paraId="0DA8474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 如是依法纳入医疗器械管理的投标产品须满足以下条件：</w:t>
      </w:r>
    </w:p>
    <w:p w14:paraId="1884F3E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（1）中国境内（不含港、澳、台地区）制造商参与投标时，应具有投标产品相应有效的医疗器械生产许可证（适用第二类和第三类医疗器械）。</w:t>
      </w:r>
    </w:p>
    <w:p w14:paraId="071A030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（2）投标人应具有投标产品相应有效的医疗器械经营许可证（适用第三类医疗器械）或医疗器械经营备案凭证（适用第二类医疗器械）。</w:t>
      </w:r>
    </w:p>
    <w:p w14:paraId="0B1BBE3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采购人或采购代理机构将在投标截止时间后至评审结束前通过“信用中国”网站(www.creditchina.gov.cn)、中国政府采购网(www.ccgp.gov.cn)查询相关投标人信用记录，并对投标人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投标无效。”（由采购人或者采购代理机构现场核查投标人信用情况）</w:t>
      </w:r>
    </w:p>
    <w:p w14:paraId="037205D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注：“有效”是指“情形”规定的程度、起止期间处于有效状态。</w:t>
      </w:r>
    </w:p>
    <w:p w14:paraId="3C4AAEE9">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三、</w:t>
      </w:r>
      <w:bookmarkEnd w:id="6"/>
      <w:r>
        <w:rPr>
          <w:rFonts w:hint="eastAsia" w:ascii="宋体" w:hAnsi="宋体" w:eastAsia="宋体"/>
          <w:b/>
          <w:bCs/>
          <w:color w:val="auto"/>
          <w:sz w:val="24"/>
          <w:szCs w:val="18"/>
          <w:highlight w:val="none"/>
        </w:rPr>
        <w:t>获取招标文件</w:t>
      </w:r>
      <w:bookmarkEnd w:id="7"/>
    </w:p>
    <w:p w14:paraId="372AB798">
      <w:pPr>
        <w:spacing w:line="360" w:lineRule="auto"/>
        <w:ind w:firstLine="540"/>
        <w:rPr>
          <w:rFonts w:hint="eastAsia" w:ascii="宋体" w:hAnsi="宋体" w:eastAsia="宋体" w:cs="宋体"/>
          <w:color w:val="auto"/>
          <w:sz w:val="24"/>
          <w:szCs w:val="24"/>
          <w:highlight w:val="none"/>
          <w:u w:val="single"/>
          <w:lang w:val="en-US" w:eastAsia="zh-CN"/>
        </w:rPr>
      </w:pPr>
      <w:bookmarkStart w:id="8" w:name="_Toc7957"/>
      <w:r>
        <w:rPr>
          <w:rFonts w:hint="eastAsia" w:asciiTheme="minorEastAsia" w:hAnsiTheme="minorEastAsia" w:eastAsiaTheme="minorEastAsia" w:cstheme="minorEastAsia"/>
          <w:color w:val="auto"/>
          <w:sz w:val="24"/>
          <w:szCs w:val="24"/>
          <w:highlight w:val="none"/>
        </w:rPr>
        <w:t>时间：</w:t>
      </w:r>
      <w:r>
        <w:rPr>
          <w:rFonts w:hint="eastAsia" w:ascii="宋体" w:hAnsi="宋体" w:eastAsia="宋体" w:cs="宋体"/>
          <w:color w:val="auto"/>
          <w:sz w:val="24"/>
          <w:szCs w:val="24"/>
          <w:highlight w:val="none"/>
          <w:u w:val="single"/>
          <w:lang w:val="en-US" w:eastAsia="zh-CN"/>
        </w:rPr>
        <w:t>自公告发布之日至2026年 月 日09:00</w:t>
      </w:r>
    </w:p>
    <w:p w14:paraId="3A609FE5">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none"/>
        </w:rPr>
      </w:pPr>
      <w:bookmarkStart w:id="9" w:name="_Toc19726"/>
      <w:r>
        <w:rPr>
          <w:rFonts w:hint="eastAsia" w:asciiTheme="minorEastAsia" w:hAnsiTheme="minorEastAsia" w:eastAsiaTheme="minorEastAsia" w:cstheme="minorEastAsia"/>
          <w:color w:val="auto"/>
          <w:sz w:val="24"/>
          <w:szCs w:val="24"/>
          <w:highlight w:val="none"/>
          <w:u w:val="none"/>
        </w:rPr>
        <w:t>地点：网上获取。</w:t>
      </w:r>
    </w:p>
    <w:p w14:paraId="065D6C44">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 xml:space="preserve">方式：（1）凡有意参加投标者，在招标文件获取时间范围内均可在宿州市公共资源交易中心新版交易系统会员端登录地址（网址：http://60.171.247.212:8111/TPBidder/memberLogin）交易平台登录处进行用户登记，登记为供应商后使用CA锁登录进入宿州市公共资源交易系统，进入系统—》招标公告列表—》筛选项目类型为“采购”—》选中相应项目公告—》点击“文件下载”下载获取招标文件，也可以通过输入标段包编号，在关键字中搜索，找到需要投标的标段。（详细操作流程：详见本公告附件《投标单位操作手册7.1.40.5版本》），并请随时关注网站答疑澄清。（用户登记操作及审核联系电话：0557-3030327） </w:t>
      </w:r>
    </w:p>
    <w:p w14:paraId="010C310A">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（2）请在招标文件获取时间范围内下载获取招标文件，逾期系统将自动关闭，无法下载招标文件。</w:t>
      </w:r>
    </w:p>
    <w:p w14:paraId="4286E9C9">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（3）潜在投标人应合理安排时间，尽量避开开标前等可能存在的高峰期。</w:t>
      </w:r>
    </w:p>
    <w:p w14:paraId="3D37B71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u w:val="none"/>
        </w:rPr>
        <w:t>售价：每套人民币0元整，招标文件售后不退。</w:t>
      </w:r>
    </w:p>
    <w:p w14:paraId="2C8EDA05">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四、</w:t>
      </w:r>
      <w:bookmarkEnd w:id="8"/>
      <w:r>
        <w:rPr>
          <w:rFonts w:hint="eastAsia" w:ascii="宋体" w:hAnsi="宋体" w:eastAsia="宋体"/>
          <w:b/>
          <w:bCs/>
          <w:color w:val="auto"/>
          <w:sz w:val="24"/>
          <w:szCs w:val="18"/>
          <w:highlight w:val="none"/>
        </w:rPr>
        <w:t>提交投标文件截止时间、开标时间和地点</w:t>
      </w:r>
      <w:bookmarkEnd w:id="9"/>
    </w:p>
    <w:p w14:paraId="6EC81AB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zh-CN" w:eastAsia="zh-CN"/>
        </w:rPr>
      </w:pPr>
      <w:bookmarkStart w:id="10" w:name="_Toc5082"/>
      <w:r>
        <w:rPr>
          <w:rFonts w:hint="eastAsia" w:ascii="宋体" w:hAnsi="宋体" w:eastAsia="宋体" w:cs="宋体"/>
          <w:color w:val="auto"/>
          <w:sz w:val="24"/>
          <w:szCs w:val="24"/>
          <w:highlight w:val="none"/>
          <w:lang w:val="zh-CN" w:eastAsia="zh-CN"/>
        </w:rPr>
        <w:t>截止时间：</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u w:val="single"/>
          <w:lang w:val="zh-CN" w:eastAsia="zh-CN"/>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zh-CN" w:eastAsia="zh-CN"/>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zh-CN" w:eastAsia="zh-CN"/>
        </w:rPr>
        <w:t>日</w:t>
      </w:r>
      <w:r>
        <w:rPr>
          <w:rFonts w:hint="eastAsia" w:ascii="宋体" w:hAnsi="宋体" w:eastAsia="宋体" w:cs="宋体"/>
          <w:color w:val="auto"/>
          <w:sz w:val="24"/>
          <w:szCs w:val="24"/>
          <w:highlight w:val="none"/>
          <w:u w:val="single"/>
          <w:lang w:val="en-US" w:eastAsia="zh-CN"/>
        </w:rPr>
        <w:t>09</w:t>
      </w:r>
      <w:r>
        <w:rPr>
          <w:rFonts w:hint="eastAsia" w:ascii="宋体" w:hAnsi="宋体" w:eastAsia="宋体" w:cs="宋体"/>
          <w:color w:val="auto"/>
          <w:sz w:val="24"/>
          <w:szCs w:val="24"/>
          <w:highlight w:val="none"/>
          <w:u w:val="single"/>
          <w:lang w:val="zh-CN" w:eastAsia="zh-CN"/>
        </w:rPr>
        <w:t>点</w:t>
      </w:r>
      <w:r>
        <w:rPr>
          <w:rFonts w:hint="eastAsia" w:ascii="宋体" w:hAnsi="宋体" w:eastAsia="宋体" w:cs="宋体"/>
          <w:color w:val="auto"/>
          <w:sz w:val="24"/>
          <w:szCs w:val="24"/>
          <w:highlight w:val="none"/>
          <w:u w:val="single"/>
          <w:lang w:val="en-US" w:eastAsia="zh-CN"/>
        </w:rPr>
        <w:t>00</w:t>
      </w:r>
      <w:r>
        <w:rPr>
          <w:rFonts w:hint="eastAsia" w:ascii="宋体" w:hAnsi="宋体" w:eastAsia="宋体" w:cs="宋体"/>
          <w:color w:val="auto"/>
          <w:sz w:val="24"/>
          <w:szCs w:val="24"/>
          <w:highlight w:val="none"/>
          <w:u w:val="single"/>
          <w:lang w:val="zh-CN" w:eastAsia="zh-CN"/>
        </w:rPr>
        <w:t>分（北京时间）</w:t>
      </w:r>
    </w:p>
    <w:p w14:paraId="58F59AF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地点：宿州市公共资源交易中心第</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开标室，因本项目实行全流程电子化交易，供应商原则上不到现场参与交易活动，将通过在线视频直播。供应商可通过登录宿州市公共资源交易网（http://ggzyjy.ahsz.gov.cn/szfront/）点击进入不见面开标大厅观看开标直播。具体操作详见公告附件或宿州市公共资源交易网上的关于《宿州不见面开标大厅操作视频及常见问题》的操作指南。</w:t>
      </w:r>
    </w:p>
    <w:p w14:paraId="2519072A">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rPr>
        <w:t>注：本项目通过宿州不见面开标大厅直播，无直播二维码。</w:t>
      </w:r>
    </w:p>
    <w:p w14:paraId="5E0C0E8E">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1" w:name="_Toc28531"/>
      <w:r>
        <w:rPr>
          <w:rFonts w:hint="eastAsia" w:ascii="宋体" w:hAnsi="宋体" w:eastAsia="宋体"/>
          <w:b/>
          <w:bCs/>
          <w:color w:val="auto"/>
          <w:sz w:val="24"/>
          <w:szCs w:val="18"/>
          <w:highlight w:val="none"/>
        </w:rPr>
        <w:t>五、</w:t>
      </w:r>
      <w:bookmarkEnd w:id="10"/>
      <w:r>
        <w:rPr>
          <w:rFonts w:hint="eastAsia" w:ascii="宋体" w:hAnsi="宋体" w:eastAsia="宋体"/>
          <w:b/>
          <w:bCs/>
          <w:color w:val="auto"/>
          <w:sz w:val="24"/>
          <w:szCs w:val="18"/>
          <w:highlight w:val="none"/>
        </w:rPr>
        <w:t>公告期限</w:t>
      </w:r>
      <w:bookmarkEnd w:id="11"/>
    </w:p>
    <w:p w14:paraId="65085C72">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9"/>
        <w:rPr>
          <w:rFonts w:hint="eastAsia" w:ascii="宋体" w:hAnsi="宋体" w:eastAsia="宋体"/>
          <w:b w:val="0"/>
          <w:bCs w:val="0"/>
          <w:color w:val="auto"/>
          <w:sz w:val="24"/>
          <w:szCs w:val="18"/>
          <w:highlight w:val="none"/>
        </w:rPr>
      </w:pPr>
      <w:bookmarkStart w:id="12" w:name="_Toc1215"/>
      <w:r>
        <w:rPr>
          <w:rFonts w:hint="eastAsia" w:ascii="宋体" w:hAnsi="宋体" w:eastAsia="宋体"/>
          <w:b w:val="0"/>
          <w:bCs w:val="0"/>
          <w:color w:val="auto"/>
          <w:sz w:val="24"/>
          <w:szCs w:val="18"/>
          <w:highlight w:val="none"/>
        </w:rPr>
        <w:t>自本公告发布之日起5个工作日。</w:t>
      </w:r>
    </w:p>
    <w:p w14:paraId="565A1032">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3" w:name="_Toc35393626"/>
      <w:bookmarkStart w:id="14" w:name="_Toc35393795"/>
      <w:bookmarkStart w:id="15" w:name="_Toc8807"/>
      <w:r>
        <w:rPr>
          <w:rFonts w:hint="eastAsia" w:ascii="宋体" w:hAnsi="宋体" w:eastAsia="宋体"/>
          <w:b/>
          <w:bCs/>
          <w:color w:val="auto"/>
          <w:sz w:val="24"/>
          <w:szCs w:val="18"/>
          <w:highlight w:val="none"/>
        </w:rPr>
        <w:t>六、其他补充事宜</w:t>
      </w:r>
      <w:bookmarkEnd w:id="13"/>
      <w:bookmarkEnd w:id="14"/>
      <w:bookmarkEnd w:id="15"/>
    </w:p>
    <w:bookmarkEnd w:id="12"/>
    <w:p w14:paraId="7E9218CF">
      <w:pPr>
        <w:spacing w:line="360" w:lineRule="auto"/>
        <w:ind w:firstLine="480" w:firstLineChars="200"/>
        <w:rPr>
          <w:rFonts w:hint="eastAsia" w:ascii="宋体" w:hAnsi="宋体" w:eastAsia="宋体" w:cs="宋体"/>
          <w:color w:val="auto"/>
          <w:sz w:val="24"/>
          <w:szCs w:val="24"/>
          <w:highlight w:val="none"/>
          <w:lang w:val="en-US" w:eastAsia="zh-CN"/>
        </w:rPr>
      </w:pPr>
      <w:bookmarkStart w:id="16" w:name="_Toc7265"/>
      <w:bookmarkStart w:id="17" w:name="_Toc3854"/>
      <w:r>
        <w:rPr>
          <w:rFonts w:hint="eastAsia" w:ascii="宋体" w:hAnsi="宋体" w:eastAsia="宋体" w:cs="宋体"/>
          <w:color w:val="auto"/>
          <w:sz w:val="24"/>
          <w:szCs w:val="24"/>
          <w:highlight w:val="none"/>
          <w:lang w:val="en-US" w:eastAsia="zh-CN"/>
        </w:rPr>
        <w:t>1、本招标项目电子投标文件的解密采用远程方式进行，投标人须在规定的时间内对其加密的电子投标文件进行解密，请提前登录系统，按《不见面开标大厅-投标人操作手册》提供的方法操作。解密时间不超过开始解密时间 30 分钟，若超过 30 分钟视为解密失败，按无效处理</w:t>
      </w:r>
    </w:p>
    <w:p w14:paraId="19D30639">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2、本招标项目的询标、澄清等程序均采用远程方式进行，请各投标人在评审结束前不要离开电脑，按《投标人操作手册》提供的方法操作，询标响应时间不超过询标发起后 15 分钟，若超过 15 分钟，视为放弃解释权力，评委按不利于投标人解释处理。</w:t>
      </w:r>
    </w:p>
    <w:p w14:paraId="6F083814">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3、</w:t>
      </w:r>
      <w:r>
        <w:rPr>
          <w:rFonts w:hint="eastAsia" w:ascii="宋体" w:hAnsi="宋体" w:eastAsia="宋体" w:cs="宋体"/>
          <w:color w:val="auto"/>
          <w:sz w:val="24"/>
          <w:szCs w:val="24"/>
          <w:highlight w:val="none"/>
          <w:lang w:val="en-US" w:eastAsia="zh-CN"/>
        </w:rPr>
        <w:t>投标人自身原因导致解密失败的，风险由投标人自行承担。因投标人没有及时登录系统、未完成远程网上解密、询标、澄清等环节导致无法接受评审委员会评审等情形的风险，由投标人自行承担。</w:t>
      </w:r>
    </w:p>
    <w:p w14:paraId="1A07881E">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七、</w:t>
      </w:r>
      <w:bookmarkEnd w:id="16"/>
      <w:r>
        <w:rPr>
          <w:rFonts w:hint="eastAsia" w:ascii="宋体" w:hAnsi="宋体" w:eastAsia="宋体"/>
          <w:b/>
          <w:bCs/>
          <w:color w:val="auto"/>
          <w:sz w:val="24"/>
          <w:szCs w:val="18"/>
          <w:highlight w:val="none"/>
        </w:rPr>
        <w:t>对本次招标提出询问，请按以下方式联系</w:t>
      </w:r>
      <w:bookmarkEnd w:id="17"/>
    </w:p>
    <w:p w14:paraId="53387FF1">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1.采购人信息</w:t>
      </w:r>
    </w:p>
    <w:p w14:paraId="3862CC25">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    称：安徽省宿州市立医院</w:t>
      </w:r>
    </w:p>
    <w:p w14:paraId="460FE428">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    址：宿州市汴阳三路616号</w:t>
      </w:r>
    </w:p>
    <w:p w14:paraId="266381CD">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 系 人：王老师</w:t>
      </w:r>
    </w:p>
    <w:p w14:paraId="6A78ABBE">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联系方式：15155780921</w:t>
      </w:r>
    </w:p>
    <w:p w14:paraId="60545BEA">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2.采购代理机构信息</w:t>
      </w:r>
    </w:p>
    <w:p w14:paraId="6E78C701">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    称：安徽中技工程咨询有限公司</w:t>
      </w:r>
    </w:p>
    <w:p w14:paraId="52363A36">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    址：安徽省合肥市高新区长宁社区服务中心合肥软件园一期A3栋A3-613室</w:t>
      </w:r>
    </w:p>
    <w:p w14:paraId="795E74D2">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项目联系人：王俊烈、李少明</w:t>
      </w:r>
    </w:p>
    <w:p w14:paraId="59470A4E">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      话：17755795622、15656186680</w:t>
      </w:r>
    </w:p>
    <w:p w14:paraId="6D4B7F7C">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3.采购监督管理部门信息</w:t>
      </w:r>
    </w:p>
    <w:p w14:paraId="0C4BADD4">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  称：</w:t>
      </w:r>
      <w:r>
        <w:rPr>
          <w:rFonts w:hint="default" w:ascii="宋体" w:hAnsi="宋体" w:eastAsia="宋体" w:cs="宋体"/>
          <w:color w:val="auto"/>
          <w:sz w:val="24"/>
          <w:szCs w:val="24"/>
          <w:highlight w:val="none"/>
          <w:lang w:val="en-US" w:eastAsia="zh-CN"/>
        </w:rPr>
        <w:t>宿州市卫生健康委员会</w:t>
      </w:r>
      <w:r>
        <w:rPr>
          <w:rFonts w:hint="eastAsia" w:ascii="宋体" w:hAnsi="宋体" w:eastAsia="宋体" w:cs="宋体"/>
          <w:color w:val="auto"/>
          <w:sz w:val="24"/>
          <w:szCs w:val="24"/>
          <w:highlight w:val="none"/>
          <w:lang w:val="en-US" w:eastAsia="zh-CN"/>
        </w:rPr>
        <w:t>     </w:t>
      </w:r>
    </w:p>
    <w:p w14:paraId="206A7615">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  址：</w:t>
      </w:r>
      <w:r>
        <w:rPr>
          <w:rFonts w:hint="default" w:ascii="宋体" w:hAnsi="宋体" w:eastAsia="宋体" w:cs="宋体"/>
          <w:color w:val="auto"/>
          <w:sz w:val="24"/>
          <w:szCs w:val="24"/>
          <w:highlight w:val="none"/>
          <w:lang w:val="en-US" w:eastAsia="zh-CN"/>
        </w:rPr>
        <w:t>安徽省宿州市埇桥区银河一路 530 号</w:t>
      </w:r>
      <w:r>
        <w:rPr>
          <w:rFonts w:hint="eastAsia" w:ascii="宋体" w:hAnsi="宋体" w:eastAsia="宋体" w:cs="宋体"/>
          <w:color w:val="auto"/>
          <w:sz w:val="24"/>
          <w:szCs w:val="24"/>
          <w:highlight w:val="none"/>
          <w:lang w:val="en-US" w:eastAsia="zh-CN"/>
        </w:rPr>
        <w:t> </w:t>
      </w:r>
    </w:p>
    <w:p w14:paraId="6E44BB6D">
      <w:pPr>
        <w:spacing w:line="360" w:lineRule="auto"/>
        <w:ind w:firstLine="480" w:firstLineChars="200"/>
        <w:rPr>
          <w:rFonts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联系方式：</w:t>
      </w:r>
      <w:r>
        <w:rPr>
          <w:rFonts w:hint="default" w:ascii="宋体" w:hAnsi="宋体" w:eastAsia="宋体" w:cs="宋体"/>
          <w:color w:val="auto"/>
          <w:sz w:val="24"/>
          <w:szCs w:val="24"/>
          <w:highlight w:val="none"/>
          <w:lang w:val="en-US" w:eastAsia="zh-CN"/>
        </w:rPr>
        <w:t>0557-3040047</w:t>
      </w:r>
      <w:r>
        <w:rPr>
          <w:rFonts w:ascii="宋体" w:hAnsi="宋体" w:eastAsia="宋体"/>
          <w:color w:val="auto"/>
          <w:sz w:val="24"/>
          <w:szCs w:val="18"/>
          <w:highlight w:val="none"/>
        </w:rPr>
        <w:br w:type="page"/>
      </w:r>
    </w:p>
    <w:p w14:paraId="17281442">
      <w:pPr>
        <w:spacing w:line="360" w:lineRule="auto"/>
        <w:jc w:val="center"/>
        <w:outlineLvl w:val="0"/>
        <w:rPr>
          <w:rFonts w:asciiTheme="minorEastAsia" w:hAnsiTheme="minorEastAsia" w:eastAsiaTheme="minorEastAsia"/>
          <w:b/>
          <w:color w:val="auto"/>
          <w:sz w:val="28"/>
          <w:highlight w:val="none"/>
        </w:rPr>
      </w:pPr>
      <w:bookmarkStart w:id="18" w:name="_Toc31935"/>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18"/>
    </w:p>
    <w:p w14:paraId="1C2B44DB">
      <w:pPr>
        <w:spacing w:line="360" w:lineRule="auto"/>
        <w:jc w:val="center"/>
        <w:outlineLvl w:val="1"/>
        <w:rPr>
          <w:rFonts w:asciiTheme="minorEastAsia" w:hAnsiTheme="minorEastAsia" w:eastAsiaTheme="minorEastAsia"/>
          <w:b/>
          <w:color w:val="auto"/>
          <w:sz w:val="24"/>
          <w:highlight w:val="none"/>
        </w:rPr>
      </w:pPr>
      <w:bookmarkStart w:id="19" w:name="_Toc3114"/>
      <w:bookmarkStart w:id="20" w:name="_Toc7178"/>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19"/>
      <w:bookmarkEnd w:id="20"/>
    </w:p>
    <w:p w14:paraId="13C5CDE9">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2"/>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3"/>
        <w:gridCol w:w="5618"/>
      </w:tblGrid>
      <w:tr w14:paraId="37E4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16F6B5C">
            <w:pPr>
              <w:pStyle w:val="31"/>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74" w:type="pct"/>
            <w:vAlign w:val="center"/>
          </w:tcPr>
          <w:p w14:paraId="6B4D4B7D">
            <w:pPr>
              <w:pStyle w:val="31"/>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44" w:type="pct"/>
            <w:vAlign w:val="center"/>
          </w:tcPr>
          <w:p w14:paraId="467D9BEB">
            <w:pPr>
              <w:pStyle w:val="31"/>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2248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EB3A31A">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174" w:type="pct"/>
            <w:vAlign w:val="center"/>
          </w:tcPr>
          <w:p w14:paraId="2B65B3B9">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244" w:type="pct"/>
            <w:vAlign w:val="center"/>
          </w:tcPr>
          <w:p w14:paraId="3BA8AFB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3C0A8BF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43E4B47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6398A99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66C26085">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1B94A396">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4229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020AE6E">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1174" w:type="pct"/>
            <w:vAlign w:val="center"/>
          </w:tcPr>
          <w:p w14:paraId="6A4467E4">
            <w:pPr>
              <w:pStyle w:val="31"/>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44" w:type="pct"/>
            <w:vAlign w:val="center"/>
          </w:tcPr>
          <w:p w14:paraId="06B28AA9">
            <w:pPr>
              <w:pStyle w:val="31"/>
              <w:widowControl w:val="0"/>
              <w:spacing w:before="0" w:beforeAutospacing="0" w:after="0" w:afterAutospacing="0"/>
              <w:jc w:val="both"/>
              <w:rPr>
                <w:rFonts w:ascii="宋体" w:hAnsi="宋体" w:eastAsia="宋体"/>
                <w:b w:val="0"/>
                <w:color w:val="auto"/>
                <w:sz w:val="24"/>
                <w:highlight w:val="none"/>
              </w:rPr>
            </w:pP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年</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月</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日</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时</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rPr>
              <w:t>分</w:t>
            </w:r>
          </w:p>
        </w:tc>
      </w:tr>
      <w:tr w14:paraId="3599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7231623">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1174" w:type="pct"/>
            <w:vAlign w:val="center"/>
          </w:tcPr>
          <w:p w14:paraId="7D418D49">
            <w:pPr>
              <w:pStyle w:val="31"/>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44" w:type="pct"/>
            <w:vAlign w:val="center"/>
          </w:tcPr>
          <w:p w14:paraId="05C2A4AD">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不分包     □分为  个包</w:t>
            </w:r>
          </w:p>
          <w:p w14:paraId="7D8B005F">
            <w:pPr>
              <w:pStyle w:val="31"/>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ascii="宋体" w:hAnsi="宋体" w:eastAsia="宋体"/>
                <w:b w:val="0"/>
                <w:bCs w:val="0"/>
                <w:color w:val="auto"/>
                <w:sz w:val="24"/>
                <w:szCs w:val="18"/>
                <w:highlight w:val="none"/>
                <w:u w:val="single"/>
              </w:rPr>
              <w:t xml:space="preserve">       </w:t>
            </w:r>
          </w:p>
        </w:tc>
      </w:tr>
      <w:tr w14:paraId="579B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581" w:type="pct"/>
            <w:vAlign w:val="center"/>
          </w:tcPr>
          <w:p w14:paraId="01E07874">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1174" w:type="pct"/>
            <w:vAlign w:val="center"/>
          </w:tcPr>
          <w:p w14:paraId="65E9DB8A">
            <w:pPr>
              <w:pStyle w:val="31"/>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244" w:type="pct"/>
            <w:vAlign w:val="center"/>
          </w:tcPr>
          <w:p w14:paraId="722B02DC">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2C4B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6278B6A">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1174" w:type="pct"/>
            <w:vAlign w:val="center"/>
          </w:tcPr>
          <w:p w14:paraId="49DD7E96">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244" w:type="pct"/>
            <w:vAlign w:val="center"/>
          </w:tcPr>
          <w:p w14:paraId="4DC007A3">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90</w:t>
            </w: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日历日</w:t>
            </w:r>
          </w:p>
        </w:tc>
      </w:tr>
      <w:tr w14:paraId="6337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5EE5787">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1174" w:type="pct"/>
            <w:vAlign w:val="center"/>
          </w:tcPr>
          <w:p w14:paraId="65AB8947">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3244" w:type="pct"/>
            <w:vAlign w:val="center"/>
          </w:tcPr>
          <w:p w14:paraId="6280D24C">
            <w:pPr>
              <w:pStyle w:val="31"/>
              <w:widowControl w:val="0"/>
              <w:spacing w:before="0" w:beforeAutospacing="0" w:after="0" w:afterAutospacing="0" w:line="360" w:lineRule="auto"/>
              <w:jc w:val="both"/>
              <w:rPr>
                <w:rFonts w:hint="default"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none"/>
              </w:rPr>
              <w:t>投标截止时间后</w:t>
            </w:r>
            <w:r>
              <w:rPr>
                <w:rFonts w:hint="eastAsia" w:ascii="宋体" w:hAnsi="宋体" w:eastAsia="宋体"/>
                <w:b w:val="0"/>
                <w:color w:val="auto"/>
                <w:sz w:val="24"/>
                <w:highlight w:val="none"/>
                <w:u w:val="single"/>
                <w:lang w:val="en-US" w:eastAsia="zh-CN"/>
              </w:rPr>
              <w:t xml:space="preserve">   30   </w:t>
            </w:r>
            <w:r>
              <w:rPr>
                <w:rFonts w:hint="eastAsia" w:ascii="宋体" w:hAnsi="宋体" w:eastAsia="宋体"/>
                <w:b w:val="0"/>
                <w:color w:val="auto"/>
                <w:sz w:val="24"/>
                <w:highlight w:val="none"/>
                <w:u w:val="none"/>
              </w:rPr>
              <w:t>分钟内</w:t>
            </w:r>
          </w:p>
        </w:tc>
      </w:tr>
      <w:tr w14:paraId="65C2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C5005F3">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1174" w:type="pct"/>
            <w:vAlign w:val="center"/>
          </w:tcPr>
          <w:p w14:paraId="096C4419">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244" w:type="pct"/>
            <w:vAlign w:val="center"/>
          </w:tcPr>
          <w:p w14:paraId="7B7A520C">
            <w:pPr>
              <w:pStyle w:val="31"/>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采购人审查</w:t>
            </w:r>
          </w:p>
          <w:p w14:paraId="0769FA36">
            <w:pPr>
              <w:pStyle w:val="31"/>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p w14:paraId="1C503B22">
            <w:pPr>
              <w:pStyle w:val="31"/>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lang w:val="en-US" w:eastAsia="zh-CN"/>
              </w:rPr>
              <w:t>评标委员会</w:t>
            </w:r>
            <w:r>
              <w:rPr>
                <w:rFonts w:hint="eastAsia" w:ascii="宋体" w:hAnsi="宋体" w:eastAsia="宋体"/>
                <w:b w:val="0"/>
                <w:bCs w:val="0"/>
                <w:color w:val="auto"/>
                <w:sz w:val="24"/>
                <w:highlight w:val="none"/>
              </w:rPr>
              <w:t>审查</w:t>
            </w:r>
          </w:p>
        </w:tc>
      </w:tr>
      <w:tr w14:paraId="342B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7544248">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1174" w:type="pct"/>
            <w:vAlign w:val="center"/>
          </w:tcPr>
          <w:p w14:paraId="14361BC6">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244" w:type="pct"/>
            <w:vAlign w:val="center"/>
          </w:tcPr>
          <w:p w14:paraId="3DCDCAA6">
            <w:pPr>
              <w:pStyle w:val="31"/>
              <w:widowControl w:val="0"/>
              <w:spacing w:before="0" w:beforeAutospacing="0" w:after="0" w:afterAutospacing="0" w:line="360" w:lineRule="auto"/>
              <w:jc w:val="both"/>
              <w:rPr>
                <w:rFonts w:ascii="宋体" w:hAnsi="宋体" w:eastAsia="宋体"/>
                <w:b w:val="0"/>
                <w:color w:val="auto"/>
                <w:sz w:val="24"/>
                <w:highlight w:val="none"/>
                <w:u w:val="none"/>
              </w:rPr>
            </w:pPr>
            <w:r>
              <w:rPr>
                <w:rFonts w:ascii="宋体" w:hAnsi="宋体" w:eastAsia="宋体"/>
                <w:b w:val="0"/>
                <w:bCs w:val="0"/>
                <w:color w:val="auto"/>
                <w:sz w:val="24"/>
                <w:szCs w:val="24"/>
                <w:highlight w:val="none"/>
                <w:u w:val="none"/>
              </w:rPr>
              <w:t>□</w:t>
            </w:r>
            <w:r>
              <w:rPr>
                <w:rFonts w:hint="eastAsia" w:ascii="宋体" w:hAnsi="宋体" w:eastAsia="宋体"/>
                <w:b w:val="0"/>
                <w:color w:val="auto"/>
                <w:sz w:val="24"/>
                <w:highlight w:val="none"/>
                <w:u w:val="none"/>
              </w:rPr>
              <w:t>最低评标价法</w:t>
            </w:r>
          </w:p>
          <w:p w14:paraId="30D5F750">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rPr>
              <w:t>综合评分法</w:t>
            </w:r>
          </w:p>
        </w:tc>
      </w:tr>
      <w:tr w14:paraId="4D29A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32C0DA72">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17.3</w:t>
            </w:r>
          </w:p>
        </w:tc>
        <w:tc>
          <w:tcPr>
            <w:tcW w:w="2033" w:type="dxa"/>
            <w:vAlign w:val="center"/>
          </w:tcPr>
          <w:p w14:paraId="2A96D270">
            <w:pPr>
              <w:pStyle w:val="31"/>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报价扣除</w:t>
            </w:r>
          </w:p>
        </w:tc>
        <w:tc>
          <w:tcPr>
            <w:tcW w:w="5618" w:type="dxa"/>
            <w:vAlign w:val="center"/>
          </w:tcPr>
          <w:p w14:paraId="644C6C19">
            <w:pPr>
              <w:keepNext w:val="0"/>
              <w:keepLines w:val="0"/>
              <w:widowControl/>
              <w:suppressLineNumbers w:val="0"/>
              <w:jc w:val="left"/>
              <w:rPr>
                <w:rFonts w:hint="eastAsia" w:ascii="宋体" w:hAnsi="宋体" w:eastAsia="宋体"/>
                <w:b w:val="0"/>
                <w:bCs w:val="0"/>
                <w:color w:val="auto"/>
                <w:sz w:val="24"/>
                <w:szCs w:val="24"/>
                <w:highlight w:val="none"/>
                <w:u w:val="none"/>
                <w:lang w:eastAsia="zh-CN"/>
              </w:rPr>
            </w:pPr>
            <w:r>
              <w:rPr>
                <w:rFonts w:hint="eastAsia" w:ascii="宋体" w:hAnsi="宋体" w:eastAsia="宋体" w:cs="宋体"/>
                <w:color w:val="auto"/>
                <w:kern w:val="0"/>
                <w:sz w:val="24"/>
                <w:szCs w:val="24"/>
                <w:highlight w:val="none"/>
                <w:lang w:val="en-US" w:eastAsia="zh-CN" w:bidi="ar"/>
              </w:rPr>
              <w:t>本项目不适用</w:t>
            </w:r>
          </w:p>
        </w:tc>
      </w:tr>
      <w:tr w14:paraId="4C1FE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30DC0281">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2033" w:type="dxa"/>
            <w:vAlign w:val="center"/>
          </w:tcPr>
          <w:p w14:paraId="135F748C">
            <w:pPr>
              <w:pStyle w:val="31"/>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本国产品价格扣</w:t>
            </w:r>
          </w:p>
          <w:p w14:paraId="4A97DDB6">
            <w:pPr>
              <w:pStyle w:val="31"/>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除</w:t>
            </w:r>
          </w:p>
        </w:tc>
        <w:tc>
          <w:tcPr>
            <w:tcW w:w="5618" w:type="dxa"/>
            <w:vAlign w:val="center"/>
          </w:tcPr>
          <w:p w14:paraId="59A4CDC9">
            <w:pPr>
              <w:pStyle w:val="31"/>
              <w:widowControl w:val="0"/>
              <w:spacing w:before="0" w:beforeAutospacing="0" w:after="0" w:afterAutospacing="0" w:line="360" w:lineRule="auto"/>
              <w:jc w:val="both"/>
              <w:rPr>
                <w:rFonts w:hint="eastAsia" w:ascii="宋体" w:hAnsi="宋体" w:eastAsia="宋体"/>
                <w:b w:val="0"/>
                <w:bCs w:val="0"/>
                <w:color w:val="auto"/>
                <w:sz w:val="24"/>
                <w:szCs w:val="24"/>
                <w:highlight w:val="none"/>
                <w:u w:val="none"/>
                <w:lang w:eastAsia="zh-CN"/>
              </w:rPr>
            </w:pPr>
            <w:r>
              <w:rPr>
                <w:rFonts w:hint="eastAsia" w:ascii="宋体" w:hAnsi="宋体" w:eastAsia="宋体"/>
                <w:b w:val="0"/>
                <w:bCs w:val="0"/>
                <w:color w:val="auto"/>
                <w:sz w:val="24"/>
                <w:szCs w:val="24"/>
                <w:highlight w:val="none"/>
                <w:u w:val="none"/>
                <w:lang w:eastAsia="zh-CN"/>
              </w:rPr>
              <w:t>本项目不适用</w:t>
            </w:r>
          </w:p>
        </w:tc>
      </w:tr>
      <w:tr w14:paraId="456E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F863C61">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6422F33F">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244" w:type="pct"/>
            <w:vAlign w:val="center"/>
          </w:tcPr>
          <w:p w14:paraId="5289A58C">
            <w:pPr>
              <w:pStyle w:val="31"/>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lang w:val="en-US" w:eastAsia="zh-CN"/>
              </w:rPr>
              <w:t xml:space="preserve">   1-3个     </w:t>
            </w:r>
          </w:p>
        </w:tc>
      </w:tr>
      <w:tr w14:paraId="2B5E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857674C">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4140DBC8">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244" w:type="pct"/>
            <w:vAlign w:val="center"/>
          </w:tcPr>
          <w:p w14:paraId="755F9CDB">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A8"/>
            </w:r>
            <w:r>
              <w:rPr>
                <w:rFonts w:hint="eastAsia" w:asciiTheme="minorEastAsia" w:hAnsiTheme="minorEastAsia" w:eastAsiaTheme="minorEastAsia"/>
                <w:color w:val="auto"/>
                <w:kern w:val="0"/>
                <w:sz w:val="24"/>
                <w:szCs w:val="24"/>
                <w:highlight w:val="none"/>
              </w:rPr>
              <w:t>采购人委托评标委员会确定</w:t>
            </w:r>
          </w:p>
          <w:p w14:paraId="2F273207">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lang w:eastAsia="zh-CN"/>
              </w:rPr>
              <w:t>☑</w:t>
            </w:r>
            <w:r>
              <w:rPr>
                <w:rFonts w:hint="eastAsia" w:asciiTheme="minorEastAsia" w:hAnsiTheme="minorEastAsia" w:eastAsiaTheme="minorEastAsia"/>
                <w:b w:val="0"/>
                <w:bCs w:val="0"/>
                <w:color w:val="auto"/>
                <w:kern w:val="2"/>
                <w:sz w:val="24"/>
                <w:szCs w:val="24"/>
                <w:highlight w:val="none"/>
              </w:rPr>
              <w:t>采购人确定</w:t>
            </w:r>
          </w:p>
        </w:tc>
      </w:tr>
      <w:tr w14:paraId="5B4F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6926625">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1174" w:type="pct"/>
            <w:vAlign w:val="center"/>
          </w:tcPr>
          <w:p w14:paraId="4F1035C0">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3244" w:type="pct"/>
            <w:vAlign w:val="center"/>
          </w:tcPr>
          <w:p w14:paraId="3A99AF53">
            <w:pPr>
              <w:pStyle w:val="31"/>
              <w:widowControl w:val="0"/>
              <w:spacing w:before="0" w:beforeAutospacing="0" w:after="0" w:afterAutospacing="0" w:line="360" w:lineRule="auto"/>
              <w:jc w:val="both"/>
              <w:rPr>
                <w:rFonts w:hint="eastAsia" w:ascii="宋体" w:hAnsi="宋体" w:eastAsia="宋体"/>
                <w:b w:val="0"/>
                <w:bCs w:val="0"/>
                <w:color w:val="auto"/>
                <w:sz w:val="24"/>
                <w:szCs w:val="24"/>
                <w:highlight w:val="none"/>
                <w:lang w:eastAsia="zh-CN"/>
              </w:rPr>
            </w:pPr>
            <w:r>
              <w:rPr>
                <w:rFonts w:hint="eastAsia" w:ascii="宋体" w:hAnsi="宋体" w:eastAsia="宋体"/>
                <w:b w:val="0"/>
                <w:color w:val="auto"/>
                <w:sz w:val="24"/>
                <w:highlight w:val="none"/>
                <w:u w:val="none"/>
                <w:lang w:val="en-US" w:eastAsia="zh-CN"/>
              </w:rPr>
              <w:t>无</w:t>
            </w:r>
          </w:p>
        </w:tc>
      </w:tr>
      <w:tr w14:paraId="1A71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75B88ED">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1174" w:type="pct"/>
            <w:vAlign w:val="center"/>
          </w:tcPr>
          <w:p w14:paraId="2999B215">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244" w:type="pct"/>
            <w:vAlign w:val="center"/>
          </w:tcPr>
          <w:p w14:paraId="331BFCC4">
            <w:pPr>
              <w:pStyle w:val="31"/>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67938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5D0FDD1">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174" w:type="pct"/>
            <w:vAlign w:val="center"/>
          </w:tcPr>
          <w:p w14:paraId="66EEB43F">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244" w:type="pct"/>
            <w:vAlign w:val="center"/>
          </w:tcPr>
          <w:p w14:paraId="5D19F76D">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063D6ABB">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Theme="minorEastAsia" w:hAnsiTheme="minorEastAsia" w:eastAsiaTheme="minorEastAsia"/>
                <w:b w:val="0"/>
                <w:bCs w:val="0"/>
                <w:color w:val="auto"/>
                <w:kern w:val="2"/>
                <w:sz w:val="24"/>
                <w:szCs w:val="24"/>
                <w:highlight w:val="none"/>
              </w:rPr>
            </w:pPr>
            <w:r>
              <w:rPr>
                <w:rFonts w:hint="eastAsia" w:asciiTheme="minorEastAsia" w:hAnsiTheme="minorEastAsia" w:eastAsiaTheme="minorEastAsia"/>
                <w:b w:val="0"/>
                <w:bCs w:val="0"/>
                <w:color w:val="auto"/>
                <w:kern w:val="2"/>
                <w:sz w:val="24"/>
                <w:szCs w:val="24"/>
                <w:highlight w:val="none"/>
              </w:rPr>
              <w:t>□评标现场告知</w:t>
            </w:r>
          </w:p>
          <w:p w14:paraId="661F44BA">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w:t>
            </w:r>
            <w:r>
              <w:rPr>
                <w:rFonts w:hint="eastAsia" w:asciiTheme="minorEastAsia" w:hAnsiTheme="minorEastAsia" w:eastAsiaTheme="minorEastAsia"/>
                <w:b w:val="0"/>
                <w:bCs w:val="0"/>
                <w:color w:val="auto"/>
                <w:kern w:val="2"/>
                <w:sz w:val="24"/>
                <w:szCs w:val="24"/>
                <w:highlight w:val="none"/>
                <w:u w:val="single"/>
                <w:lang w:val="en-US" w:eastAsia="zh-CN"/>
              </w:rPr>
              <w:t xml:space="preserve">     /       </w:t>
            </w:r>
          </w:p>
        </w:tc>
      </w:tr>
      <w:tr w14:paraId="6623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81" w:type="pct"/>
            <w:vAlign w:val="center"/>
          </w:tcPr>
          <w:p w14:paraId="71FB9405">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2033" w:type="dxa"/>
            <w:vAlign w:val="center"/>
          </w:tcPr>
          <w:p w14:paraId="0EDB3267">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5618" w:type="dxa"/>
            <w:vAlign w:val="top"/>
          </w:tcPr>
          <w:p w14:paraId="725BBE6A">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506F1C22">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免收</w:t>
            </w:r>
          </w:p>
          <w:p w14:paraId="38D8685E">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2.5</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197F751C">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70368557">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44B2BFBF">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6EC10671">
            <w:pPr>
              <w:numPr>
                <w:ilvl w:val="0"/>
                <w:numId w:val="0"/>
              </w:num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rPr>
              <w:t xml:space="preserve"> 安徽省宿州市立医院 </w:t>
            </w:r>
            <w:r>
              <w:rPr>
                <w:rFonts w:hint="eastAsia" w:ascii="宋体" w:hAnsi="宋体" w:eastAsia="宋体"/>
                <w:bCs/>
                <w:color w:val="auto"/>
                <w:kern w:val="0"/>
                <w:sz w:val="24"/>
                <w:szCs w:val="28"/>
                <w:highlight w:val="none"/>
              </w:rPr>
              <w:t xml:space="preserve">              </w:t>
            </w:r>
          </w:p>
          <w:p w14:paraId="73C82253">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rPr>
              <w:t xml:space="preserve"> 12126001040027226  </w:t>
            </w:r>
          </w:p>
          <w:p w14:paraId="34CD10CB">
            <w:pPr>
              <w:spacing w:line="360" w:lineRule="auto"/>
              <w:rPr>
                <w:rFonts w:ascii="宋体" w:hAnsi="宋体" w:eastAsia="宋体"/>
                <w:color w:val="auto"/>
                <w:sz w:val="24"/>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合同货物全部交货验收合格后，乙方提出申请后退还。 </w:t>
            </w:r>
          </w:p>
          <w:p w14:paraId="231E69D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注： </w:t>
            </w:r>
          </w:p>
          <w:p w14:paraId="19D9406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（1）履约保证金因中标人原因导致交货期限延长的， </w:t>
            </w:r>
          </w:p>
          <w:p w14:paraId="3E7A638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其履约保证金有效期应相应延长。 </w:t>
            </w:r>
          </w:p>
          <w:p w14:paraId="45C79A2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（2）发生下列之一者，则不予退还履约保证金： </w:t>
            </w:r>
          </w:p>
          <w:p w14:paraId="3494298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①中标人发生违约行为而完全终止合同； </w:t>
            </w:r>
          </w:p>
          <w:p w14:paraId="191CE7E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②中标人不履行实质性承诺。 </w:t>
            </w:r>
          </w:p>
          <w:p w14:paraId="2B384F2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（3）履约保证金的退还或不予退还并不免除中标人对已交付合同货物的质量责任。</w:t>
            </w:r>
          </w:p>
          <w:p w14:paraId="5C46F05D">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1EB5C7C6">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349A883B">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05050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691C91A2">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1174" w:type="pct"/>
            <w:vAlign w:val="center"/>
          </w:tcPr>
          <w:p w14:paraId="1919AE48">
            <w:pPr>
              <w:pStyle w:val="31"/>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3244" w:type="pct"/>
          </w:tcPr>
          <w:p w14:paraId="5DB05C9A">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（1）采购人与成交供应商应当自发出成交通知书之日起30日内签订合同。</w:t>
            </w:r>
          </w:p>
          <w:p w14:paraId="62D59618">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b/>
                <w:bCs/>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（2）采购人与成交供应商不得擅自变更合同。</w:t>
            </w:r>
          </w:p>
        </w:tc>
      </w:tr>
      <w:tr w14:paraId="4F43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9C4D0DD">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1174" w:type="pct"/>
            <w:vAlign w:val="center"/>
          </w:tcPr>
          <w:p w14:paraId="1A987307">
            <w:pPr>
              <w:pStyle w:val="31"/>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代理费用</w:t>
            </w:r>
          </w:p>
        </w:tc>
        <w:tc>
          <w:tcPr>
            <w:tcW w:w="3244" w:type="pct"/>
            <w:vAlign w:val="center"/>
          </w:tcPr>
          <w:p w14:paraId="563EFF97">
            <w:pPr>
              <w:pStyle w:val="62"/>
              <w:tabs>
                <w:tab w:val="left" w:pos="2213"/>
              </w:tabs>
              <w:spacing w:line="440" w:lineRule="atLeas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本项目采购代理服务费：代理服务费按照按计委计价格[2002]1980号文件和发改委发改价格 [2011]534号文件规定标准的60%，计取收费的计算基数为代理项目的中标金额，由中标人支付；</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成交供应商是否交纳采购代理服务费：☑是 □否</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（1）供应商总报价中应考虑采购代理服务费；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（2）成交候选供应商被确定为成交供应商后，须在领取成交通知书之日起3个工作日内向</w:t>
            </w:r>
            <w:r>
              <w:rPr>
                <w:rFonts w:hint="eastAsia" w:ascii="宋体" w:hAnsi="宋体" w:eastAsia="宋体" w:cs="宋体"/>
                <w:color w:val="auto"/>
                <w:sz w:val="24"/>
                <w:szCs w:val="24"/>
                <w:highlight w:val="none"/>
                <w:lang w:eastAsia="zh-CN"/>
              </w:rPr>
              <w:t>安徽中技工程咨询有限公司</w:t>
            </w:r>
            <w:r>
              <w:rPr>
                <w:rFonts w:hint="eastAsia" w:ascii="宋体" w:hAnsi="宋体" w:eastAsia="宋体" w:cs="宋体"/>
                <w:color w:val="auto"/>
                <w:sz w:val="24"/>
                <w:szCs w:val="24"/>
                <w:highlight w:val="none"/>
              </w:rPr>
              <w:t>支付采购代理服务费。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（3）采购代理服务费以汇款形式支付；</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（4）成交供应商须在以下账户交纳采购代理服务费：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账户名：</w:t>
            </w:r>
            <w:r>
              <w:rPr>
                <w:rFonts w:hint="eastAsia" w:ascii="宋体" w:hAnsi="宋体" w:eastAsia="宋体" w:cs="宋体"/>
                <w:color w:val="auto"/>
                <w:sz w:val="24"/>
                <w:szCs w:val="24"/>
                <w:highlight w:val="none"/>
                <w:lang w:eastAsia="zh-CN"/>
              </w:rPr>
              <w:t>安徽中技工程咨询有限公司</w:t>
            </w:r>
          </w:p>
          <w:p w14:paraId="001F4FF1">
            <w:pPr>
              <w:pStyle w:val="62"/>
              <w:tabs>
                <w:tab w:val="left" w:pos="2213"/>
              </w:tabs>
              <w:spacing w:line="440" w:lineRule="atLeas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lang w:eastAsia="zh-CN"/>
              </w:rPr>
              <w:t>交通银行合肥分行黄山路支行</w:t>
            </w:r>
          </w:p>
          <w:p w14:paraId="309F3075">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cs="宋体"/>
                <w:color w:val="auto"/>
                <w:sz w:val="24"/>
                <w:szCs w:val="24"/>
                <w:highlight w:val="none"/>
              </w:rPr>
              <w:t>账号：</w:t>
            </w:r>
            <w:r>
              <w:rPr>
                <w:rFonts w:hint="eastAsia" w:ascii="宋体" w:hAnsi="宋体" w:eastAsia="宋体" w:cs="宋体"/>
                <w:color w:val="auto"/>
                <w:sz w:val="24"/>
                <w:szCs w:val="24"/>
                <w:highlight w:val="none"/>
                <w:lang w:eastAsia="zh-CN"/>
              </w:rPr>
              <w:t>341314000018150070757</w:t>
            </w:r>
          </w:p>
        </w:tc>
      </w:tr>
      <w:tr w14:paraId="07A8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06EC6AE">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74" w:type="pct"/>
            <w:vAlign w:val="center"/>
          </w:tcPr>
          <w:p w14:paraId="56604392">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44" w:type="pct"/>
            <w:vAlign w:val="center"/>
          </w:tcPr>
          <w:p w14:paraId="0043393B">
            <w:pPr>
              <w:pStyle w:val="31"/>
              <w:keepNext w:val="0"/>
              <w:keepLines w:val="0"/>
              <w:pageBreakBefore w:val="0"/>
              <w:widowControl w:val="0"/>
              <w:kinsoku w:val="0"/>
              <w:wordWrap w:val="0"/>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val="0"/>
                <w:bCs w:val="0"/>
                <w:color w:val="auto"/>
                <w:kern w:val="0"/>
                <w:sz w:val="24"/>
                <w:szCs w:val="28"/>
                <w:highlight w:val="none"/>
                <w:u w:val="single"/>
              </w:rPr>
            </w:pPr>
            <w:r>
              <w:rPr>
                <w:rFonts w:hint="eastAsia" w:ascii="宋体" w:hAnsi="宋体" w:eastAsia="宋体" w:cs="宋体"/>
                <w:b w:val="0"/>
                <w:color w:val="auto"/>
                <w:sz w:val="24"/>
                <w:highlight w:val="none"/>
              </w:rPr>
              <w:t>递交方式：</w:t>
            </w:r>
            <w:r>
              <w:rPr>
                <w:rFonts w:hint="eastAsia" w:ascii="宋体" w:hAnsi="宋体" w:eastAsia="宋体" w:cs="宋体"/>
                <w:b w:val="0"/>
                <w:bCs w:val="0"/>
                <w:color w:val="auto"/>
                <w:kern w:val="0"/>
                <w:sz w:val="24"/>
                <w:szCs w:val="28"/>
                <w:highlight w:val="none"/>
                <w:u w:val="single"/>
              </w:rPr>
              <w:t>按采购公告载明的采购人或采购代理机构信息，向其提出。</w:t>
            </w:r>
            <w:r>
              <w:rPr>
                <w:rFonts w:hint="eastAsia" w:ascii="宋体" w:hAnsi="宋体" w:eastAsia="宋体" w:cs="宋体"/>
                <w:b w:val="0"/>
                <w:bCs w:val="0"/>
                <w:color w:val="auto"/>
                <w:kern w:val="0"/>
                <w:sz w:val="24"/>
                <w:szCs w:val="28"/>
                <w:highlight w:val="none"/>
                <w:u w:val="single"/>
                <w:lang w:val="en-US" w:eastAsia="zh-CN"/>
              </w:rPr>
              <w:t>也</w:t>
            </w:r>
            <w:r>
              <w:rPr>
                <w:rFonts w:hint="eastAsia" w:ascii="宋体" w:hAnsi="宋体" w:eastAsia="宋体" w:cs="宋体"/>
                <w:b w:val="0"/>
                <w:bCs w:val="0"/>
                <w:color w:val="auto"/>
                <w:kern w:val="0"/>
                <w:sz w:val="24"/>
                <w:szCs w:val="28"/>
                <w:highlight w:val="none"/>
                <w:u w:val="single"/>
              </w:rPr>
              <w:t>可登录电子交易系统</w:t>
            </w:r>
          </w:p>
          <w:p w14:paraId="6E991426">
            <w:pPr>
              <w:pStyle w:val="31"/>
              <w:keepNext w:val="0"/>
              <w:keepLines w:val="0"/>
              <w:pageBreakBefore w:val="0"/>
              <w:widowControl w:val="0"/>
              <w:kinsoku w:val="0"/>
              <w:wordWrap w:val="0"/>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val="0"/>
                <w:color w:val="auto"/>
                <w:sz w:val="24"/>
                <w:highlight w:val="none"/>
              </w:rPr>
            </w:pPr>
            <w:r>
              <w:rPr>
                <w:rFonts w:hint="eastAsia" w:ascii="宋体" w:hAnsi="宋体" w:eastAsia="宋体" w:cs="宋体"/>
                <w:b w:val="0"/>
                <w:bCs w:val="0"/>
                <w:color w:val="auto"/>
                <w:kern w:val="0"/>
                <w:sz w:val="24"/>
                <w:szCs w:val="28"/>
                <w:highlight w:val="none"/>
                <w:u w:val="single"/>
              </w:rPr>
              <w:t>http://60.171.247.212:8111/TPBidder/memberLogin 点击网上“质疑菜单”发起在线质疑，招标人或招标代理会在约定期限内做出答复。</w:t>
            </w:r>
          </w:p>
          <w:p w14:paraId="5AF7EFBF">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cs="宋体"/>
                <w:b w:val="0"/>
                <w:color w:val="auto"/>
                <w:sz w:val="24"/>
                <w:highlight w:val="none"/>
              </w:rPr>
              <w:t>接收部门：</w:t>
            </w:r>
            <w:r>
              <w:rPr>
                <w:rFonts w:hint="eastAsia" w:ascii="宋体" w:hAnsi="宋体" w:eastAsia="宋体" w:cs="宋体"/>
                <w:b w:val="0"/>
                <w:bCs w:val="0"/>
                <w:color w:val="auto"/>
                <w:kern w:val="0"/>
                <w:sz w:val="24"/>
                <w:szCs w:val="28"/>
                <w:highlight w:val="none"/>
                <w:u w:val="single"/>
              </w:rPr>
              <w:t xml:space="preserve"> </w:t>
            </w:r>
            <w:r>
              <w:rPr>
                <w:rFonts w:hint="eastAsia" w:ascii="宋体" w:hAnsi="宋体" w:eastAsia="宋体" w:cs="宋体"/>
                <w:b w:val="0"/>
                <w:bCs w:val="0"/>
                <w:color w:val="auto"/>
                <w:kern w:val="0"/>
                <w:sz w:val="24"/>
                <w:szCs w:val="28"/>
                <w:highlight w:val="none"/>
                <w:u w:val="single"/>
                <w:lang w:eastAsia="zh-CN"/>
              </w:rPr>
              <w:t>安徽中技工程咨询有限公司</w:t>
            </w:r>
          </w:p>
        </w:tc>
      </w:tr>
      <w:tr w14:paraId="65AF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D80F19C">
            <w:pPr>
              <w:pStyle w:val="32"/>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1174" w:type="pct"/>
            <w:vAlign w:val="center"/>
          </w:tcPr>
          <w:p w14:paraId="746E8AD2">
            <w:pPr>
              <w:pStyle w:val="31"/>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3244" w:type="pct"/>
            <w:vAlign w:val="center"/>
          </w:tcPr>
          <w:p w14:paraId="718C588D">
            <w:pPr>
              <w:pStyle w:val="31"/>
              <w:widowControl w:val="0"/>
              <w:numPr>
                <w:ilvl w:val="0"/>
                <w:numId w:val="0"/>
              </w:numPr>
              <w:spacing w:before="0" w:beforeAutospacing="0" w:after="0" w:afterAutospacing="0" w:line="360" w:lineRule="auto"/>
              <w:jc w:val="both"/>
              <w:rPr>
                <w:rFonts w:hint="eastAsia"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1、解释权：</w:t>
            </w:r>
          </w:p>
          <w:p w14:paraId="7B39DDF4">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（1）构成本</w:t>
            </w:r>
            <w:r>
              <w:rPr>
                <w:rFonts w:hint="eastAsia" w:ascii="宋体" w:hAnsi="宋体" w:eastAsia="宋体" w:cs="宋体"/>
                <w:bCs/>
                <w:color w:val="auto"/>
                <w:sz w:val="24"/>
                <w:szCs w:val="24"/>
                <w:highlight w:val="none"/>
                <w:lang w:val="en-US" w:eastAsia="zh-CN"/>
              </w:rPr>
              <w:t>谈判</w:t>
            </w:r>
            <w:r>
              <w:rPr>
                <w:rFonts w:hint="eastAsia" w:ascii="宋体" w:hAnsi="宋体" w:eastAsia="宋体" w:cs="宋体"/>
                <w:bCs/>
                <w:color w:val="auto"/>
                <w:sz w:val="24"/>
                <w:szCs w:val="24"/>
                <w:highlight w:val="none"/>
              </w:rPr>
              <w:t>文件的各个组成文件应互为解释，互为说明；</w:t>
            </w:r>
          </w:p>
          <w:p w14:paraId="7C1A80EA">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（2）同一组成文件中就同一事项的规定或约定不一致的，以编排顺序在后者为准；</w:t>
            </w:r>
          </w:p>
          <w:p w14:paraId="55597C2D">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（3）如有不明确或不一致，构成合同文件组成内容的，以合同文件约定内容为准，且以专用合同条款约定的合同文件优先顺序解释；</w:t>
            </w:r>
          </w:p>
          <w:p w14:paraId="4E61A649">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（4）除谈判文件中有特别规定外，仅适用于谈判及响应文件提交阶段的规定，按竞争性谈判公告、谈判邀请、供应商须知、评审方法和标准、响应文件格式的先后顺序解释；</w:t>
            </w:r>
          </w:p>
          <w:p w14:paraId="75612FE7">
            <w:pPr>
              <w:pStyle w:val="31"/>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（5）按本款前述规定仍不能形成结论的，由采购人负责解释。</w:t>
            </w:r>
          </w:p>
        </w:tc>
      </w:tr>
    </w:tbl>
    <w:p w14:paraId="5DC4CF9D">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1" w:name="_Toc24882"/>
      <w:bookmarkStart w:id="22" w:name="_Toc14880"/>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21"/>
      <w:bookmarkEnd w:id="22"/>
    </w:p>
    <w:p w14:paraId="1BF44B3B">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6447FD2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.1采购人：是指依法开展采购活动的国家机关、事业单位、团体组织。</w:t>
      </w:r>
    </w:p>
    <w:p w14:paraId="45B9DC9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5422A99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.3采购监督管理部门：</w:t>
      </w:r>
      <w:r>
        <w:rPr>
          <w:rFonts w:hint="eastAsia" w:ascii="宋体" w:hAnsi="宋体" w:eastAsia="宋体"/>
          <w:color w:val="auto"/>
          <w:sz w:val="24"/>
          <w:highlight w:val="none"/>
        </w:rPr>
        <w:t>各级人民政府指定的有关部门依法履行与采购活动有关的监督管理职责。</w:t>
      </w:r>
    </w:p>
    <w:p w14:paraId="174AD00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分支机构不得参加采购活动，但银行、保险、石油石化、电力、电信等特殊行业除外。</w:t>
      </w:r>
      <w:r>
        <w:rPr>
          <w:rFonts w:ascii="宋体" w:hAnsi="宋体" w:eastAsia="宋体"/>
          <w:color w:val="auto"/>
          <w:sz w:val="24"/>
          <w:highlight w:val="none"/>
        </w:rPr>
        <w:t>本项目的投标人须满足以下条件：</w:t>
      </w:r>
    </w:p>
    <w:p w14:paraId="7EB5FA6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w:t>
      </w:r>
      <w:r>
        <w:rPr>
          <w:rFonts w:hint="eastAsia" w:ascii="宋体" w:hAnsi="宋体" w:eastAsia="宋体"/>
          <w:color w:val="auto"/>
          <w:sz w:val="24"/>
          <w:highlight w:val="none"/>
          <w:lang w:val="en-US" w:eastAsia="zh-CN"/>
        </w:rPr>
        <w:t>招标公告</w:t>
      </w:r>
      <w:r>
        <w:rPr>
          <w:rFonts w:ascii="宋体" w:hAnsi="宋体" w:eastAsia="宋体"/>
          <w:color w:val="auto"/>
          <w:sz w:val="24"/>
          <w:highlight w:val="none"/>
        </w:rPr>
        <w:t>供应商条件的规定，遵守本项目采购人本级和上级部门采购的有关规定。</w:t>
      </w:r>
    </w:p>
    <w:p w14:paraId="2D5D32B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348DA65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59D57FE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7543ADC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48AB86BF">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0D5552E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5.2联合体各方均应符合规定的条件。</w:t>
      </w:r>
    </w:p>
    <w:p w14:paraId="3AC83EF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6CBBC58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44326D0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65024E8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3F3C491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66A5B6E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3AF83CAD">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21683B0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ABFDD1D">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70F1B94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1833B6B2">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3CBE5DC4">
      <w:pPr>
        <w:spacing w:line="360" w:lineRule="auto"/>
        <w:ind w:firstLine="435"/>
        <w:rPr>
          <w:rFonts w:hint="eastAsia" w:asciiTheme="minorEastAsia" w:hAnsiTheme="minorEastAsia" w:eastAsiaTheme="minorEastAsia"/>
          <w:b/>
          <w:color w:val="auto"/>
          <w:sz w:val="24"/>
          <w:highlight w:val="none"/>
          <w:lang w:val="en-US" w:eastAsia="zh-CN"/>
        </w:rPr>
      </w:pPr>
      <w:r>
        <w:rPr>
          <w:rFonts w:hint="eastAsia" w:ascii="宋体" w:hAnsi="宋体" w:eastAsia="宋体"/>
          <w:color w:val="auto"/>
          <w:sz w:val="24"/>
          <w:highlight w:val="none"/>
        </w:rPr>
        <w:t>本项目采购人、采购代理机构、投标人、评标委员会的相关行为均受采购有关规定的约束，其权利受到上述法律法规的保护。</w:t>
      </w:r>
    </w:p>
    <w:p w14:paraId="6751937E">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5.招标文件构成</w:t>
      </w:r>
    </w:p>
    <w:p w14:paraId="0778BD5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4BA1FAD3">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5DE63B80">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6F799221">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1038F698">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01F50D0F">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采购合同</w:t>
      </w:r>
    </w:p>
    <w:p w14:paraId="0AE12362">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626B4731">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6F1B6A6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22F13DC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4A616D0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0E44888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投标人应认真阅读招标文件所有的事项、格式、条款和技术规范等。</w:t>
      </w:r>
    </w:p>
    <w:p w14:paraId="22E01125">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6.招标文件的澄清与修改</w:t>
      </w:r>
    </w:p>
    <w:p w14:paraId="6466F50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593F48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在网</w:t>
      </w:r>
      <w:r>
        <w:rPr>
          <w:rFonts w:hint="eastAsia" w:asciiTheme="minorEastAsia" w:hAnsiTheme="minorEastAsia" w:eastAsiaTheme="minorEastAsia"/>
          <w:color w:val="auto"/>
          <w:sz w:val="24"/>
          <w:highlight w:val="none"/>
          <w:lang w:val="en-US" w:eastAsia="zh-CN"/>
        </w:rPr>
        <w:t>上</w:t>
      </w:r>
      <w:r>
        <w:rPr>
          <w:rFonts w:hint="eastAsia" w:asciiTheme="minorEastAsia" w:hAnsiTheme="minorEastAsia" w:eastAsiaTheme="minorEastAsia"/>
          <w:color w:val="auto"/>
          <w:sz w:val="24"/>
          <w:highlight w:val="none"/>
        </w:rPr>
        <w:t>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2064E36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1E10D61D">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22EC0309">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7.投标范围及投标文件中标准和计量单位的使用</w:t>
      </w:r>
    </w:p>
    <w:p w14:paraId="681763A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5A35AAF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49E23BA5">
      <w:pPr>
        <w:spacing w:line="360" w:lineRule="auto"/>
        <w:ind w:firstLine="435"/>
        <w:rPr>
          <w:rFonts w:asciiTheme="minorEastAsia" w:hAnsiTheme="minorEastAsia" w:eastAsiaTheme="minorEastAsia"/>
          <w:color w:val="auto"/>
          <w:sz w:val="24"/>
          <w:highlight w:val="none"/>
        </w:rPr>
      </w:pPr>
      <w:bookmarkStart w:id="23"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23"/>
    <w:p w14:paraId="2CE9092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2B000BC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3F5AC4E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25B292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254CF768">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24" w:name="_Hlk11703583"/>
      <w:r>
        <w:rPr>
          <w:rFonts w:hint="eastAsia" w:asciiTheme="minorEastAsia" w:hAnsiTheme="minorEastAsia" w:eastAsiaTheme="minorEastAsia"/>
          <w:color w:val="auto"/>
          <w:sz w:val="24"/>
          <w:highlight w:val="none"/>
          <w:lang w:val="en-US" w:eastAsia="zh-CN"/>
        </w:rPr>
        <w:t>等。</w:t>
      </w:r>
    </w:p>
    <w:bookmarkEnd w:id="24"/>
    <w:p w14:paraId="348224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7B3C4DA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2380048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08F587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1FF7AA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0323B7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4436AE6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2B006C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0405A4D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52B8EB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473D222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24BC8B8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69B2825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458F10A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3B85D6B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6184B10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3BF0DE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78BC477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680C78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2E08B26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3C118CB9">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78EA473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7B9682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772527BE">
      <w:pPr>
        <w:spacing w:line="360" w:lineRule="auto"/>
        <w:ind w:firstLine="435"/>
        <w:rPr>
          <w:rFonts w:hint="eastAsia" w:ascii="宋体" w:hAnsi="宋体" w:eastAsia="宋体" w:cs="宋体"/>
          <w:color w:val="auto"/>
          <w:sz w:val="24"/>
          <w:szCs w:val="24"/>
          <w:highlight w:val="none"/>
        </w:rPr>
      </w:pPr>
      <w:bookmarkStart w:id="25" w:name="_Hlk24663244"/>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15CDAB1E">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5793C52B">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25"/>
    <w:p w14:paraId="32CF1F0F">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1677CDB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355060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1ECDC98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.2如一个分包内只有一种产品，不同投标人所投产品为同一品牌的，按如下方式处理：</w:t>
      </w:r>
    </w:p>
    <w:p w14:paraId="4B6A6FA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.2.1如本项目使用最低评标价法，提供相同品牌产品的不同投标人以其中通过资格审查、符合性审查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84ED16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.2.2如本项目使用综合评分法，提供相同品牌产品且通过资格审查、符合性审查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14:paraId="10BFB16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u w:val="none"/>
          <w:lang w:val="en-US" w:eastAsia="zh-CN"/>
        </w:rPr>
        <w:t>采购需求</w:t>
      </w:r>
      <w:r>
        <w:rPr>
          <w:rFonts w:asciiTheme="minorEastAsia" w:hAnsiTheme="minorEastAsia" w:eastAsiaTheme="minorEastAsia"/>
          <w:color w:val="auto"/>
          <w:sz w:val="24"/>
          <w:highlight w:val="none"/>
          <w:u w:val="none"/>
        </w:rPr>
        <w:t>中</w:t>
      </w:r>
      <w:r>
        <w:rPr>
          <w:rFonts w:asciiTheme="minorEastAsia" w:hAnsiTheme="minorEastAsia" w:eastAsiaTheme="minorEastAsia"/>
          <w:color w:val="auto"/>
          <w:sz w:val="24"/>
          <w:highlight w:val="none"/>
        </w:rPr>
        <w:t>载明核心产品，多家投标人提供的核心产品品牌相同的，按第</w:t>
      </w: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款</w:t>
      </w:r>
      <w:r>
        <w:rPr>
          <w:rFonts w:asciiTheme="minorEastAsia" w:hAnsiTheme="minorEastAsia" w:eastAsiaTheme="minorEastAsia"/>
          <w:color w:val="auto"/>
          <w:sz w:val="24"/>
          <w:highlight w:val="none"/>
        </w:rPr>
        <w:t>规定处理。</w:t>
      </w:r>
    </w:p>
    <w:p w14:paraId="3AC51D0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1B14E3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13B7E94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2A1124F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asciiTheme="minorEastAsia" w:hAnsiTheme="minorEastAsia" w:eastAsiaTheme="minorEastAsia"/>
          <w:color w:val="auto"/>
          <w:sz w:val="24"/>
          <w:highlight w:val="none"/>
        </w:rPr>
        <w:t>4.2</w:t>
      </w:r>
      <w:r>
        <w:rPr>
          <w:rFonts w:hint="eastAsia" w:asciiTheme="minorEastAsia" w:hAnsiTheme="minorEastAsia" w:eastAsiaTheme="minorEastAsia"/>
          <w:color w:val="auto"/>
          <w:sz w:val="24"/>
          <w:highlight w:val="none"/>
        </w:rPr>
        <w:t>投标人的澄清、说明或补正将作为投标文件的一部分。</w:t>
      </w:r>
    </w:p>
    <w:p w14:paraId="20B8299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1668303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5投标文件报价出现前后不一致的，按照下列规定修正：</w:t>
      </w:r>
    </w:p>
    <w:p w14:paraId="5A45EFDF">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3DD6BC84">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0C911C7E">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29D58767">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1FB71949">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45727384">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7CAFD64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0B4310A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482CA2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15BA0A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2BBE37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63282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27075D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59C0C8A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4BEDABA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755B073D">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7B4BAE0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2684790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656220C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7DA9149C">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217638C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5CC32B4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06E065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2A56F4AA">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1EDF639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500D309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8EB54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1962E13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57C254C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3A7D17E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auto"/>
          <w:kern w:val="2"/>
          <w:sz w:val="24"/>
          <w:szCs w:val="24"/>
          <w:highlight w:val="none"/>
          <w:u w:val="none"/>
          <w:lang w:val="en-US" w:eastAsia="zh-CN" w:bidi="ar-SA"/>
        </w:rPr>
        <w:t>采购监督管理部门</w:t>
      </w:r>
      <w:r>
        <w:rPr>
          <w:rFonts w:hint="eastAsia" w:asciiTheme="minorEastAsia" w:hAnsiTheme="minorEastAsia" w:eastAsiaTheme="minorEastAsia"/>
          <w:color w:val="auto"/>
          <w:sz w:val="24"/>
          <w:highlight w:val="none"/>
        </w:rPr>
        <w:t>批准。</w:t>
      </w:r>
    </w:p>
    <w:p w14:paraId="2248A9B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487A3EE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2B9163E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20F65F2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64DA52B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291D26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出现两家或两家以上相同者，则采取评标委员会随机抽取的方式确定中标候选顺序。</w:t>
      </w:r>
    </w:p>
    <w:p w14:paraId="16E9C88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auto"/>
          <w:sz w:val="24"/>
          <w:highlight w:val="none"/>
        </w:rPr>
        <w:t>，则采取评标委员会随机抽取的方式确定中标候选顺序。</w:t>
      </w:r>
    </w:p>
    <w:p w14:paraId="03106BD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44B7C34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363C65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3147137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61A0A21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4A55E3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22E267C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064D10D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06D9CACA">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w:t>
      </w:r>
      <w:r>
        <w:rPr>
          <w:rFonts w:hint="eastAsia" w:ascii="宋体" w:hAnsi="宋体" w:eastAsia="宋体"/>
          <w:color w:val="auto"/>
          <w:sz w:val="24"/>
          <w:szCs w:val="18"/>
          <w:highlight w:val="none"/>
          <w:lang w:val="en-US" w:eastAsia="zh-CN"/>
        </w:rPr>
        <w:t>网</w:t>
      </w:r>
      <w:r>
        <w:rPr>
          <w:rFonts w:hint="eastAsia" w:ascii="宋体" w:hAnsi="宋体" w:eastAsia="宋体"/>
          <w:color w:val="auto"/>
          <w:sz w:val="24"/>
          <w:szCs w:val="18"/>
          <w:highlight w:val="none"/>
        </w:rPr>
        <w:t>上发布中标结果公告。</w:t>
      </w:r>
    </w:p>
    <w:p w14:paraId="3BC6F6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7C12106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52DE7CD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3A9F6F2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33F4987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1CC1499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1E4AE37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6C808E8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60A18F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55F6B442">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38D95CA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5383EA1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的时间内完成采购合同签订及合同公告。</w:t>
      </w:r>
    </w:p>
    <w:p w14:paraId="60CF480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4216231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，也可以重新开展采购活动。</w:t>
      </w:r>
    </w:p>
    <w:p w14:paraId="2909804F">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2547649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7926190C">
      <w:pPr>
        <w:spacing w:line="360" w:lineRule="auto"/>
        <w:ind w:firstLine="437"/>
        <w:outlineLvl w:val="2"/>
        <w:rPr>
          <w:rFonts w:asciiTheme="minorEastAsia" w:hAnsiTheme="minorEastAsia" w:eastAsiaTheme="minorEastAsia"/>
          <w:b/>
          <w:color w:val="auto"/>
          <w:sz w:val="24"/>
          <w:highlight w:val="none"/>
        </w:rPr>
      </w:pPr>
      <w:bookmarkStart w:id="26" w:name="_Toc2583661"/>
      <w:bookmarkStart w:id="27" w:name="_Toc518923100"/>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26"/>
      <w:bookmarkEnd w:id="27"/>
    </w:p>
    <w:p w14:paraId="18C4DC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不得以不正当手段获取采购代理业务，不得与采购人、供应商恶意串通。</w:t>
      </w:r>
    </w:p>
    <w:p w14:paraId="0322836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12C59DE8">
      <w:pPr>
        <w:spacing w:line="360" w:lineRule="auto"/>
        <w:ind w:firstLine="437"/>
        <w:outlineLvl w:val="2"/>
        <w:rPr>
          <w:rFonts w:asciiTheme="minorEastAsia" w:hAnsiTheme="minorEastAsia" w:eastAsiaTheme="minorEastAsia"/>
          <w:b/>
          <w:color w:val="auto"/>
          <w:sz w:val="24"/>
          <w:highlight w:val="none"/>
        </w:rPr>
      </w:pPr>
      <w:bookmarkStart w:id="28" w:name="_Toc518923101"/>
      <w:bookmarkStart w:id="29" w:name="_Toc2583662"/>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28"/>
      <w:bookmarkEnd w:id="29"/>
    </w:p>
    <w:p w14:paraId="0B1192DE">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471F191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6DF9776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03AEA0C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质疑供应商应按照《采购供应商质疑函范本》格式（详见招标文件）要求，在法定质疑期内以书面形式提出质疑，超出法定质疑期提交的质疑将被拒绝。针对同一采购程序环节的质疑应一次性提出。</w:t>
      </w:r>
    </w:p>
    <w:p w14:paraId="24D3F218">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6CCC8C4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2258F86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1432393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7084582A">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46B29A95">
      <w:pPr>
        <w:spacing w:line="360" w:lineRule="auto"/>
        <w:jc w:val="center"/>
        <w:outlineLvl w:val="0"/>
        <w:rPr>
          <w:rFonts w:hint="eastAsia" w:asciiTheme="minorEastAsia" w:hAnsiTheme="minorEastAsia" w:eastAsiaTheme="minorEastAsia"/>
          <w:b/>
          <w:color w:val="auto"/>
          <w:sz w:val="28"/>
          <w:highlight w:val="none"/>
          <w:lang w:eastAsia="zh-CN"/>
        </w:rPr>
      </w:pPr>
      <w:bookmarkStart w:id="30" w:name="_Toc10891"/>
      <w:r>
        <w:rPr>
          <w:rFonts w:hint="eastAsia" w:asciiTheme="minorEastAsia" w:hAnsiTheme="minorEastAsia" w:eastAsiaTheme="minorEastAsia"/>
          <w:b/>
          <w:color w:val="auto"/>
          <w:sz w:val="28"/>
          <w:highlight w:val="none"/>
        </w:rPr>
        <w:t>第三章  采购需求</w:t>
      </w:r>
      <w:bookmarkEnd w:id="30"/>
    </w:p>
    <w:p w14:paraId="54F2F63D">
      <w:pPr>
        <w:spacing w:line="360" w:lineRule="auto"/>
        <w:rPr>
          <w:rFonts w:ascii="宋体" w:hAnsi="宋体" w:eastAsia="宋体"/>
          <w:b/>
          <w:color w:val="auto"/>
          <w:sz w:val="24"/>
          <w:highlight w:val="none"/>
        </w:rPr>
      </w:pPr>
      <w:bookmarkStart w:id="31" w:name="_Toc2554"/>
      <w:bookmarkStart w:id="32" w:name="_Toc32151"/>
      <w:r>
        <w:rPr>
          <w:rFonts w:hint="eastAsia" w:ascii="宋体" w:hAnsi="宋体" w:eastAsia="宋体"/>
          <w:b/>
          <w:color w:val="auto"/>
          <w:sz w:val="24"/>
          <w:highlight w:val="none"/>
        </w:rPr>
        <w:t>前注：</w:t>
      </w:r>
    </w:p>
    <w:p w14:paraId="4FBFF3E3">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0B897484">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29EED186">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61509522">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77182B5B">
      <w:pPr>
        <w:spacing w:line="360" w:lineRule="auto"/>
        <w:ind w:firstLine="435"/>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7CE414AD">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4.下列采购需求中：标注▲的产品为核心产品。</w:t>
      </w:r>
    </w:p>
    <w:p w14:paraId="2E0565C9">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b/>
          <w:bCs/>
          <w:color w:val="auto"/>
          <w:sz w:val="24"/>
          <w:szCs w:val="18"/>
          <w:highlight w:val="none"/>
          <w:lang w:val="en-US" w:eastAsia="zh-CN"/>
        </w:rPr>
        <w:t>5.投标产品具有相应有效的医疗器械注册证（适用第二类和第三类医疗器械）或备案凭证（适用第一类医疗器械）</w:t>
      </w:r>
      <w:r>
        <w:rPr>
          <w:rFonts w:hint="eastAsia" w:ascii="宋体" w:hAnsi="宋体" w:eastAsia="宋体" w:cs="宋体"/>
          <w:b/>
          <w:bCs/>
          <w:color w:val="auto"/>
          <w:kern w:val="0"/>
          <w:sz w:val="24"/>
          <w:szCs w:val="24"/>
          <w:highlight w:val="none"/>
          <w:lang w:bidi="ar"/>
        </w:rPr>
        <w:t>。</w:t>
      </w:r>
    </w:p>
    <w:p w14:paraId="1FDF67F4">
      <w:pPr>
        <w:spacing w:line="360" w:lineRule="auto"/>
        <w:ind w:firstLine="437"/>
        <w:outlineLvl w:val="1"/>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b/>
          <w:bCs/>
          <w:color w:val="auto"/>
          <w:sz w:val="24"/>
          <w:szCs w:val="18"/>
          <w:highlight w:val="none"/>
          <w:lang w:val="en-US" w:eastAsia="zh-CN"/>
        </w:rPr>
        <w:t>6.</w:t>
      </w:r>
      <w:r>
        <w:rPr>
          <w:rFonts w:hint="eastAsia" w:ascii="宋体" w:hAnsi="宋体" w:eastAsia="宋体" w:cs="宋体"/>
          <w:b/>
          <w:bCs/>
          <w:color w:val="auto"/>
          <w:kern w:val="0"/>
          <w:sz w:val="24"/>
          <w:szCs w:val="24"/>
          <w:highlight w:val="none"/>
          <w:lang w:val="en-US" w:eastAsia="zh-CN" w:bidi="ar"/>
        </w:rPr>
        <w:t>货物需求相关标识符号说明</w:t>
      </w:r>
    </w:p>
    <w:tbl>
      <w:tblPr>
        <w:tblStyle w:val="2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7"/>
        <w:gridCol w:w="1125"/>
        <w:gridCol w:w="5370"/>
      </w:tblGrid>
      <w:tr w14:paraId="0AFFE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7" w:type="dxa"/>
            <w:noWrap w:val="0"/>
            <w:vAlign w:val="center"/>
          </w:tcPr>
          <w:p w14:paraId="61FA7759">
            <w:pPr>
              <w:widowControl/>
              <w:jc w:val="center"/>
              <w:rPr>
                <w:rFonts w:hint="eastAsia"/>
                <w:color w:val="auto"/>
                <w:highlight w:val="none"/>
              </w:rPr>
            </w:pPr>
            <w:r>
              <w:rPr>
                <w:rFonts w:hint="eastAsia" w:ascii="宋体" w:hAnsi="宋体" w:eastAsia="宋体" w:cs="宋体"/>
                <w:b/>
                <w:bCs/>
                <w:color w:val="auto"/>
                <w:kern w:val="0"/>
                <w:sz w:val="24"/>
                <w:szCs w:val="24"/>
                <w:highlight w:val="none"/>
                <w:lang w:bidi="ar"/>
              </w:rPr>
              <w:t>标识重要性</w:t>
            </w:r>
          </w:p>
        </w:tc>
        <w:tc>
          <w:tcPr>
            <w:tcW w:w="1125" w:type="dxa"/>
            <w:noWrap w:val="0"/>
            <w:vAlign w:val="center"/>
          </w:tcPr>
          <w:p w14:paraId="7458B9D0">
            <w:pPr>
              <w:widowControl/>
              <w:jc w:val="center"/>
              <w:rPr>
                <w:rFonts w:hint="eastAsia"/>
                <w:color w:val="auto"/>
                <w:highlight w:val="none"/>
              </w:rPr>
            </w:pPr>
            <w:r>
              <w:rPr>
                <w:rFonts w:hint="eastAsia" w:ascii="宋体" w:hAnsi="宋体" w:eastAsia="宋体" w:cs="宋体"/>
                <w:b/>
                <w:bCs/>
                <w:color w:val="auto"/>
                <w:kern w:val="0"/>
                <w:sz w:val="24"/>
                <w:szCs w:val="24"/>
                <w:highlight w:val="none"/>
                <w:lang w:bidi="ar"/>
              </w:rPr>
              <w:t>标识符号</w:t>
            </w:r>
          </w:p>
        </w:tc>
        <w:tc>
          <w:tcPr>
            <w:tcW w:w="5370" w:type="dxa"/>
            <w:noWrap w:val="0"/>
            <w:vAlign w:val="center"/>
          </w:tcPr>
          <w:p w14:paraId="068D7158">
            <w:pPr>
              <w:widowControl/>
              <w:jc w:val="center"/>
              <w:rPr>
                <w:rFonts w:hint="eastAsia"/>
                <w:color w:val="auto"/>
                <w:highlight w:val="none"/>
              </w:rPr>
            </w:pPr>
            <w:r>
              <w:rPr>
                <w:rFonts w:hint="eastAsia" w:ascii="宋体" w:hAnsi="宋体" w:eastAsia="宋体" w:cs="宋体"/>
                <w:b/>
                <w:bCs/>
                <w:color w:val="auto"/>
                <w:kern w:val="0"/>
                <w:sz w:val="24"/>
                <w:szCs w:val="24"/>
                <w:highlight w:val="none"/>
                <w:lang w:bidi="ar"/>
              </w:rPr>
              <w:t>代表意思</w:t>
            </w:r>
          </w:p>
        </w:tc>
      </w:tr>
      <w:tr w14:paraId="4BBA1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027" w:type="dxa"/>
            <w:noWrap w:val="0"/>
            <w:vAlign w:val="center"/>
          </w:tcPr>
          <w:p w14:paraId="747F8E9B">
            <w:pPr>
              <w:widowControl/>
              <w:jc w:val="center"/>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关键指标项</w:t>
            </w:r>
          </w:p>
        </w:tc>
        <w:tc>
          <w:tcPr>
            <w:tcW w:w="1125" w:type="dxa"/>
            <w:noWrap w:val="0"/>
            <w:vAlign w:val="center"/>
          </w:tcPr>
          <w:p w14:paraId="3DE801FC">
            <w:pPr>
              <w:widowControl/>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w:t>
            </w:r>
          </w:p>
        </w:tc>
        <w:tc>
          <w:tcPr>
            <w:tcW w:w="5370" w:type="dxa"/>
            <w:noWrap w:val="0"/>
            <w:vAlign w:val="center"/>
          </w:tcPr>
          <w:p w14:paraId="14130FFE">
            <w:pPr>
              <w:widowControl/>
              <w:jc w:val="center"/>
              <w:rPr>
                <w:rFonts w:hint="default"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符合性审查项，未响应或负偏离的，将导致投标无效</w:t>
            </w:r>
          </w:p>
        </w:tc>
      </w:tr>
      <w:tr w14:paraId="063D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027" w:type="dxa"/>
            <w:noWrap w:val="0"/>
            <w:vAlign w:val="center"/>
          </w:tcPr>
          <w:p w14:paraId="08022E07">
            <w:pPr>
              <w:widowControl/>
              <w:jc w:val="center"/>
              <w:rPr>
                <w:rFonts w:hint="eastAsia"/>
                <w:color w:val="auto"/>
                <w:highlight w:val="none"/>
              </w:rPr>
            </w:pPr>
            <w:r>
              <w:rPr>
                <w:rFonts w:hint="eastAsia" w:ascii="宋体" w:hAnsi="宋体" w:eastAsia="宋体" w:cs="宋体"/>
                <w:color w:val="auto"/>
                <w:kern w:val="0"/>
                <w:sz w:val="24"/>
                <w:szCs w:val="24"/>
                <w:highlight w:val="none"/>
                <w:lang w:bidi="ar"/>
              </w:rPr>
              <w:t>重要指标项</w:t>
            </w:r>
          </w:p>
        </w:tc>
        <w:tc>
          <w:tcPr>
            <w:tcW w:w="1125" w:type="dxa"/>
            <w:noWrap w:val="0"/>
            <w:vAlign w:val="center"/>
          </w:tcPr>
          <w:p w14:paraId="2A7577E2">
            <w:pPr>
              <w:widowControl/>
              <w:jc w:val="center"/>
              <w:rPr>
                <w:rFonts w:hint="eastAsia"/>
                <w:color w:val="auto"/>
                <w:highlight w:val="none"/>
              </w:rPr>
            </w:pPr>
            <w:r>
              <w:rPr>
                <w:rFonts w:hint="eastAsia"/>
                <w:color w:val="auto"/>
                <w:highlight w:val="none"/>
              </w:rPr>
              <w:t>*</w:t>
            </w:r>
          </w:p>
        </w:tc>
        <w:tc>
          <w:tcPr>
            <w:tcW w:w="5370" w:type="dxa"/>
            <w:noWrap w:val="0"/>
            <w:vAlign w:val="center"/>
          </w:tcPr>
          <w:p w14:paraId="52CBEB9E">
            <w:pPr>
              <w:widowControl/>
              <w:jc w:val="center"/>
              <w:rPr>
                <w:rFonts w:hint="eastAsia"/>
                <w:b w:val="0"/>
                <w:bCs w:val="0"/>
                <w:color w:val="auto"/>
                <w:highlight w:val="none"/>
              </w:rPr>
            </w:pPr>
            <w:r>
              <w:rPr>
                <w:rFonts w:hint="eastAsia" w:ascii="宋体" w:hAnsi="宋体" w:eastAsia="宋体" w:cs="宋体"/>
                <w:b w:val="0"/>
                <w:bCs w:val="0"/>
                <w:color w:val="auto"/>
                <w:kern w:val="0"/>
                <w:sz w:val="24"/>
                <w:szCs w:val="24"/>
                <w:highlight w:val="none"/>
                <w:lang w:bidi="ar"/>
              </w:rPr>
              <w:t>评分项，详见第四章评分细则</w:t>
            </w:r>
          </w:p>
        </w:tc>
      </w:tr>
      <w:tr w14:paraId="1433D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027" w:type="dxa"/>
            <w:noWrap w:val="0"/>
            <w:vAlign w:val="center"/>
          </w:tcPr>
          <w:p w14:paraId="1AA77DBD">
            <w:pPr>
              <w:widowControl/>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无标识项</w:t>
            </w:r>
          </w:p>
        </w:tc>
        <w:tc>
          <w:tcPr>
            <w:tcW w:w="1125" w:type="dxa"/>
            <w:noWrap w:val="0"/>
            <w:vAlign w:val="center"/>
          </w:tcPr>
          <w:p w14:paraId="59D609A5">
            <w:pPr>
              <w:widowControl/>
              <w:jc w:val="center"/>
              <w:rPr>
                <w:rFonts w:hint="eastAsia" w:ascii="宋体" w:hAnsi="宋体" w:eastAsia="宋体" w:cs="宋体"/>
                <w:color w:val="auto"/>
                <w:kern w:val="0"/>
                <w:sz w:val="24"/>
                <w:szCs w:val="24"/>
                <w:highlight w:val="none"/>
                <w:lang w:bidi="ar"/>
              </w:rPr>
            </w:pPr>
          </w:p>
        </w:tc>
        <w:tc>
          <w:tcPr>
            <w:tcW w:w="5370" w:type="dxa"/>
            <w:noWrap w:val="0"/>
            <w:vAlign w:val="center"/>
          </w:tcPr>
          <w:p w14:paraId="2C7204C6">
            <w:pPr>
              <w:widowControl/>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评分项，详见评分细则。</w:t>
            </w:r>
          </w:p>
        </w:tc>
      </w:tr>
      <w:tr w14:paraId="1C766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noWrap w:val="0"/>
            <w:vAlign w:val="top"/>
          </w:tcPr>
          <w:p w14:paraId="372277A3">
            <w:pPr>
              <w:widowControl/>
              <w:jc w:val="left"/>
              <w:rPr>
                <w:rFonts w:hint="eastAsia"/>
                <w:color w:val="auto"/>
                <w:highlight w:val="none"/>
              </w:rPr>
            </w:pPr>
            <w:r>
              <w:rPr>
                <w:rFonts w:hint="eastAsia" w:ascii="宋体" w:hAnsi="宋体" w:eastAsia="宋体" w:cs="宋体"/>
                <w:b/>
                <w:bCs/>
                <w:color w:val="auto"/>
                <w:kern w:val="0"/>
                <w:sz w:val="24"/>
                <w:szCs w:val="24"/>
                <w:highlight w:val="none"/>
                <w:lang w:bidi="ar"/>
              </w:rPr>
              <w:t xml:space="preserve">注： </w:t>
            </w:r>
          </w:p>
          <w:p w14:paraId="7F36B833">
            <w:pPr>
              <w:widowControl/>
              <w:spacing w:line="360" w:lineRule="auto"/>
              <w:jc w:val="left"/>
              <w:rPr>
                <w:rFonts w:hint="eastAsia" w:ascii="宋体" w:hAnsi="宋体" w:eastAsia="宋体" w:cs="宋体"/>
                <w:b/>
                <w:bCs/>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1）其中标注</w:t>
            </w:r>
            <w:r>
              <w:rPr>
                <w:rFonts w:hint="eastAsia" w:ascii="宋体" w:hAnsi="宋体" w:eastAsia="宋体" w:cs="宋体"/>
                <w:b/>
                <w:bCs/>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bidi="ar"/>
              </w:rPr>
              <w:t>★</w:t>
            </w:r>
            <w:r>
              <w:rPr>
                <w:rFonts w:hint="eastAsia" w:ascii="宋体" w:hAnsi="宋体" w:eastAsia="宋体" w:cs="宋体"/>
                <w:b/>
                <w:bCs/>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bidi="ar"/>
              </w:rPr>
              <w:t>“*”的条款，投标文件中提供能反映其所在条款的相关证明材料扫描件，证明材料包括：产品彩页、技术白皮书、产品说明书、检测/检验报告或“技术参数及要求”中要求的其他证明材料，提供其中之一即可，否则视为负偏离（为便于评审，建议投标人在投标文件中标明证明材料对应的页码，并对参数指标进行标注（如下划线、背景颜色等））。</w:t>
            </w:r>
          </w:p>
          <w:p w14:paraId="34510BBA">
            <w:pPr>
              <w:widowControl/>
              <w:spacing w:line="360" w:lineRule="auto"/>
              <w:jc w:val="left"/>
              <w:rPr>
                <w:rFonts w:hint="eastAsia" w:ascii="宋体" w:hAnsi="宋体" w:eastAsia="宋体" w:cs="宋体"/>
                <w:b/>
                <w:bCs/>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2）</w:t>
            </w:r>
            <w:r>
              <w:rPr>
                <w:rFonts w:hint="eastAsia" w:ascii="宋体" w:hAnsi="宋体" w:eastAsia="宋体" w:cs="宋体"/>
                <w:b/>
                <w:bCs/>
                <w:color w:val="auto"/>
                <w:kern w:val="0"/>
                <w:sz w:val="24"/>
                <w:szCs w:val="24"/>
                <w:highlight w:val="none"/>
                <w:lang w:val="en-US" w:eastAsia="zh-CN" w:bidi="ar"/>
              </w:rPr>
              <w:t>其中</w:t>
            </w:r>
            <w:r>
              <w:rPr>
                <w:rFonts w:hint="eastAsia" w:ascii="宋体" w:hAnsi="宋体" w:eastAsia="宋体" w:cs="宋体"/>
                <w:b/>
                <w:bCs/>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val="en-US" w:eastAsia="zh-CN" w:bidi="ar"/>
              </w:rPr>
              <w:t>无标识项</w:t>
            </w:r>
            <w:r>
              <w:rPr>
                <w:rFonts w:hint="eastAsia" w:ascii="宋体" w:hAnsi="宋体" w:eastAsia="宋体" w:cs="宋体"/>
                <w:b/>
                <w:bCs/>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bidi="ar"/>
              </w:rPr>
              <w:t>的条款按照对应参数</w:t>
            </w:r>
            <w:r>
              <w:rPr>
                <w:rFonts w:hint="eastAsia" w:ascii="宋体" w:hAnsi="宋体" w:eastAsia="宋体" w:cs="宋体"/>
                <w:b/>
                <w:bCs/>
                <w:color w:val="auto"/>
                <w:kern w:val="0"/>
                <w:sz w:val="24"/>
                <w:szCs w:val="24"/>
                <w:highlight w:val="none"/>
                <w:lang w:val="en-US" w:eastAsia="zh-CN" w:bidi="ar"/>
              </w:rPr>
              <w:t>中</w:t>
            </w:r>
            <w:r>
              <w:rPr>
                <w:rFonts w:hint="eastAsia" w:ascii="宋体" w:hAnsi="宋体" w:eastAsia="宋体" w:cs="宋体"/>
                <w:b/>
                <w:bCs/>
                <w:color w:val="auto"/>
                <w:kern w:val="0"/>
                <w:sz w:val="24"/>
                <w:szCs w:val="24"/>
                <w:highlight w:val="none"/>
                <w:lang w:eastAsia="zh-CN" w:bidi="ar"/>
              </w:rPr>
              <w:t>的</w:t>
            </w:r>
            <w:r>
              <w:rPr>
                <w:rFonts w:hint="eastAsia" w:ascii="宋体" w:hAnsi="宋体" w:eastAsia="宋体" w:cs="宋体"/>
                <w:b/>
                <w:bCs/>
                <w:color w:val="auto"/>
                <w:kern w:val="0"/>
                <w:sz w:val="24"/>
                <w:szCs w:val="24"/>
                <w:highlight w:val="none"/>
                <w:lang w:bidi="ar"/>
              </w:rPr>
              <w:t>要求提供证明材料（未提供证明材料的不得分），若对应参数没有要求提供证明材料，投标人可以不提供证明材料，投标人须真实填写</w:t>
            </w:r>
            <w:r>
              <w:rPr>
                <w:rFonts w:hint="eastAsia" w:ascii="宋体" w:hAnsi="宋体" w:eastAsia="宋体" w:cs="宋体"/>
                <w:b/>
                <w:bCs/>
                <w:color w:val="auto"/>
                <w:kern w:val="0"/>
                <w:sz w:val="24"/>
                <w:szCs w:val="24"/>
                <w:highlight w:val="none"/>
                <w:lang w:eastAsia="zh-CN" w:bidi="ar"/>
              </w:rPr>
              <w:t>“技术响应表”</w:t>
            </w:r>
            <w:r>
              <w:rPr>
                <w:rFonts w:hint="eastAsia" w:ascii="宋体" w:hAnsi="宋体" w:eastAsia="宋体" w:cs="宋体"/>
                <w:b/>
                <w:bCs/>
                <w:color w:val="auto"/>
                <w:kern w:val="0"/>
                <w:sz w:val="24"/>
                <w:szCs w:val="24"/>
                <w:highlight w:val="none"/>
                <w:lang w:bidi="ar"/>
              </w:rPr>
              <w:t>，评标委员会按照“技术响应表”响应情况进行评审。</w:t>
            </w:r>
          </w:p>
          <w:p w14:paraId="3B3437CE">
            <w:pPr>
              <w:widowControl/>
              <w:spacing w:line="360" w:lineRule="auto"/>
              <w:jc w:val="left"/>
              <w:rPr>
                <w:rFonts w:hint="default"/>
                <w:color w:val="auto"/>
                <w:highlight w:val="none"/>
                <w:lang w:val="en-US"/>
              </w:rPr>
            </w:pPr>
            <w:r>
              <w:rPr>
                <w:rFonts w:hint="eastAsia" w:ascii="宋体" w:hAnsi="宋体" w:eastAsia="宋体" w:cs="宋体"/>
                <w:b/>
                <w:bCs/>
                <w:color w:val="auto"/>
                <w:kern w:val="0"/>
                <w:sz w:val="24"/>
                <w:szCs w:val="24"/>
                <w:highlight w:val="none"/>
                <w:lang w:val="en-US" w:eastAsia="zh-CN" w:bidi="ar"/>
              </w:rPr>
              <w:t>3</w:t>
            </w:r>
            <w:r>
              <w:rPr>
                <w:rFonts w:hint="eastAsia" w:ascii="宋体" w:hAnsi="宋体" w:eastAsia="宋体" w:cs="宋体"/>
                <w:b/>
                <w:bCs/>
                <w:color w:val="auto"/>
                <w:kern w:val="0"/>
                <w:sz w:val="24"/>
                <w:szCs w:val="24"/>
                <w:highlight w:val="none"/>
                <w:lang w:bidi="ar"/>
              </w:rPr>
              <w:t>）如某项标识同时存在一级标识和二级标识时，则以二级标识为最小单位计算条目数量；如某项标识同时存在二级标识和三级标识时，则以三级标识为最小单位计算条目数量</w:t>
            </w:r>
            <w:r>
              <w:rPr>
                <w:rFonts w:hint="eastAsia" w:ascii="宋体" w:hAnsi="宋体" w:eastAsia="宋体" w:cs="宋体"/>
                <w:b/>
                <w:bCs/>
                <w:color w:val="auto"/>
                <w:kern w:val="0"/>
                <w:sz w:val="24"/>
                <w:szCs w:val="24"/>
                <w:highlight w:val="none"/>
                <w:lang w:eastAsia="zh-CN" w:bidi="ar"/>
              </w:rPr>
              <w:t>，以此类推</w:t>
            </w:r>
            <w:r>
              <w:rPr>
                <w:rFonts w:hint="eastAsia" w:ascii="宋体" w:hAnsi="宋体" w:eastAsia="宋体" w:cs="宋体"/>
                <w:b/>
                <w:bCs/>
                <w:color w:val="auto"/>
                <w:kern w:val="0"/>
                <w:sz w:val="24"/>
                <w:szCs w:val="24"/>
                <w:highlight w:val="none"/>
                <w:lang w:bidi="ar"/>
              </w:rPr>
              <w:t>。</w:t>
            </w:r>
          </w:p>
        </w:tc>
      </w:tr>
    </w:tbl>
    <w:p w14:paraId="6709D892">
      <w:pPr>
        <w:spacing w:line="360" w:lineRule="auto"/>
        <w:ind w:firstLine="437"/>
        <w:outlineLvl w:val="1"/>
        <w:rPr>
          <w:rFonts w:hint="eastAsia" w:ascii="宋体" w:hAnsi="宋体" w:eastAsia="宋体"/>
          <w:b/>
          <w:color w:val="auto"/>
          <w:sz w:val="24"/>
          <w:szCs w:val="18"/>
          <w:highlight w:val="none"/>
        </w:rPr>
      </w:pPr>
    </w:p>
    <w:p w14:paraId="374C49B2">
      <w:pPr>
        <w:rPr>
          <w:rFonts w:hint="eastAsia" w:ascii="宋体" w:hAnsi="宋体" w:eastAsia="宋体"/>
          <w:b/>
          <w:color w:val="auto"/>
          <w:sz w:val="24"/>
          <w:szCs w:val="18"/>
          <w:highlight w:val="none"/>
        </w:rPr>
      </w:pPr>
      <w:r>
        <w:rPr>
          <w:rFonts w:hint="eastAsia" w:ascii="宋体" w:hAnsi="宋体" w:eastAsia="宋体"/>
          <w:b/>
          <w:color w:val="auto"/>
          <w:sz w:val="24"/>
          <w:szCs w:val="18"/>
          <w:highlight w:val="none"/>
        </w:rPr>
        <w:br w:type="page"/>
      </w:r>
    </w:p>
    <w:p w14:paraId="30B0ED33">
      <w:pPr>
        <w:spacing w:line="360" w:lineRule="auto"/>
        <w:ind w:firstLine="437"/>
        <w:outlineLvl w:val="1"/>
        <w:rPr>
          <w:rFonts w:ascii="宋体" w:hAnsi="宋体" w:eastAsia="宋体"/>
          <w:b/>
          <w:color w:val="auto"/>
          <w:sz w:val="24"/>
          <w:szCs w:val="18"/>
          <w:highlight w:val="none"/>
        </w:rPr>
      </w:pPr>
      <w:r>
        <w:rPr>
          <w:rFonts w:hint="eastAsia" w:ascii="宋体" w:hAnsi="宋体" w:eastAsia="宋体"/>
          <w:b/>
          <w:color w:val="auto"/>
          <w:sz w:val="24"/>
          <w:szCs w:val="18"/>
          <w:highlight w:val="none"/>
          <w:lang w:val="en-US" w:eastAsia="zh-CN"/>
        </w:rPr>
        <w:t>&lt;</w:t>
      </w:r>
      <w:r>
        <w:rPr>
          <w:rFonts w:hint="eastAsia" w:ascii="宋体" w:hAnsi="宋体" w:eastAsia="宋体"/>
          <w:b/>
          <w:color w:val="auto"/>
          <w:sz w:val="24"/>
          <w:szCs w:val="18"/>
          <w:highlight w:val="none"/>
        </w:rPr>
        <w:t>一</w:t>
      </w:r>
      <w:r>
        <w:rPr>
          <w:rFonts w:hint="eastAsia" w:ascii="宋体" w:hAnsi="宋体" w:eastAsia="宋体"/>
          <w:b/>
          <w:color w:val="auto"/>
          <w:sz w:val="24"/>
          <w:szCs w:val="18"/>
          <w:highlight w:val="none"/>
          <w:lang w:val="en-US" w:eastAsia="zh-CN"/>
        </w:rPr>
        <w:t>&gt;</w:t>
      </w:r>
      <w:r>
        <w:rPr>
          <w:rFonts w:hint="eastAsia" w:ascii="宋体" w:hAnsi="宋体" w:eastAsia="宋体"/>
          <w:b/>
          <w:color w:val="auto"/>
          <w:sz w:val="24"/>
          <w:szCs w:val="18"/>
          <w:highlight w:val="none"/>
        </w:rPr>
        <w:t>采购需求前附表</w:t>
      </w:r>
      <w:bookmarkEnd w:id="31"/>
      <w:bookmarkEnd w:id="32"/>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32"/>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200C6B67">
            <w:pPr>
              <w:pStyle w:val="31"/>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E08E055">
            <w:pPr>
              <w:pStyle w:val="31"/>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7EA999D1">
            <w:pPr>
              <w:pStyle w:val="31"/>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62B8C4E7">
            <w:pPr>
              <w:pStyle w:val="31"/>
              <w:widowControl w:val="0"/>
              <w:spacing w:before="0" w:beforeAutospacing="0" w:after="0" w:afterAutospacing="0" w:line="360" w:lineRule="auto"/>
              <w:jc w:val="left"/>
              <w:rPr>
                <w:rFonts w:ascii="宋体" w:hAnsi="宋体" w:eastAsia="宋体"/>
                <w:b w:val="0"/>
                <w:bCs/>
                <w:color w:val="auto"/>
                <w:sz w:val="24"/>
                <w:highlight w:val="none"/>
                <w:u w:val="none"/>
              </w:rPr>
            </w:pPr>
            <w:r>
              <w:rPr>
                <w:rFonts w:hint="eastAsia" w:ascii="宋体" w:hAnsi="宋体" w:eastAsia="宋体"/>
                <w:b w:val="0"/>
                <w:bCs/>
                <w:color w:val="auto"/>
                <w:sz w:val="24"/>
                <w:highlight w:val="none"/>
                <w:u w:val="none"/>
              </w:rPr>
              <w:t>经验收合格后6个月后依照医院付款流程支付。</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400801A7">
            <w:pPr>
              <w:pStyle w:val="31"/>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217" w:type="pct"/>
            <w:vAlign w:val="center"/>
          </w:tcPr>
          <w:p w14:paraId="008E1630">
            <w:pPr>
              <w:pStyle w:val="31"/>
              <w:widowControl w:val="0"/>
              <w:spacing w:before="0" w:beforeAutospacing="0" w:after="0" w:afterAutospacing="0" w:line="360" w:lineRule="auto"/>
              <w:jc w:val="left"/>
              <w:rPr>
                <w:rFonts w:ascii="宋体" w:hAnsi="宋体" w:eastAsia="宋体"/>
                <w:b w:val="0"/>
                <w:bCs/>
                <w:color w:val="auto"/>
                <w:sz w:val="24"/>
                <w:highlight w:val="none"/>
                <w:u w:val="none"/>
              </w:rPr>
            </w:pPr>
            <w:r>
              <w:rPr>
                <w:rFonts w:hint="eastAsia" w:ascii="宋体" w:hAnsi="宋体" w:eastAsia="宋体"/>
                <w:b w:val="0"/>
                <w:bCs/>
                <w:color w:val="auto"/>
                <w:sz w:val="24"/>
                <w:highlight w:val="none"/>
                <w:u w:val="none"/>
                <w:lang w:val="en-US" w:eastAsia="zh-CN"/>
              </w:rPr>
              <w:t>宿州市立医院，采购人指定地点</w:t>
            </w:r>
            <w:r>
              <w:rPr>
                <w:rFonts w:hint="eastAsia" w:ascii="宋体" w:hAnsi="宋体" w:eastAsia="宋体"/>
                <w:b w:val="0"/>
                <w:bCs/>
                <w:color w:val="auto"/>
                <w:sz w:val="24"/>
                <w:highlight w:val="none"/>
                <w:u w:val="none"/>
              </w:rPr>
              <w:t xml:space="preserve"> </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28D0729D">
            <w:pPr>
              <w:pStyle w:val="31"/>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217" w:type="pct"/>
            <w:vAlign w:val="center"/>
          </w:tcPr>
          <w:p w14:paraId="4AB9F940">
            <w:pPr>
              <w:pStyle w:val="31"/>
              <w:widowControl w:val="0"/>
              <w:spacing w:before="0" w:beforeAutospacing="0" w:after="0" w:afterAutospacing="0" w:line="360" w:lineRule="auto"/>
              <w:jc w:val="left"/>
              <w:rPr>
                <w:rFonts w:hint="eastAsia" w:ascii="宋体" w:hAnsi="宋体" w:eastAsia="宋体"/>
                <w:b w:val="0"/>
                <w:bCs/>
                <w:color w:val="auto"/>
                <w:sz w:val="24"/>
                <w:szCs w:val="18"/>
                <w:highlight w:val="none"/>
                <w:u w:val="none"/>
                <w:lang w:val="en-US" w:eastAsia="zh-CN"/>
              </w:rPr>
            </w:pPr>
            <w:r>
              <w:rPr>
                <w:rFonts w:hint="eastAsia" w:ascii="宋体" w:hAnsi="宋体" w:eastAsia="宋体"/>
                <w:b w:val="0"/>
                <w:bCs/>
                <w:color w:val="auto"/>
                <w:sz w:val="24"/>
                <w:szCs w:val="18"/>
                <w:highlight w:val="none"/>
                <w:u w:val="none"/>
              </w:rPr>
              <w:t>合同签订后30日内</w:t>
            </w:r>
            <w:r>
              <w:rPr>
                <w:rFonts w:hint="eastAsia" w:ascii="宋体" w:hAnsi="宋体" w:eastAsia="宋体"/>
                <w:b w:val="0"/>
                <w:bCs/>
                <w:color w:val="auto"/>
                <w:sz w:val="24"/>
                <w:szCs w:val="18"/>
                <w:highlight w:val="none"/>
                <w:u w:val="none"/>
                <w:lang w:val="en-US" w:eastAsia="zh-CN"/>
              </w:rPr>
              <w:t>完成供货、安装及调试</w:t>
            </w:r>
            <w:r>
              <w:rPr>
                <w:rFonts w:hint="eastAsia" w:ascii="宋体" w:hAnsi="宋体" w:eastAsia="宋体"/>
                <w:b w:val="0"/>
                <w:bCs/>
                <w:color w:val="auto"/>
                <w:sz w:val="24"/>
                <w:szCs w:val="18"/>
                <w:highlight w:val="none"/>
                <w:u w:val="none"/>
              </w:rPr>
              <w:t>。</w:t>
            </w:r>
            <w:r>
              <w:rPr>
                <w:rFonts w:hint="eastAsia" w:ascii="宋体" w:hAnsi="宋体" w:eastAsia="宋体"/>
                <w:b w:val="0"/>
                <w:bCs/>
                <w:color w:val="auto"/>
                <w:sz w:val="24"/>
                <w:szCs w:val="18"/>
                <w:highlight w:val="none"/>
                <w:u w:val="none"/>
                <w:lang w:val="en-US" w:eastAsia="zh-CN"/>
              </w:rPr>
              <w:t xml:space="preserve">     </w:t>
            </w:r>
          </w:p>
          <w:p w14:paraId="64A45A16">
            <w:pPr>
              <w:pStyle w:val="31"/>
              <w:widowControl w:val="0"/>
              <w:spacing w:before="0" w:beforeAutospacing="0" w:after="0" w:afterAutospacing="0" w:line="360" w:lineRule="auto"/>
              <w:jc w:val="left"/>
              <w:rPr>
                <w:rFonts w:ascii="宋体" w:hAnsi="宋体" w:eastAsia="宋体"/>
                <w:b w:val="0"/>
                <w:bCs/>
                <w:color w:val="auto"/>
                <w:sz w:val="24"/>
                <w:highlight w:val="none"/>
                <w:u w:val="none"/>
              </w:rPr>
            </w:pPr>
            <w:r>
              <w:rPr>
                <w:rFonts w:hint="eastAsia" w:ascii="宋体" w:hAnsi="宋体" w:eastAsia="宋体"/>
                <w:b w:val="0"/>
                <w:bCs/>
                <w:color w:val="auto"/>
                <w:sz w:val="24"/>
                <w:highlight w:val="none"/>
                <w:u w:val="none"/>
              </w:rPr>
              <w:t>保修生效期为：设备安装后验收合格后</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2032" w:type="dxa"/>
            <w:vAlign w:val="center"/>
          </w:tcPr>
          <w:p w14:paraId="6BA5A37C">
            <w:pPr>
              <w:pStyle w:val="31"/>
              <w:widowControl w:val="0"/>
              <w:spacing w:before="0" w:beforeAutospacing="0" w:after="0" w:afterAutospacing="0" w:line="360" w:lineRule="auto"/>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rPr>
              <w:t>免费质保期</w:t>
            </w:r>
          </w:p>
        </w:tc>
        <w:tc>
          <w:tcPr>
            <w:tcW w:w="5484" w:type="dxa"/>
            <w:vAlign w:val="center"/>
          </w:tcPr>
          <w:p w14:paraId="54491F6A">
            <w:pPr>
              <w:pStyle w:val="31"/>
              <w:widowControl w:val="0"/>
              <w:spacing w:before="0" w:beforeAutospacing="0" w:after="0" w:afterAutospacing="0" w:line="360" w:lineRule="auto"/>
              <w:jc w:val="both"/>
              <w:rPr>
                <w:rFonts w:ascii="宋体" w:hAnsi="宋体" w:eastAsia="宋体"/>
                <w:b w:val="0"/>
                <w:bCs/>
                <w:color w:val="auto"/>
                <w:sz w:val="24"/>
                <w:highlight w:val="none"/>
                <w:u w:val="none"/>
              </w:rPr>
            </w:pPr>
            <w:r>
              <w:rPr>
                <w:rFonts w:hint="eastAsia" w:ascii="宋体" w:hAnsi="宋体" w:eastAsia="宋体"/>
                <w:b w:val="0"/>
                <w:bCs/>
                <w:color w:val="auto"/>
                <w:sz w:val="24"/>
                <w:szCs w:val="18"/>
                <w:highlight w:val="none"/>
                <w:u w:val="none"/>
                <w:lang w:val="en-US" w:eastAsia="zh-CN"/>
              </w:rPr>
              <w:t xml:space="preserve"> 整机质保自验收合格之日起不少于3年。 </w:t>
            </w:r>
          </w:p>
        </w:tc>
      </w:tr>
    </w:tbl>
    <w:p w14:paraId="3E806DB2">
      <w:pPr>
        <w:spacing w:line="360" w:lineRule="auto"/>
        <w:ind w:firstLine="437"/>
        <w:outlineLvl w:val="1"/>
        <w:rPr>
          <w:rFonts w:ascii="宋体" w:hAnsi="宋体" w:eastAsia="宋体"/>
          <w:b/>
          <w:bCs/>
          <w:color w:val="auto"/>
          <w:sz w:val="24"/>
          <w:szCs w:val="18"/>
          <w:highlight w:val="none"/>
        </w:rPr>
      </w:pPr>
      <w:bookmarkStart w:id="33" w:name="_Toc5944"/>
      <w:bookmarkStart w:id="34" w:name="_Toc7671"/>
      <w:r>
        <w:rPr>
          <w:rFonts w:hint="eastAsia" w:ascii="宋体" w:hAnsi="宋体" w:eastAsia="宋体"/>
          <w:b/>
          <w:bCs/>
          <w:color w:val="auto"/>
          <w:sz w:val="24"/>
          <w:szCs w:val="18"/>
          <w:highlight w:val="none"/>
          <w:lang w:val="en-US" w:eastAsia="zh-CN"/>
        </w:rPr>
        <w:t>&lt;</w:t>
      </w:r>
      <w:r>
        <w:rPr>
          <w:rFonts w:hint="eastAsia" w:ascii="宋体" w:hAnsi="宋体" w:eastAsia="宋体"/>
          <w:b/>
          <w:bCs/>
          <w:color w:val="auto"/>
          <w:sz w:val="24"/>
          <w:szCs w:val="18"/>
          <w:highlight w:val="none"/>
        </w:rPr>
        <w:t>二</w:t>
      </w:r>
      <w:r>
        <w:rPr>
          <w:rFonts w:hint="eastAsia" w:ascii="宋体" w:hAnsi="宋体" w:eastAsia="宋体"/>
          <w:b/>
          <w:bCs/>
          <w:color w:val="auto"/>
          <w:sz w:val="24"/>
          <w:szCs w:val="18"/>
          <w:highlight w:val="none"/>
          <w:lang w:val="en-US" w:eastAsia="zh-CN"/>
        </w:rPr>
        <w:t>&gt;</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33"/>
      <w:bookmarkEnd w:id="34"/>
    </w:p>
    <w:tbl>
      <w:tblPr>
        <w:tblStyle w:val="22"/>
        <w:tblW w:w="45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3025"/>
        <w:gridCol w:w="1358"/>
        <w:gridCol w:w="1515"/>
        <w:gridCol w:w="827"/>
      </w:tblGrid>
      <w:tr w14:paraId="1B7C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665" w:type="pct"/>
            <w:tcBorders>
              <w:top w:val="single" w:color="auto" w:sz="4" w:space="0"/>
              <w:left w:val="single" w:color="auto" w:sz="4" w:space="0"/>
              <w:bottom w:val="single" w:color="auto" w:sz="4" w:space="0"/>
              <w:right w:val="single" w:color="auto" w:sz="4" w:space="0"/>
            </w:tcBorders>
            <w:noWrap w:val="0"/>
            <w:vAlign w:val="center"/>
          </w:tcPr>
          <w:p w14:paraId="129D46BD">
            <w:pPr>
              <w:spacing w:line="500" w:lineRule="exact"/>
              <w:jc w:val="center"/>
              <w:rPr>
                <w:rFonts w:hint="eastAsia" w:ascii="宋体" w:hAnsi="宋体" w:eastAsia="宋体" w:cs="宋体"/>
                <w:color w:val="auto"/>
                <w:sz w:val="24"/>
                <w:szCs w:val="24"/>
                <w:highlight w:val="none"/>
                <w:lang w:val="en-US" w:eastAsia="zh-CN"/>
              </w:rPr>
            </w:pPr>
            <w:bookmarkStart w:id="35" w:name="_Toc4843"/>
            <w:bookmarkStart w:id="36" w:name="_Toc7421"/>
            <w:r>
              <w:rPr>
                <w:rFonts w:hint="eastAsia" w:ascii="宋体" w:hAnsi="宋体" w:eastAsia="宋体" w:cs="宋体"/>
                <w:color w:val="auto"/>
                <w:sz w:val="24"/>
                <w:szCs w:val="24"/>
                <w:highlight w:val="none"/>
                <w:lang w:val="en-US" w:eastAsia="zh-CN"/>
              </w:rPr>
              <w:t>序号</w:t>
            </w:r>
          </w:p>
        </w:tc>
        <w:tc>
          <w:tcPr>
            <w:tcW w:w="1949" w:type="pct"/>
            <w:tcBorders>
              <w:top w:val="single" w:color="auto" w:sz="4" w:space="0"/>
              <w:left w:val="single" w:color="auto" w:sz="4" w:space="0"/>
              <w:bottom w:val="single" w:color="auto" w:sz="4" w:space="0"/>
              <w:right w:val="single" w:color="auto" w:sz="4" w:space="0"/>
            </w:tcBorders>
            <w:noWrap w:val="0"/>
            <w:vAlign w:val="center"/>
          </w:tcPr>
          <w:p w14:paraId="40B4DAB6">
            <w:pPr>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采购内容</w:t>
            </w:r>
          </w:p>
        </w:tc>
        <w:tc>
          <w:tcPr>
            <w:tcW w:w="875" w:type="pct"/>
            <w:tcBorders>
              <w:top w:val="single" w:color="auto" w:sz="4" w:space="0"/>
              <w:left w:val="single" w:color="auto" w:sz="4" w:space="0"/>
              <w:bottom w:val="single" w:color="auto" w:sz="4" w:space="0"/>
              <w:right w:val="single" w:color="auto" w:sz="4" w:space="0"/>
            </w:tcBorders>
            <w:noWrap w:val="0"/>
            <w:vAlign w:val="center"/>
          </w:tcPr>
          <w:p w14:paraId="02C34FD5">
            <w:pPr>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采购数量</w:t>
            </w:r>
          </w:p>
        </w:tc>
        <w:tc>
          <w:tcPr>
            <w:tcW w:w="976" w:type="pct"/>
            <w:tcBorders>
              <w:top w:val="single" w:color="auto" w:sz="4" w:space="0"/>
              <w:left w:val="single" w:color="auto" w:sz="4" w:space="0"/>
              <w:bottom w:val="single" w:color="auto" w:sz="4" w:space="0"/>
              <w:right w:val="single" w:color="auto" w:sz="4" w:space="0"/>
            </w:tcBorders>
            <w:noWrap w:val="0"/>
            <w:vAlign w:val="center"/>
          </w:tcPr>
          <w:p w14:paraId="6434E975">
            <w:pPr>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详细参数</w:t>
            </w:r>
          </w:p>
        </w:tc>
        <w:tc>
          <w:tcPr>
            <w:tcW w:w="533" w:type="pct"/>
            <w:tcBorders>
              <w:top w:val="single" w:color="auto" w:sz="4" w:space="0"/>
              <w:left w:val="single" w:color="auto" w:sz="4" w:space="0"/>
              <w:bottom w:val="single" w:color="auto" w:sz="4" w:space="0"/>
              <w:right w:val="single" w:color="auto" w:sz="4" w:space="0"/>
            </w:tcBorders>
            <w:noWrap w:val="0"/>
            <w:vAlign w:val="center"/>
          </w:tcPr>
          <w:p w14:paraId="47AE0490">
            <w:pPr>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5DB0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pct"/>
            <w:tcBorders>
              <w:top w:val="single" w:color="auto" w:sz="4" w:space="0"/>
              <w:left w:val="single" w:color="auto" w:sz="4" w:space="0"/>
              <w:bottom w:val="single" w:color="auto" w:sz="4" w:space="0"/>
              <w:right w:val="single" w:color="auto" w:sz="4" w:space="0"/>
            </w:tcBorders>
            <w:noWrap w:val="0"/>
            <w:vAlign w:val="center"/>
          </w:tcPr>
          <w:p w14:paraId="1798D72E">
            <w:pPr>
              <w:spacing w:line="5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949" w:type="pct"/>
            <w:tcBorders>
              <w:top w:val="single" w:color="auto" w:sz="4" w:space="0"/>
              <w:left w:val="single" w:color="auto" w:sz="4" w:space="0"/>
              <w:bottom w:val="single" w:color="auto" w:sz="4" w:space="0"/>
              <w:right w:val="single" w:color="auto" w:sz="4" w:space="0"/>
            </w:tcBorders>
            <w:noWrap w:val="0"/>
            <w:vAlign w:val="center"/>
          </w:tcPr>
          <w:p w14:paraId="42812A2F">
            <w:pPr>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经颅磁刺激治疗仪</w:t>
            </w:r>
          </w:p>
        </w:tc>
        <w:tc>
          <w:tcPr>
            <w:tcW w:w="875" w:type="pct"/>
            <w:tcBorders>
              <w:top w:val="single" w:color="auto" w:sz="4" w:space="0"/>
              <w:left w:val="single" w:color="auto" w:sz="4" w:space="0"/>
              <w:bottom w:val="single" w:color="auto" w:sz="4" w:space="0"/>
              <w:right w:val="single" w:color="auto" w:sz="4" w:space="0"/>
            </w:tcBorders>
            <w:noWrap w:val="0"/>
            <w:vAlign w:val="center"/>
          </w:tcPr>
          <w:p w14:paraId="7767FF80">
            <w:pPr>
              <w:spacing w:line="50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1套</w:t>
            </w:r>
          </w:p>
        </w:tc>
        <w:tc>
          <w:tcPr>
            <w:tcW w:w="976" w:type="pct"/>
            <w:tcBorders>
              <w:top w:val="single" w:color="auto" w:sz="4" w:space="0"/>
              <w:left w:val="single" w:color="auto" w:sz="4" w:space="0"/>
              <w:bottom w:val="single" w:color="auto" w:sz="4" w:space="0"/>
              <w:right w:val="single" w:color="auto" w:sz="4" w:space="0"/>
            </w:tcBorders>
            <w:noWrap w:val="0"/>
            <w:vAlign w:val="center"/>
          </w:tcPr>
          <w:p w14:paraId="6F54AE00">
            <w:pPr>
              <w:spacing w:line="50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详见下文</w:t>
            </w:r>
          </w:p>
        </w:tc>
        <w:tc>
          <w:tcPr>
            <w:tcW w:w="533" w:type="pct"/>
            <w:tcBorders>
              <w:top w:val="single" w:color="auto" w:sz="4" w:space="0"/>
              <w:left w:val="single" w:color="auto" w:sz="4" w:space="0"/>
              <w:bottom w:val="single" w:color="auto" w:sz="4" w:space="0"/>
              <w:right w:val="single" w:color="auto" w:sz="4" w:space="0"/>
            </w:tcBorders>
            <w:noWrap w:val="0"/>
            <w:vAlign w:val="center"/>
          </w:tcPr>
          <w:p w14:paraId="427471E1">
            <w:pPr>
              <w:spacing w:line="500" w:lineRule="exact"/>
              <w:jc w:val="center"/>
              <w:rPr>
                <w:rFonts w:hint="eastAsia" w:ascii="宋体" w:hAnsi="宋体" w:eastAsia="宋体" w:cs="宋体"/>
                <w:color w:val="auto"/>
                <w:sz w:val="24"/>
                <w:szCs w:val="24"/>
                <w:highlight w:val="none"/>
              </w:rPr>
            </w:pPr>
          </w:p>
        </w:tc>
      </w:tr>
    </w:tbl>
    <w:p w14:paraId="77B92F9F">
      <w:pPr>
        <w:numPr>
          <w:ilvl w:val="0"/>
          <w:numId w:val="0"/>
        </w:numPr>
        <w:ind w:left="210" w:leftChars="100" w:firstLine="440" w:firstLineChars="200"/>
        <w:rPr>
          <w:rFonts w:hint="eastAsia" w:ascii="宋体" w:hAnsi="宋体" w:eastAsia="宋体" w:cs="宋体"/>
          <w:color w:val="auto"/>
          <w:kern w:val="2"/>
          <w:sz w:val="22"/>
          <w:szCs w:val="22"/>
          <w:highlight w:val="none"/>
          <w:lang w:val="en-US" w:eastAsia="zh-CN" w:bidi="ar-SA"/>
        </w:rPr>
      </w:pPr>
    </w:p>
    <w:p w14:paraId="0B50159A">
      <w:pPr>
        <w:numPr>
          <w:ilvl w:val="0"/>
          <w:numId w:val="0"/>
        </w:numPr>
        <w:ind w:left="210" w:leftChars="10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一、</w:t>
      </w:r>
      <w:r>
        <w:rPr>
          <w:rFonts w:hint="eastAsia" w:ascii="宋体" w:hAnsi="宋体" w:eastAsia="宋体" w:cs="宋体"/>
          <w:color w:val="auto"/>
          <w:sz w:val="22"/>
          <w:szCs w:val="22"/>
          <w:highlight w:val="none"/>
        </w:rPr>
        <w:t>刺激人体中枢神经和骶神经，适用于焦虑抑郁症、帕金森病、失眠以及神经性膀胱</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睡眠障碍、脑卒中导致的语言运动障碍、认知障碍等的辅助治疗。</w:t>
      </w:r>
    </w:p>
    <w:p w14:paraId="3069FF8A">
      <w:pPr>
        <w:numPr>
          <w:ilvl w:val="0"/>
          <w:numId w:val="0"/>
        </w:numPr>
        <w:ind w:left="210" w:leftChars="100"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二、</w:t>
      </w:r>
      <w:r>
        <w:rPr>
          <w:rStyle w:val="63"/>
          <w:rFonts w:hint="eastAsia" w:ascii="宋体" w:hAnsi="宋体" w:eastAsia="宋体" w:cs="宋体"/>
          <w:color w:val="auto"/>
          <w:sz w:val="22"/>
          <w:szCs w:val="22"/>
          <w:highlight w:val="none"/>
        </w:rPr>
        <w:t>★兼容</w:t>
      </w:r>
      <w:r>
        <w:rPr>
          <w:rStyle w:val="63"/>
          <w:rFonts w:hint="eastAsia" w:ascii="宋体" w:hAnsi="宋体" w:eastAsia="宋体" w:cs="宋体"/>
          <w:color w:val="auto"/>
          <w:sz w:val="22"/>
          <w:szCs w:val="22"/>
          <w:highlight w:val="none"/>
          <w:lang w:val="en-US" w:eastAsia="zh-CN"/>
        </w:rPr>
        <w:t>我院现有</w:t>
      </w:r>
      <w:r>
        <w:rPr>
          <w:rStyle w:val="63"/>
          <w:rFonts w:hint="eastAsia" w:ascii="宋体" w:hAnsi="宋体" w:eastAsia="宋体" w:cs="宋体"/>
          <w:color w:val="auto"/>
          <w:sz w:val="22"/>
          <w:szCs w:val="22"/>
          <w:highlight w:val="none"/>
        </w:rPr>
        <w:t>湖南脑航科技NHT-NV_200TMS导航系统</w:t>
      </w:r>
      <w:r>
        <w:rPr>
          <w:rStyle w:val="63"/>
          <w:rFonts w:hint="eastAsia" w:ascii="宋体" w:hAnsi="宋体" w:eastAsia="宋体" w:cs="宋体"/>
          <w:color w:val="auto"/>
          <w:sz w:val="22"/>
          <w:szCs w:val="22"/>
          <w:highlight w:val="none"/>
          <w:lang w:eastAsia="zh-CN"/>
        </w:rPr>
        <w:t>。</w:t>
      </w:r>
    </w:p>
    <w:p w14:paraId="5D61EB07">
      <w:pPr>
        <w:pStyle w:val="64"/>
        <w:numPr>
          <w:ilvl w:val="0"/>
          <w:numId w:val="1"/>
        </w:numPr>
        <w:ind w:left="136" w:leftChars="65" w:firstLineChars="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磁刺激治疗系统</w:t>
      </w:r>
    </w:p>
    <w:p w14:paraId="41D0AA6B">
      <w:pPr>
        <w:numPr>
          <w:ilvl w:val="1"/>
          <w:numId w:val="1"/>
        </w:numPr>
        <w:rPr>
          <w:rStyle w:val="63"/>
          <w:rFonts w:hint="eastAsia" w:ascii="宋体" w:hAnsi="宋体" w:eastAsia="宋体" w:cs="宋体"/>
          <w:color w:val="auto"/>
          <w:sz w:val="22"/>
          <w:szCs w:val="22"/>
          <w:highlight w:val="none"/>
        </w:rPr>
      </w:pPr>
      <w:r>
        <w:rPr>
          <w:rStyle w:val="63"/>
          <w:rFonts w:hint="eastAsia" w:ascii="宋体" w:hAnsi="宋体" w:eastAsia="宋体" w:cs="宋体"/>
          <w:color w:val="auto"/>
          <w:sz w:val="22"/>
          <w:szCs w:val="22"/>
          <w:highlight w:val="none"/>
        </w:rPr>
        <w:t>独立分体式</w:t>
      </w:r>
      <w:r>
        <w:rPr>
          <w:rStyle w:val="63"/>
          <w:rFonts w:hint="eastAsia" w:ascii="宋体" w:hAnsi="宋体" w:eastAsia="宋体" w:cs="宋体"/>
          <w:color w:val="auto"/>
          <w:sz w:val="22"/>
          <w:szCs w:val="22"/>
          <w:highlight w:val="none"/>
          <w:lang w:val="en-US" w:eastAsia="zh-CN"/>
        </w:rPr>
        <w:t>的</w:t>
      </w:r>
      <w:r>
        <w:rPr>
          <w:rStyle w:val="63"/>
          <w:rFonts w:hint="eastAsia" w:ascii="宋体" w:hAnsi="宋体" w:eastAsia="宋体" w:cs="宋体"/>
          <w:color w:val="auto"/>
          <w:sz w:val="22"/>
          <w:szCs w:val="22"/>
          <w:highlight w:val="none"/>
        </w:rPr>
        <w:t>刺激仪主机和冷却系统</w:t>
      </w:r>
      <w:r>
        <w:rPr>
          <w:rStyle w:val="63"/>
          <w:rFonts w:hint="eastAsia" w:ascii="宋体" w:hAnsi="宋体" w:eastAsia="宋体" w:cs="宋体"/>
          <w:color w:val="auto"/>
          <w:sz w:val="22"/>
          <w:szCs w:val="22"/>
          <w:highlight w:val="none"/>
          <w:lang w:eastAsia="zh-CN"/>
        </w:rPr>
        <w:t>，</w:t>
      </w:r>
      <w:r>
        <w:rPr>
          <w:rStyle w:val="63"/>
          <w:rFonts w:hint="eastAsia" w:ascii="宋体" w:hAnsi="宋体" w:eastAsia="宋体" w:cs="宋体"/>
          <w:color w:val="auto"/>
          <w:sz w:val="22"/>
          <w:szCs w:val="22"/>
          <w:highlight w:val="none"/>
        </w:rPr>
        <w:t>主机便于移动，并可脱离冷却系统独立使用</w:t>
      </w:r>
      <w:r>
        <w:rPr>
          <w:rStyle w:val="63"/>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主机面板按键</w:t>
      </w:r>
      <w:r>
        <w:rPr>
          <w:rFonts w:hint="eastAsia" w:ascii="宋体" w:hAnsi="宋体" w:eastAsia="宋体" w:cs="宋体"/>
          <w:color w:val="auto"/>
          <w:sz w:val="22"/>
          <w:szCs w:val="22"/>
          <w:highlight w:val="none"/>
          <w:lang w:val="en-US" w:eastAsia="zh-CN"/>
        </w:rPr>
        <w:t>能对</w:t>
      </w:r>
      <w:r>
        <w:rPr>
          <w:rFonts w:hint="eastAsia" w:ascii="宋体" w:hAnsi="宋体" w:eastAsia="宋体" w:cs="宋体"/>
          <w:color w:val="auto"/>
          <w:sz w:val="22"/>
          <w:szCs w:val="22"/>
          <w:highlight w:val="none"/>
        </w:rPr>
        <w:t>刺激强度、刺激频率、刺激时间、间歇时间、治疗时间、延迟充电时间等参数调节设置，</w:t>
      </w:r>
      <w:r>
        <w:rPr>
          <w:rStyle w:val="63"/>
          <w:rFonts w:hint="eastAsia" w:ascii="宋体" w:hAnsi="宋体" w:eastAsia="宋体" w:cs="宋体"/>
          <w:color w:val="auto"/>
          <w:sz w:val="22"/>
          <w:szCs w:val="22"/>
          <w:highlight w:val="none"/>
        </w:rPr>
        <w:t>具备</w:t>
      </w:r>
      <w:r>
        <w:rPr>
          <w:rStyle w:val="63"/>
          <w:rFonts w:hint="eastAsia" w:ascii="宋体" w:hAnsi="宋体" w:eastAsia="宋体" w:cs="宋体"/>
          <w:color w:val="auto"/>
          <w:sz w:val="22"/>
          <w:szCs w:val="22"/>
          <w:highlight w:val="none"/>
          <w:lang w:val="en-US" w:eastAsia="zh-CN"/>
        </w:rPr>
        <w:t>≥</w:t>
      </w:r>
      <w:r>
        <w:rPr>
          <w:rStyle w:val="63"/>
          <w:rFonts w:hint="eastAsia" w:ascii="宋体" w:hAnsi="宋体" w:eastAsia="宋体" w:cs="宋体"/>
          <w:color w:val="auto"/>
          <w:sz w:val="22"/>
          <w:szCs w:val="22"/>
          <w:highlight w:val="none"/>
        </w:rPr>
        <w:t>2种“延迟充电”模式，至少包含主机面板和软件可设置，延迟充电时间0-30s可调</w:t>
      </w:r>
      <w:r>
        <w:rPr>
          <w:rStyle w:val="63"/>
          <w:rFonts w:hint="eastAsia" w:ascii="宋体" w:hAnsi="宋体" w:eastAsia="宋体" w:cs="宋体"/>
          <w:color w:val="auto"/>
          <w:sz w:val="22"/>
          <w:szCs w:val="22"/>
          <w:highlight w:val="none"/>
          <w:lang w:eastAsia="zh-CN"/>
        </w:rPr>
        <w:t>，</w:t>
      </w:r>
      <w:r>
        <w:rPr>
          <w:rStyle w:val="63"/>
          <w:rFonts w:hint="eastAsia" w:ascii="宋体" w:hAnsi="宋体" w:eastAsia="宋体" w:cs="宋体"/>
          <w:color w:val="auto"/>
          <w:sz w:val="22"/>
          <w:szCs w:val="22"/>
          <w:highlight w:val="none"/>
        </w:rPr>
        <w:t>主机面板具备自动计算按键，一键式计算运动阈值的百分比</w:t>
      </w:r>
      <w:r>
        <w:rPr>
          <w:rStyle w:val="63"/>
          <w:rFonts w:hint="eastAsia" w:ascii="宋体" w:hAnsi="宋体" w:eastAsia="宋体" w:cs="宋体"/>
          <w:color w:val="auto"/>
          <w:sz w:val="22"/>
          <w:szCs w:val="22"/>
          <w:highlight w:val="none"/>
          <w:lang w:eastAsia="zh-CN"/>
        </w:rPr>
        <w:t>；</w:t>
      </w:r>
    </w:p>
    <w:p w14:paraId="37389C4B">
      <w:pPr>
        <w:pStyle w:val="60"/>
        <w:numPr>
          <w:ilvl w:val="1"/>
          <w:numId w:val="1"/>
        </w:numPr>
        <w:spacing w:line="276" w:lineRule="auto"/>
        <w:ind w:firstLineChars="0"/>
        <w:rPr>
          <w:rStyle w:val="63"/>
          <w:rFonts w:hint="eastAsia" w:ascii="宋体" w:hAnsi="宋体" w:eastAsia="宋体" w:cs="宋体"/>
          <w:color w:val="auto"/>
          <w:sz w:val="22"/>
          <w:szCs w:val="22"/>
          <w:highlight w:val="none"/>
        </w:rPr>
      </w:pPr>
      <w:r>
        <w:rPr>
          <w:rStyle w:val="63"/>
          <w:rFonts w:hint="eastAsia" w:ascii="宋体" w:hAnsi="宋体" w:eastAsia="宋体" w:cs="宋体"/>
          <w:color w:val="auto"/>
          <w:sz w:val="22"/>
          <w:szCs w:val="22"/>
          <w:highlight w:val="none"/>
        </w:rPr>
        <w:t>具备高压开关按钮，在不关机和关闭电脑的状态下，可进行线圈热插拔。</w:t>
      </w:r>
    </w:p>
    <w:p w14:paraId="63CA2368">
      <w:pPr>
        <w:pStyle w:val="60"/>
        <w:numPr>
          <w:ilvl w:val="1"/>
          <w:numId w:val="1"/>
        </w:numPr>
        <w:spacing w:line="276" w:lineRule="auto"/>
        <w:ind w:firstLineChars="0"/>
        <w:rPr>
          <w:rStyle w:val="63"/>
          <w:rFonts w:hint="eastAsia" w:ascii="宋体" w:hAnsi="宋体" w:eastAsia="宋体" w:cs="宋体"/>
          <w:color w:val="auto"/>
          <w:sz w:val="22"/>
          <w:szCs w:val="22"/>
          <w:highlight w:val="none"/>
        </w:rPr>
      </w:pPr>
      <w:r>
        <w:rPr>
          <w:rStyle w:val="63"/>
          <w:rFonts w:hint="eastAsia" w:ascii="宋体" w:hAnsi="宋体" w:eastAsia="宋体" w:cs="宋体"/>
          <w:color w:val="auto"/>
          <w:sz w:val="22"/>
          <w:szCs w:val="22"/>
          <w:highlight w:val="none"/>
        </w:rPr>
        <w:t>最大磁刺激强度：≥5T，0-5T可调。</w:t>
      </w:r>
    </w:p>
    <w:p w14:paraId="762808CD">
      <w:pPr>
        <w:pStyle w:val="60"/>
        <w:numPr>
          <w:ilvl w:val="1"/>
          <w:numId w:val="1"/>
        </w:numPr>
        <w:spacing w:line="276" w:lineRule="auto"/>
        <w:ind w:firstLineChars="0"/>
        <w:rPr>
          <w:rFonts w:hint="eastAsia" w:ascii="宋体" w:hAnsi="宋体" w:eastAsia="宋体" w:cs="宋体"/>
          <w:color w:val="auto"/>
          <w:sz w:val="22"/>
          <w:szCs w:val="22"/>
          <w:highlight w:val="none"/>
        </w:rPr>
      </w:pPr>
      <w:r>
        <w:rPr>
          <w:rStyle w:val="63"/>
          <w:rFonts w:hint="eastAsia" w:ascii="宋体" w:hAnsi="宋体" w:eastAsia="宋体" w:cs="宋体"/>
          <w:color w:val="auto"/>
          <w:sz w:val="22"/>
          <w:szCs w:val="22"/>
          <w:highlight w:val="none"/>
        </w:rPr>
        <w:t>最大刺激频率：≥100Hz，0-100Hz可调，0-10Hz步长0.1Hz，10Hz以上，步长1Hz。</w:t>
      </w:r>
    </w:p>
    <w:p w14:paraId="703E7D6D">
      <w:pPr>
        <w:pStyle w:val="64"/>
        <w:numPr>
          <w:ilvl w:val="0"/>
          <w:numId w:val="1"/>
        </w:numPr>
        <w:ind w:left="136" w:leftChars="65" w:firstLineChars="0"/>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冷却系统</w:t>
      </w:r>
    </w:p>
    <w:p w14:paraId="5A4F3418">
      <w:pPr>
        <w:pStyle w:val="64"/>
        <w:numPr>
          <w:ilvl w:val="1"/>
          <w:numId w:val="1"/>
        </w:numPr>
        <w:ind w:firstLineChars="0"/>
        <w:rPr>
          <w:rStyle w:val="63"/>
          <w:rFonts w:hint="eastAsia" w:ascii="宋体" w:hAnsi="宋体" w:eastAsia="宋体" w:cs="宋体"/>
          <w:color w:val="auto"/>
          <w:sz w:val="22"/>
          <w:szCs w:val="22"/>
          <w:highlight w:val="none"/>
        </w:rPr>
      </w:pPr>
      <w:r>
        <w:rPr>
          <w:rStyle w:val="63"/>
          <w:rFonts w:hint="eastAsia" w:ascii="宋体" w:hAnsi="宋体" w:eastAsia="宋体" w:cs="宋体"/>
          <w:color w:val="auto"/>
          <w:sz w:val="22"/>
          <w:szCs w:val="22"/>
          <w:highlight w:val="none"/>
        </w:rPr>
        <w:t>免维护内循环冷却系统，设备可连续≥24小时工作；具备主动冷却功能</w:t>
      </w:r>
      <w:r>
        <w:rPr>
          <w:rStyle w:val="63"/>
          <w:rFonts w:hint="eastAsia" w:ascii="宋体" w:hAnsi="宋体" w:eastAsia="宋体" w:cs="宋体"/>
          <w:color w:val="auto"/>
          <w:sz w:val="22"/>
          <w:szCs w:val="22"/>
          <w:highlight w:val="none"/>
          <w:lang w:eastAsia="zh-CN"/>
        </w:rPr>
        <w:t>；</w:t>
      </w:r>
      <w:r>
        <w:rPr>
          <w:rStyle w:val="63"/>
          <w:rFonts w:hint="eastAsia" w:ascii="宋体" w:hAnsi="宋体" w:eastAsia="宋体" w:cs="宋体"/>
          <w:color w:val="auto"/>
          <w:sz w:val="22"/>
          <w:szCs w:val="22"/>
          <w:highlight w:val="none"/>
        </w:rPr>
        <w:t>设备面板具备</w:t>
      </w:r>
      <w:r>
        <w:rPr>
          <w:rFonts w:hint="eastAsia" w:ascii="宋体" w:hAnsi="宋体" w:eastAsia="宋体" w:cs="宋体"/>
          <w:color w:val="auto"/>
          <w:sz w:val="22"/>
          <w:szCs w:val="22"/>
          <w:highlight w:val="none"/>
        </w:rPr>
        <w:t>≥</w:t>
      </w:r>
      <w:r>
        <w:rPr>
          <w:rStyle w:val="63"/>
          <w:rFonts w:hint="eastAsia" w:ascii="宋体" w:hAnsi="宋体" w:eastAsia="宋体" w:cs="宋体"/>
          <w:color w:val="auto"/>
          <w:sz w:val="22"/>
          <w:szCs w:val="22"/>
          <w:highlight w:val="none"/>
        </w:rPr>
        <w:t>4级温度颜色指示功能。</w:t>
      </w:r>
    </w:p>
    <w:p w14:paraId="774C5FE1">
      <w:pPr>
        <w:pStyle w:val="64"/>
        <w:numPr>
          <w:ilvl w:val="0"/>
          <w:numId w:val="1"/>
        </w:numPr>
        <w:ind w:left="136" w:leftChars="65" w:firstLineChars="0"/>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刺激线圈</w:t>
      </w:r>
    </w:p>
    <w:p w14:paraId="6093F923">
      <w:pPr>
        <w:pStyle w:val="64"/>
        <w:numPr>
          <w:ilvl w:val="1"/>
          <w:numId w:val="1"/>
        </w:numPr>
        <w:ind w:firstLineChars="0"/>
        <w:rPr>
          <w:rFonts w:hint="eastAsia" w:ascii="宋体" w:hAnsi="宋体" w:eastAsia="宋体" w:cs="宋体"/>
          <w:color w:val="auto"/>
          <w:sz w:val="22"/>
          <w:szCs w:val="22"/>
          <w:highlight w:val="none"/>
        </w:rPr>
      </w:pPr>
      <w:r>
        <w:rPr>
          <w:rStyle w:val="63"/>
          <w:rFonts w:hint="eastAsia" w:ascii="宋体" w:hAnsi="宋体" w:eastAsia="宋体" w:cs="宋体"/>
          <w:color w:val="auto"/>
          <w:sz w:val="22"/>
          <w:szCs w:val="22"/>
          <w:highlight w:val="none"/>
          <w:lang w:val="en-US" w:eastAsia="zh-CN"/>
        </w:rPr>
        <w:t>具备</w:t>
      </w:r>
      <w:r>
        <w:rPr>
          <w:rStyle w:val="63"/>
          <w:rFonts w:hint="eastAsia" w:ascii="宋体" w:hAnsi="宋体" w:eastAsia="宋体" w:cs="宋体"/>
          <w:color w:val="auto"/>
          <w:sz w:val="22"/>
          <w:szCs w:val="22"/>
          <w:highlight w:val="none"/>
        </w:rPr>
        <w:t>过热保护</w:t>
      </w:r>
      <w:r>
        <w:rPr>
          <w:rStyle w:val="63"/>
          <w:rFonts w:hint="eastAsia" w:ascii="宋体" w:hAnsi="宋体" w:eastAsia="宋体" w:cs="宋体"/>
          <w:color w:val="auto"/>
          <w:sz w:val="22"/>
          <w:szCs w:val="22"/>
          <w:highlight w:val="none"/>
          <w:lang w:val="en-US" w:eastAsia="zh-CN"/>
        </w:rPr>
        <w:t>功能</w:t>
      </w:r>
      <w:r>
        <w:rPr>
          <w:rStyle w:val="63"/>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rPr>
        <w:t>线圈治疗部位具备温度传感器，刺激线圈超过41℃，自动停止输出。</w:t>
      </w:r>
    </w:p>
    <w:p w14:paraId="00F99A3E">
      <w:pPr>
        <w:pStyle w:val="64"/>
        <w:numPr>
          <w:ilvl w:val="1"/>
          <w:numId w:val="1"/>
        </w:numPr>
        <w:ind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具备多刺激线圈连接转接头，可同时外挂多种线圈</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蝶形、8字、圆形、双锥等</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，便于临床随时更换线圈种类进行治疗；</w:t>
      </w:r>
    </w:p>
    <w:p w14:paraId="51435F64">
      <w:pPr>
        <w:numPr>
          <w:ilvl w:val="1"/>
          <w:numId w:val="1"/>
        </w:num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woUserID w:val="1"/>
        </w:rPr>
        <w:t xml:space="preserve"> </w:t>
      </w:r>
      <w:r>
        <w:rPr>
          <w:rFonts w:hint="eastAsia" w:ascii="宋体" w:hAnsi="宋体" w:eastAsia="宋体" w:cs="宋体"/>
          <w:color w:val="auto"/>
          <w:sz w:val="22"/>
          <w:szCs w:val="22"/>
          <w:highlight w:val="none"/>
          <w:woUserID w:val="1"/>
        </w:rPr>
        <w:t>8</w:t>
      </w:r>
      <w:r>
        <w:rPr>
          <w:rFonts w:hint="eastAsia" w:ascii="宋体" w:hAnsi="宋体" w:eastAsia="宋体" w:cs="宋体"/>
          <w:color w:val="auto"/>
          <w:sz w:val="22"/>
          <w:szCs w:val="22"/>
          <w:highlight w:val="none"/>
        </w:rPr>
        <w:t>字蝶形线圈，单个线圈直径≤100mm；可实现双向双面刺激；</w:t>
      </w:r>
    </w:p>
    <w:p w14:paraId="633F40FA">
      <w:pPr>
        <w:pStyle w:val="64"/>
        <w:numPr>
          <w:ilvl w:val="0"/>
          <w:numId w:val="1"/>
        </w:numPr>
        <w:ind w:left="136" w:leftChars="65" w:firstLineChars="0"/>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磁刺激工作系统</w:t>
      </w:r>
    </w:p>
    <w:p w14:paraId="62656323">
      <w:pPr>
        <w:pStyle w:val="64"/>
        <w:numPr>
          <w:ilvl w:val="1"/>
          <w:numId w:val="1"/>
        </w:numPr>
        <w:ind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8"/>
          <w:highlight w:val="none"/>
          <w:lang w:val="en-US" w:eastAsia="zh-CN"/>
        </w:rPr>
        <w:t>具备</w:t>
      </w:r>
      <w:r>
        <w:rPr>
          <w:rFonts w:hint="eastAsia" w:ascii="宋体" w:hAnsi="宋体" w:eastAsia="宋体" w:cs="宋体"/>
          <w:color w:val="auto"/>
          <w:sz w:val="22"/>
          <w:szCs w:val="28"/>
          <w:highlight w:val="none"/>
        </w:rPr>
        <w:t>外置计算机系统可管理数据和出具报告</w:t>
      </w:r>
      <w:r>
        <w:rPr>
          <w:rFonts w:hint="eastAsia" w:ascii="宋体" w:hAnsi="宋体" w:eastAsia="宋体" w:cs="宋体"/>
          <w:color w:val="auto"/>
          <w:sz w:val="22"/>
          <w:szCs w:val="28"/>
          <w:highlight w:val="none"/>
          <w:lang w:eastAsia="zh-CN"/>
        </w:rPr>
        <w:t>，</w:t>
      </w:r>
      <w:r>
        <w:rPr>
          <w:rFonts w:hint="eastAsia" w:ascii="宋体" w:hAnsi="宋体" w:eastAsia="宋体" w:cs="宋体"/>
          <w:color w:val="auto"/>
          <w:sz w:val="22"/>
          <w:szCs w:val="28"/>
          <w:highlight w:val="none"/>
        </w:rPr>
        <w:t>多种语言操作界面自由切换</w:t>
      </w:r>
      <w:r>
        <w:rPr>
          <w:rFonts w:hint="eastAsia" w:ascii="宋体" w:hAnsi="宋体" w:eastAsia="宋体" w:cs="宋体"/>
          <w:color w:val="auto"/>
          <w:sz w:val="22"/>
          <w:szCs w:val="28"/>
          <w:highlight w:val="none"/>
          <w:lang w:eastAsia="zh-CN"/>
        </w:rPr>
        <w:t>，</w:t>
      </w:r>
      <w:r>
        <w:rPr>
          <w:rFonts w:hint="eastAsia" w:ascii="宋体" w:hAnsi="宋体" w:eastAsia="宋体" w:cs="宋体"/>
          <w:color w:val="auto"/>
          <w:sz w:val="22"/>
          <w:szCs w:val="22"/>
          <w:highlight w:val="none"/>
        </w:rPr>
        <w:t>具备开机自动自检和线圈种类识别功能</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具备</w:t>
      </w:r>
      <w:r>
        <w:rPr>
          <w:rFonts w:hint="eastAsia" w:ascii="宋体" w:hAnsi="宋体" w:eastAsia="宋体" w:cs="宋体"/>
          <w:color w:val="auto"/>
          <w:sz w:val="22"/>
          <w:szCs w:val="22"/>
          <w:highlight w:val="none"/>
        </w:rPr>
        <w:t>患者</w:t>
      </w:r>
      <w:r>
        <w:rPr>
          <w:rFonts w:hint="eastAsia" w:ascii="宋体" w:hAnsi="宋体" w:eastAsia="宋体" w:cs="宋体"/>
          <w:color w:val="auto"/>
          <w:sz w:val="22"/>
          <w:szCs w:val="22"/>
          <w:highlight w:val="none"/>
          <w:lang w:val="en-US" w:eastAsia="zh-CN"/>
        </w:rPr>
        <w:t>相关</w:t>
      </w:r>
      <w:r>
        <w:rPr>
          <w:rFonts w:hint="eastAsia" w:ascii="宋体" w:hAnsi="宋体" w:eastAsia="宋体" w:cs="宋体"/>
          <w:color w:val="auto"/>
          <w:sz w:val="22"/>
          <w:szCs w:val="22"/>
          <w:highlight w:val="none"/>
        </w:rPr>
        <w:t>数据统计导出</w:t>
      </w:r>
      <w:r>
        <w:rPr>
          <w:rFonts w:hint="eastAsia" w:ascii="宋体" w:hAnsi="宋体" w:eastAsia="宋体" w:cs="宋体"/>
          <w:color w:val="auto"/>
          <w:sz w:val="22"/>
          <w:szCs w:val="22"/>
          <w:highlight w:val="none"/>
          <w:lang w:val="en-US" w:eastAsia="zh-CN"/>
        </w:rPr>
        <w:t>功能</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具备</w:t>
      </w:r>
      <w:r>
        <w:rPr>
          <w:rFonts w:hint="eastAsia" w:ascii="宋体" w:hAnsi="宋体" w:eastAsia="宋体" w:cs="宋体"/>
          <w:color w:val="auto"/>
          <w:sz w:val="22"/>
          <w:szCs w:val="22"/>
          <w:highlight w:val="none"/>
        </w:rPr>
        <w:t>出具治疗、检测信息等报告</w:t>
      </w:r>
      <w:r>
        <w:rPr>
          <w:rFonts w:hint="eastAsia" w:ascii="宋体" w:hAnsi="宋体" w:eastAsia="宋体" w:cs="宋体"/>
          <w:color w:val="auto"/>
          <w:sz w:val="22"/>
          <w:szCs w:val="22"/>
          <w:highlight w:val="none"/>
          <w:lang w:val="en-US" w:eastAsia="zh-CN"/>
        </w:rPr>
        <w:t>功能</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具备</w:t>
      </w:r>
      <w:r>
        <w:rPr>
          <w:rFonts w:hint="eastAsia" w:ascii="宋体" w:hAnsi="宋体" w:eastAsia="宋体" w:cs="宋体"/>
          <w:color w:val="auto"/>
          <w:sz w:val="22"/>
          <w:szCs w:val="22"/>
          <w:highlight w:val="none"/>
        </w:rPr>
        <w:t>教学演示</w:t>
      </w:r>
      <w:r>
        <w:rPr>
          <w:rFonts w:hint="eastAsia" w:ascii="宋体" w:hAnsi="宋体" w:eastAsia="宋体" w:cs="宋体"/>
          <w:color w:val="auto"/>
          <w:sz w:val="22"/>
          <w:szCs w:val="22"/>
          <w:highlight w:val="none"/>
          <w:lang w:val="en-US" w:eastAsia="zh-CN"/>
        </w:rPr>
        <w:t>功能</w:t>
      </w:r>
      <w:r>
        <w:rPr>
          <w:rFonts w:hint="eastAsia" w:ascii="宋体" w:hAnsi="宋体" w:eastAsia="宋体" w:cs="宋体"/>
          <w:color w:val="auto"/>
          <w:sz w:val="22"/>
          <w:szCs w:val="22"/>
          <w:highlight w:val="none"/>
        </w:rPr>
        <w:t>。</w:t>
      </w:r>
    </w:p>
    <w:p w14:paraId="1DCECA99">
      <w:pPr>
        <w:pStyle w:val="64"/>
        <w:numPr>
          <w:ilvl w:val="1"/>
          <w:numId w:val="1"/>
        </w:numPr>
        <w:ind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具备常规的单刺激、重复刺激、丛刺激（爆发式刺激与模式化刺激）</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渐变模式（Ramp）刺激、扫频模式（Sweep）刺激</w:t>
      </w:r>
      <w:r>
        <w:rPr>
          <w:rFonts w:hint="eastAsia" w:ascii="宋体" w:hAnsi="宋体" w:eastAsia="宋体" w:cs="宋体"/>
          <w:color w:val="auto"/>
          <w:sz w:val="22"/>
          <w:szCs w:val="22"/>
          <w:highlight w:val="none"/>
          <w:lang w:val="en-US" w:eastAsia="zh-CN"/>
        </w:rPr>
        <w:t>等</w:t>
      </w:r>
      <w:r>
        <w:rPr>
          <w:rFonts w:hint="eastAsia" w:ascii="宋体" w:hAnsi="宋体" w:eastAsia="宋体" w:cs="宋体"/>
          <w:color w:val="auto"/>
          <w:sz w:val="22"/>
          <w:szCs w:val="22"/>
          <w:highlight w:val="none"/>
        </w:rPr>
        <w:t>模式</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可扩展研究评估相关的成对刺激、关联刺激和三重刺激</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具备单相、双相</w:t>
      </w:r>
      <w:r>
        <w:rPr>
          <w:rFonts w:hint="eastAsia" w:ascii="宋体" w:hAnsi="宋体" w:eastAsia="宋体" w:cs="宋体"/>
          <w:color w:val="auto"/>
          <w:sz w:val="22"/>
          <w:szCs w:val="22"/>
          <w:highlight w:val="none"/>
          <w:lang w:val="en-US" w:eastAsia="zh-CN"/>
        </w:rPr>
        <w:t>等</w:t>
      </w:r>
      <w:r>
        <w:rPr>
          <w:rFonts w:hint="eastAsia" w:ascii="宋体" w:hAnsi="宋体" w:eastAsia="宋体" w:cs="宋体"/>
          <w:color w:val="auto"/>
          <w:sz w:val="22"/>
          <w:szCs w:val="22"/>
          <w:highlight w:val="none"/>
        </w:rPr>
        <w:t>刺激波形可选。</w:t>
      </w:r>
    </w:p>
    <w:p w14:paraId="34846434">
      <w:pPr>
        <w:pStyle w:val="64"/>
        <w:numPr>
          <w:ilvl w:val="1"/>
          <w:numId w:val="1"/>
        </w:numPr>
        <w:ind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具备</w:t>
      </w:r>
      <w:r>
        <w:rPr>
          <w:rFonts w:hint="eastAsia" w:ascii="宋体" w:hAnsi="宋体" w:eastAsia="宋体" w:cs="宋体"/>
          <w:color w:val="auto"/>
          <w:sz w:val="22"/>
          <w:szCs w:val="22"/>
          <w:highlight w:val="none"/>
        </w:rPr>
        <w:t>刺激频率、刺激强度（阈值百分比）、刺激时间、间隔时间、脉冲串数、方案等待时间、总脉冲数</w:t>
      </w:r>
      <w:r>
        <w:rPr>
          <w:rFonts w:hint="eastAsia" w:ascii="宋体" w:hAnsi="宋体" w:eastAsia="宋体" w:cs="宋体"/>
          <w:color w:val="auto"/>
          <w:sz w:val="22"/>
          <w:szCs w:val="22"/>
          <w:highlight w:val="none"/>
          <w:lang w:val="en-US" w:eastAsia="zh-CN"/>
        </w:rPr>
        <w:t>等</w:t>
      </w:r>
      <w:r>
        <w:rPr>
          <w:rFonts w:hint="eastAsia" w:ascii="宋体" w:hAnsi="宋体" w:eastAsia="宋体" w:cs="宋体"/>
          <w:color w:val="auto"/>
          <w:sz w:val="22"/>
          <w:szCs w:val="22"/>
          <w:highlight w:val="none"/>
        </w:rPr>
        <w:t>治疗参数设置</w:t>
      </w:r>
      <w:r>
        <w:rPr>
          <w:rFonts w:hint="eastAsia" w:ascii="宋体" w:hAnsi="宋体" w:eastAsia="宋体" w:cs="宋体"/>
          <w:color w:val="auto"/>
          <w:sz w:val="22"/>
          <w:szCs w:val="22"/>
          <w:highlight w:val="none"/>
          <w:lang w:val="en-US" w:eastAsia="zh-CN"/>
        </w:rPr>
        <w:t>功能</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具备</w:t>
      </w:r>
      <w:r>
        <w:rPr>
          <w:rFonts w:hint="eastAsia" w:ascii="宋体" w:hAnsi="宋体" w:eastAsia="宋体" w:cs="宋体"/>
          <w:color w:val="auto"/>
          <w:sz w:val="22"/>
          <w:szCs w:val="22"/>
          <w:highlight w:val="none"/>
        </w:rPr>
        <w:t>刺激位点、采集位点、治疗疗程和运动阈值更新周期</w:t>
      </w:r>
      <w:r>
        <w:rPr>
          <w:rFonts w:hint="eastAsia" w:ascii="宋体" w:hAnsi="宋体" w:eastAsia="宋体" w:cs="宋体"/>
          <w:color w:val="auto"/>
          <w:sz w:val="22"/>
          <w:szCs w:val="22"/>
          <w:highlight w:val="none"/>
          <w:lang w:val="en-US" w:eastAsia="zh-CN"/>
        </w:rPr>
        <w:t>等</w:t>
      </w:r>
      <w:r>
        <w:rPr>
          <w:rFonts w:hint="eastAsia" w:ascii="宋体" w:hAnsi="宋体" w:eastAsia="宋体" w:cs="宋体"/>
          <w:color w:val="auto"/>
          <w:sz w:val="22"/>
          <w:szCs w:val="22"/>
          <w:highlight w:val="none"/>
        </w:rPr>
        <w:t>治疗方案设置</w:t>
      </w:r>
      <w:r>
        <w:rPr>
          <w:rFonts w:hint="eastAsia" w:ascii="宋体" w:hAnsi="宋体" w:eastAsia="宋体" w:cs="宋体"/>
          <w:color w:val="auto"/>
          <w:sz w:val="22"/>
          <w:szCs w:val="22"/>
          <w:highlight w:val="none"/>
          <w:lang w:val="en-US" w:eastAsia="zh-CN"/>
        </w:rPr>
        <w:t>功能，具备</w:t>
      </w:r>
      <w:r>
        <w:rPr>
          <w:rFonts w:hint="eastAsia" w:ascii="宋体" w:hAnsi="宋体" w:eastAsia="宋体" w:cs="宋体"/>
          <w:color w:val="auto"/>
          <w:sz w:val="22"/>
          <w:szCs w:val="22"/>
          <w:highlight w:val="none"/>
        </w:rPr>
        <w:t>治疗方案选择</w:t>
      </w:r>
      <w:r>
        <w:rPr>
          <w:rFonts w:hint="eastAsia" w:ascii="宋体" w:hAnsi="宋体" w:eastAsia="宋体" w:cs="宋体"/>
          <w:color w:val="auto"/>
          <w:sz w:val="22"/>
          <w:szCs w:val="22"/>
          <w:highlight w:val="none"/>
          <w:lang w:val="en-US" w:eastAsia="zh-CN"/>
        </w:rPr>
        <w:t>功能，具备</w:t>
      </w:r>
      <w:r>
        <w:rPr>
          <w:rFonts w:hint="eastAsia" w:ascii="宋体" w:hAnsi="宋体" w:eastAsia="宋体" w:cs="宋体"/>
          <w:color w:val="auto"/>
          <w:sz w:val="22"/>
          <w:szCs w:val="22"/>
          <w:highlight w:val="none"/>
        </w:rPr>
        <w:t>在单次治疗程序中设置多个刺激频率</w:t>
      </w:r>
      <w:r>
        <w:rPr>
          <w:rFonts w:hint="eastAsia" w:ascii="宋体" w:hAnsi="宋体" w:eastAsia="宋体" w:cs="宋体"/>
          <w:color w:val="auto"/>
          <w:sz w:val="22"/>
          <w:szCs w:val="22"/>
          <w:highlight w:val="none"/>
          <w:lang w:val="en-US" w:eastAsia="zh-CN"/>
        </w:rPr>
        <w:t>功能。</w:t>
      </w:r>
    </w:p>
    <w:p w14:paraId="2FC80D4E">
      <w:pPr>
        <w:pStyle w:val="64"/>
        <w:numPr>
          <w:ilvl w:val="1"/>
          <w:numId w:val="1"/>
        </w:numPr>
        <w:ind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具备保存历史记录功能</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具备</w:t>
      </w:r>
      <w:r>
        <w:rPr>
          <w:rFonts w:hint="eastAsia" w:ascii="宋体" w:hAnsi="宋体" w:eastAsia="宋体" w:cs="宋体"/>
          <w:color w:val="auto"/>
          <w:sz w:val="22"/>
          <w:szCs w:val="22"/>
          <w:highlight w:val="none"/>
        </w:rPr>
        <w:t>同屏显示MEP采集页面与数据</w:t>
      </w:r>
      <w:r>
        <w:rPr>
          <w:rFonts w:hint="eastAsia" w:ascii="宋体" w:hAnsi="宋体" w:eastAsia="宋体" w:cs="宋体"/>
          <w:color w:val="auto"/>
          <w:sz w:val="22"/>
          <w:szCs w:val="22"/>
          <w:highlight w:val="none"/>
          <w:lang w:val="en-US" w:eastAsia="zh-CN"/>
        </w:rPr>
        <w:t>等</w:t>
      </w:r>
      <w:r>
        <w:rPr>
          <w:rFonts w:hint="eastAsia" w:ascii="宋体" w:hAnsi="宋体" w:eastAsia="宋体" w:cs="宋体"/>
          <w:color w:val="auto"/>
          <w:sz w:val="22"/>
          <w:szCs w:val="22"/>
          <w:highlight w:val="none"/>
        </w:rPr>
        <w:t>界面</w:t>
      </w:r>
      <w:r>
        <w:rPr>
          <w:rFonts w:hint="eastAsia" w:ascii="宋体" w:hAnsi="宋体" w:eastAsia="宋体" w:cs="宋体"/>
          <w:color w:val="auto"/>
          <w:sz w:val="22"/>
          <w:szCs w:val="22"/>
          <w:highlight w:val="none"/>
          <w:lang w:val="en-US" w:eastAsia="zh-CN"/>
        </w:rPr>
        <w:t>并</w:t>
      </w:r>
      <w:r>
        <w:rPr>
          <w:rFonts w:hint="eastAsia" w:ascii="宋体" w:hAnsi="宋体" w:eastAsia="宋体" w:cs="宋体"/>
          <w:color w:val="auto"/>
          <w:sz w:val="22"/>
          <w:szCs w:val="22"/>
          <w:highlight w:val="none"/>
        </w:rPr>
        <w:t>可自定义设置MEP采集界面，可无限次数显示每次记录的波形和波形数据，数据包括潜伏期、波幅、波宽等参数并打印记录。</w:t>
      </w:r>
    </w:p>
    <w:p w14:paraId="1B9503CA">
      <w:pPr>
        <w:pStyle w:val="64"/>
        <w:numPr>
          <w:ilvl w:val="1"/>
          <w:numId w:val="1"/>
        </w:numPr>
        <w:ind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具备自动检测阈值功能</w:t>
      </w:r>
      <w:r>
        <w:rPr>
          <w:rFonts w:hint="eastAsia" w:ascii="宋体" w:hAnsi="宋体" w:eastAsia="宋体" w:cs="宋体"/>
          <w:color w:val="auto"/>
          <w:sz w:val="22"/>
          <w:szCs w:val="28"/>
          <w:highlight w:val="none"/>
          <w:lang w:val="en-US" w:eastAsia="zh-CN"/>
        </w:rPr>
        <w:t>及</w:t>
      </w:r>
      <w:r>
        <w:rPr>
          <w:rFonts w:hint="eastAsia" w:ascii="宋体" w:hAnsi="宋体" w:eastAsia="宋体" w:cs="宋体"/>
          <w:color w:val="auto"/>
          <w:sz w:val="22"/>
          <w:szCs w:val="28"/>
          <w:highlight w:val="none"/>
        </w:rPr>
        <w:t>阈值追踪趋势图</w:t>
      </w:r>
      <w:r>
        <w:rPr>
          <w:rFonts w:hint="eastAsia" w:ascii="宋体" w:hAnsi="宋体" w:eastAsia="宋体" w:cs="宋体"/>
          <w:color w:val="auto"/>
          <w:sz w:val="22"/>
          <w:szCs w:val="22"/>
          <w:highlight w:val="none"/>
        </w:rPr>
        <w:t>，可设置快速、精准</w:t>
      </w:r>
      <w:r>
        <w:rPr>
          <w:rFonts w:hint="eastAsia" w:ascii="宋体" w:hAnsi="宋体" w:eastAsia="宋体" w:cs="宋体"/>
          <w:color w:val="auto"/>
          <w:sz w:val="22"/>
          <w:szCs w:val="22"/>
          <w:highlight w:val="none"/>
          <w:lang w:val="en-US" w:eastAsia="zh-CN"/>
        </w:rPr>
        <w:t>等多</w:t>
      </w:r>
      <w:r>
        <w:rPr>
          <w:rFonts w:hint="eastAsia" w:ascii="宋体" w:hAnsi="宋体" w:eastAsia="宋体" w:cs="宋体"/>
          <w:color w:val="auto"/>
          <w:sz w:val="22"/>
          <w:szCs w:val="22"/>
          <w:highlight w:val="none"/>
        </w:rPr>
        <w:t>种方式进行阈值的自动检测，可自定义设置波形采集成功标准、刺激间隔时间、强度搜索范围等参数</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8"/>
          <w:highlight w:val="none"/>
        </w:rPr>
        <w:t>可同时显示多个运动皮层阈值趋势</w:t>
      </w:r>
      <w:r>
        <w:rPr>
          <w:rFonts w:hint="eastAsia" w:ascii="宋体" w:hAnsi="宋体" w:eastAsia="宋体" w:cs="宋体"/>
          <w:color w:val="auto"/>
          <w:sz w:val="22"/>
          <w:szCs w:val="28"/>
          <w:highlight w:val="none"/>
          <w:lang w:eastAsia="zh-CN"/>
        </w:rPr>
        <w:t>，</w:t>
      </w:r>
      <w:r>
        <w:rPr>
          <w:rFonts w:hint="eastAsia" w:ascii="宋体" w:hAnsi="宋体" w:eastAsia="宋体" w:cs="宋体"/>
          <w:color w:val="auto"/>
          <w:sz w:val="22"/>
          <w:szCs w:val="22"/>
          <w:highlight w:val="none"/>
        </w:rPr>
        <w:t>运动阈值锁定同步指示灯显示</w:t>
      </w:r>
    </w:p>
    <w:p w14:paraId="62DFE9C6">
      <w:pPr>
        <w:pStyle w:val="64"/>
        <w:numPr>
          <w:ilvl w:val="1"/>
          <w:numId w:val="1"/>
        </w:numPr>
        <w:ind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具备刺激模式图形（数字）仿真、温度显示与控制保护功能。</w:t>
      </w:r>
      <w:r>
        <w:rPr>
          <w:rFonts w:hint="eastAsia" w:ascii="宋体" w:hAnsi="宋体" w:eastAsia="宋体" w:cs="宋体"/>
          <w:color w:val="auto"/>
          <w:sz w:val="22"/>
          <w:szCs w:val="22"/>
          <w:highlight w:val="none"/>
          <w:lang w:val="en-US" w:eastAsia="zh-CN"/>
        </w:rPr>
        <w:t>具备</w:t>
      </w:r>
      <w:r>
        <w:rPr>
          <w:rFonts w:hint="eastAsia" w:ascii="宋体" w:hAnsi="宋体" w:eastAsia="宋体" w:cs="宋体"/>
          <w:color w:val="auto"/>
          <w:sz w:val="22"/>
          <w:szCs w:val="28"/>
          <w:highlight w:val="none"/>
        </w:rPr>
        <w:t>安慰/伪刺激</w:t>
      </w:r>
      <w:r>
        <w:rPr>
          <w:rFonts w:hint="eastAsia" w:ascii="宋体" w:hAnsi="宋体" w:eastAsia="宋体" w:cs="宋体"/>
          <w:color w:val="auto"/>
          <w:sz w:val="22"/>
          <w:szCs w:val="28"/>
          <w:highlight w:val="none"/>
          <w:lang w:val="en-US" w:eastAsia="zh-CN"/>
        </w:rPr>
        <w:t>功能</w:t>
      </w:r>
      <w:r>
        <w:rPr>
          <w:rFonts w:hint="eastAsia" w:ascii="宋体" w:hAnsi="宋体" w:eastAsia="宋体" w:cs="宋体"/>
          <w:color w:val="auto"/>
          <w:sz w:val="22"/>
          <w:szCs w:val="28"/>
          <w:highlight w:val="none"/>
        </w:rPr>
        <w:t>：无需更换线圈，软件可实现安慰/伪刺激、电刺激随机双盲控制分组设置，并有隐私保护。</w:t>
      </w:r>
    </w:p>
    <w:p w14:paraId="1215610F">
      <w:pPr>
        <w:pStyle w:val="64"/>
        <w:numPr>
          <w:ilvl w:val="1"/>
          <w:numId w:val="1"/>
        </w:numPr>
        <w:ind w:firstLineChars="0"/>
        <w:rPr>
          <w:rFonts w:hint="eastAsia" w:ascii="宋体" w:hAnsi="宋体" w:eastAsia="宋体" w:cs="宋体"/>
          <w:color w:val="auto"/>
          <w:sz w:val="22"/>
          <w:szCs w:val="28"/>
          <w:highlight w:val="none"/>
        </w:rPr>
      </w:pPr>
      <w:r>
        <w:rPr>
          <w:rFonts w:hint="eastAsia" w:ascii="宋体" w:hAnsi="宋体" w:eastAsia="宋体" w:cs="宋体"/>
          <w:color w:val="auto"/>
          <w:sz w:val="22"/>
          <w:szCs w:val="22"/>
          <w:highlight w:val="none"/>
        </w:rPr>
        <w:t>主机及线圈</w:t>
      </w:r>
      <w:r>
        <w:rPr>
          <w:rFonts w:hint="eastAsia" w:ascii="宋体" w:hAnsi="宋体" w:eastAsia="宋体" w:cs="宋体"/>
          <w:color w:val="auto"/>
          <w:sz w:val="22"/>
          <w:szCs w:val="22"/>
          <w:highlight w:val="none"/>
          <w:lang w:val="en-US" w:eastAsia="zh-CN"/>
        </w:rPr>
        <w:t>具备</w:t>
      </w:r>
      <w:r>
        <w:rPr>
          <w:rFonts w:hint="eastAsia" w:ascii="宋体" w:hAnsi="宋体" w:eastAsia="宋体" w:cs="宋体"/>
          <w:color w:val="auto"/>
          <w:sz w:val="22"/>
          <w:szCs w:val="22"/>
          <w:highlight w:val="none"/>
        </w:rPr>
        <w:t>自动保护待机设置</w:t>
      </w:r>
      <w:r>
        <w:rPr>
          <w:rFonts w:hint="eastAsia" w:ascii="宋体" w:hAnsi="宋体" w:eastAsia="宋体" w:cs="宋体"/>
          <w:color w:val="auto"/>
          <w:sz w:val="22"/>
          <w:szCs w:val="22"/>
          <w:highlight w:val="none"/>
          <w:lang w:val="en-US" w:eastAsia="zh-CN"/>
        </w:rPr>
        <w:t>功能，具备</w:t>
      </w:r>
      <w:r>
        <w:rPr>
          <w:rFonts w:hint="eastAsia" w:ascii="宋体" w:hAnsi="宋体" w:eastAsia="宋体" w:cs="宋体"/>
          <w:color w:val="auto"/>
          <w:sz w:val="22"/>
          <w:szCs w:val="22"/>
          <w:highlight w:val="none"/>
        </w:rPr>
        <w:t>刺激警示</w:t>
      </w:r>
      <w:r>
        <w:rPr>
          <w:rFonts w:hint="eastAsia" w:ascii="宋体" w:hAnsi="宋体" w:eastAsia="宋体" w:cs="宋体"/>
          <w:color w:val="auto"/>
          <w:sz w:val="22"/>
          <w:szCs w:val="22"/>
          <w:highlight w:val="none"/>
          <w:lang w:val="en-US" w:eastAsia="zh-CN"/>
        </w:rPr>
        <w:t>功能，具备</w:t>
      </w:r>
      <w:r>
        <w:rPr>
          <w:rFonts w:hint="eastAsia" w:ascii="宋体" w:hAnsi="宋体" w:eastAsia="宋体" w:cs="宋体"/>
          <w:color w:val="auto"/>
          <w:sz w:val="22"/>
          <w:szCs w:val="22"/>
          <w:highlight w:val="none"/>
        </w:rPr>
        <w:t>软启动模式</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可以自定义设置初始刺激强度、强度上升到标准刺激强度的脉冲串数</w:t>
      </w:r>
      <w:r>
        <w:rPr>
          <w:rFonts w:hint="eastAsia" w:ascii="宋体" w:hAnsi="宋体" w:eastAsia="宋体" w:cs="宋体"/>
          <w:color w:val="auto"/>
          <w:sz w:val="22"/>
          <w:szCs w:val="22"/>
          <w:highlight w:val="none"/>
          <w:lang w:eastAsia="zh-CN"/>
        </w:rPr>
        <w:t>。</w:t>
      </w:r>
    </w:p>
    <w:p w14:paraId="5C10E79D">
      <w:pPr>
        <w:pStyle w:val="64"/>
        <w:numPr>
          <w:ilvl w:val="1"/>
          <w:numId w:val="1"/>
        </w:numPr>
        <w:ind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定位管理器：</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sz w:val="22"/>
          <w:szCs w:val="22"/>
          <w:highlight w:val="none"/>
        </w:rPr>
        <w:t>3种DLPFC计算方式</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具备10-20脑电系统，通过测量头颅大小输入数据，软件可计算出每个点位的距离，可精准找到每个点位。具备TMS安全筛查问卷表</w:t>
      </w:r>
      <w:r>
        <w:rPr>
          <w:rFonts w:hint="eastAsia" w:ascii="宋体" w:hAnsi="宋体" w:eastAsia="宋体" w:cs="宋体"/>
          <w:color w:val="auto"/>
          <w:sz w:val="22"/>
          <w:szCs w:val="22"/>
          <w:highlight w:val="none"/>
          <w:lang w:eastAsia="zh-CN"/>
        </w:rPr>
        <w:t>。</w:t>
      </w:r>
    </w:p>
    <w:p w14:paraId="087767C5">
      <w:pPr>
        <w:pStyle w:val="60"/>
        <w:numPr>
          <w:ilvl w:val="0"/>
          <w:numId w:val="1"/>
        </w:numPr>
        <w:spacing w:line="276" w:lineRule="auto"/>
        <w:ind w:firstLineChars="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MEP(EMG)运动诱发电位</w:t>
      </w:r>
    </w:p>
    <w:p w14:paraId="784F7D4C">
      <w:pPr>
        <w:pStyle w:val="60"/>
        <w:numPr>
          <w:ilvl w:val="1"/>
          <w:numId w:val="1"/>
        </w:numPr>
        <w:spacing w:line="276" w:lineRule="auto"/>
        <w:ind w:firstLineChars="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rPr>
        <w:t>最大采样率：</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8"/>
          <w:highlight w:val="none"/>
        </w:rPr>
        <w:t>80KHz</w:t>
      </w:r>
    </w:p>
    <w:p w14:paraId="524B9E23">
      <w:pPr>
        <w:pStyle w:val="60"/>
        <w:numPr>
          <w:ilvl w:val="1"/>
          <w:numId w:val="1"/>
        </w:numPr>
        <w:spacing w:line="276" w:lineRule="auto"/>
        <w:ind w:firstLineChars="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rPr>
        <w:t>低通滤波（HPF）：0.5-200Hz</w:t>
      </w:r>
      <w:r>
        <w:rPr>
          <w:rFonts w:hint="eastAsia" w:ascii="宋体" w:hAnsi="宋体" w:eastAsia="宋体" w:cs="宋体"/>
          <w:color w:val="auto"/>
          <w:sz w:val="22"/>
          <w:szCs w:val="28"/>
          <w:highlight w:val="none"/>
          <w:lang w:eastAsia="zh-CN"/>
        </w:rPr>
        <w:t>，</w:t>
      </w:r>
      <w:r>
        <w:rPr>
          <w:rFonts w:hint="eastAsia" w:ascii="宋体" w:hAnsi="宋体" w:eastAsia="宋体" w:cs="宋体"/>
          <w:color w:val="auto"/>
          <w:sz w:val="22"/>
          <w:szCs w:val="28"/>
          <w:highlight w:val="none"/>
        </w:rPr>
        <w:t>高通滤波（LPF）:20-10000Hz</w:t>
      </w:r>
    </w:p>
    <w:p w14:paraId="65AC8E1D">
      <w:pPr>
        <w:pStyle w:val="60"/>
        <w:numPr>
          <w:ilvl w:val="1"/>
          <w:numId w:val="1"/>
        </w:numPr>
        <w:spacing w:line="276" w:lineRule="auto"/>
        <w:ind w:firstLineChars="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rPr>
        <w:t>A/D转换：≥16bit</w:t>
      </w:r>
    </w:p>
    <w:p w14:paraId="41E84561">
      <w:pPr>
        <w:pStyle w:val="60"/>
        <w:numPr>
          <w:ilvl w:val="1"/>
          <w:numId w:val="1"/>
        </w:numPr>
        <w:spacing w:line="276" w:lineRule="auto"/>
        <w:ind w:firstLineChars="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rPr>
        <w:t>共模抑制比：≥100dB</w:t>
      </w:r>
    </w:p>
    <w:p w14:paraId="1D0B7ADA">
      <w:pPr>
        <w:pStyle w:val="60"/>
        <w:numPr>
          <w:ilvl w:val="1"/>
          <w:numId w:val="1"/>
        </w:numPr>
        <w:spacing w:line="276" w:lineRule="auto"/>
        <w:ind w:firstLineChars="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rPr>
        <w:t>输入阻抗：≥1000MΩ</w:t>
      </w:r>
    </w:p>
    <w:p w14:paraId="306C10AB">
      <w:pPr>
        <w:numPr>
          <w:ilvl w:val="1"/>
          <w:numId w:val="1"/>
        </w:numP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rPr>
        <w:t>噪声水平均方根：≤0.5μV</w:t>
      </w:r>
    </w:p>
    <w:p w14:paraId="7808AAC1">
      <w:pPr>
        <w:pStyle w:val="60"/>
        <w:numPr>
          <w:ilvl w:val="1"/>
          <w:numId w:val="1"/>
        </w:numPr>
        <w:spacing w:line="276" w:lineRule="auto"/>
        <w:ind w:firstLineChars="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rPr>
        <w:t>AC滤波：50Hz，60Hz切换</w:t>
      </w:r>
    </w:p>
    <w:p w14:paraId="2437FDAB">
      <w:pPr>
        <w:pStyle w:val="60"/>
        <w:numPr>
          <w:ilvl w:val="1"/>
          <w:numId w:val="1"/>
        </w:numPr>
        <w:spacing w:line="276" w:lineRule="auto"/>
        <w:ind w:firstLineChars="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rPr>
        <w:t>差模输入阻抗 ＞5MΩ</w:t>
      </w:r>
    </w:p>
    <w:p w14:paraId="64BAE49E">
      <w:pPr>
        <w:pStyle w:val="60"/>
        <w:numPr>
          <w:ilvl w:val="1"/>
          <w:numId w:val="1"/>
        </w:numPr>
        <w:spacing w:line="276" w:lineRule="auto"/>
        <w:ind w:firstLineChars="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rPr>
        <w:t>采集通道：</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8"/>
          <w:highlight w:val="none"/>
        </w:rPr>
        <w:t>2通道，≥2对 touch-proof 通道。</w:t>
      </w:r>
    </w:p>
    <w:p w14:paraId="6AB2018E">
      <w:pPr>
        <w:pStyle w:val="60"/>
        <w:numPr>
          <w:ilvl w:val="1"/>
          <w:numId w:val="1"/>
        </w:numPr>
        <w:spacing w:line="276" w:lineRule="auto"/>
        <w:ind w:firstLineChars="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rPr>
        <w:t>刺激通道：具备视觉、听觉和电刺激通道。</w:t>
      </w:r>
    </w:p>
    <w:p w14:paraId="324D700F">
      <w:pPr>
        <w:pStyle w:val="60"/>
        <w:numPr>
          <w:ilvl w:val="1"/>
          <w:numId w:val="1"/>
        </w:numPr>
        <w:spacing w:line="276" w:lineRule="auto"/>
        <w:ind w:firstLineChars="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rPr>
        <w:t>一体化</w:t>
      </w:r>
      <w:r>
        <w:rPr>
          <w:rFonts w:hint="eastAsia" w:ascii="宋体" w:hAnsi="宋体" w:eastAsia="宋体" w:cs="宋体"/>
          <w:color w:val="auto"/>
          <w:sz w:val="22"/>
          <w:szCs w:val="28"/>
          <w:highlight w:val="none"/>
          <w:lang w:val="en-US" w:eastAsia="zh-CN"/>
        </w:rPr>
        <w:t>的</w:t>
      </w:r>
      <w:r>
        <w:rPr>
          <w:rFonts w:hint="eastAsia" w:ascii="宋体" w:hAnsi="宋体" w:eastAsia="宋体" w:cs="宋体"/>
          <w:color w:val="auto"/>
          <w:sz w:val="22"/>
          <w:szCs w:val="28"/>
          <w:highlight w:val="none"/>
        </w:rPr>
        <w:t>放大器采集通道、刺激器通道和操作键盘</w:t>
      </w:r>
      <w:r>
        <w:rPr>
          <w:rFonts w:hint="eastAsia" w:ascii="宋体" w:hAnsi="宋体" w:eastAsia="宋体" w:cs="宋体"/>
          <w:color w:val="auto"/>
          <w:sz w:val="22"/>
          <w:szCs w:val="28"/>
          <w:highlight w:val="none"/>
          <w:lang w:eastAsia="zh-CN"/>
        </w:rPr>
        <w:t>，</w:t>
      </w:r>
      <w:r>
        <w:rPr>
          <w:rFonts w:hint="eastAsia" w:ascii="宋体" w:hAnsi="宋体" w:eastAsia="宋体" w:cs="宋体"/>
          <w:color w:val="auto"/>
          <w:sz w:val="22"/>
          <w:szCs w:val="28"/>
          <w:highlight w:val="none"/>
        </w:rPr>
        <w:t>放大器内置操作键盘可</w:t>
      </w:r>
      <w:r>
        <w:rPr>
          <w:rFonts w:hint="eastAsia" w:ascii="宋体" w:hAnsi="宋体" w:eastAsia="宋体" w:cs="宋体"/>
          <w:color w:val="auto"/>
          <w:sz w:val="22"/>
          <w:szCs w:val="28"/>
          <w:highlight w:val="none"/>
          <w:lang w:val="en-US" w:eastAsia="zh-CN"/>
        </w:rPr>
        <w:t>实现</w:t>
      </w:r>
      <w:r>
        <w:rPr>
          <w:rFonts w:hint="eastAsia" w:ascii="宋体" w:hAnsi="宋体" w:eastAsia="宋体" w:cs="宋体"/>
          <w:color w:val="auto"/>
          <w:sz w:val="22"/>
          <w:szCs w:val="28"/>
          <w:highlight w:val="none"/>
        </w:rPr>
        <w:t>单刺激和重复刺激，删除，确认，监测，灵敏度和扫描速度，切换轨迹和移动标记，强度调节、阻抗测试按钮/阻抗分级调节</w:t>
      </w:r>
      <w:r>
        <w:rPr>
          <w:rFonts w:hint="eastAsia" w:ascii="宋体" w:hAnsi="宋体" w:eastAsia="宋体" w:cs="宋体"/>
          <w:color w:val="auto"/>
          <w:sz w:val="22"/>
          <w:szCs w:val="28"/>
          <w:highlight w:val="none"/>
          <w:lang w:val="en-US" w:eastAsia="zh-CN"/>
        </w:rPr>
        <w:t>等</w:t>
      </w:r>
      <w:r>
        <w:rPr>
          <w:rFonts w:hint="eastAsia" w:ascii="宋体" w:hAnsi="宋体" w:eastAsia="宋体" w:cs="宋体"/>
          <w:color w:val="auto"/>
          <w:sz w:val="22"/>
          <w:szCs w:val="28"/>
          <w:highlight w:val="none"/>
        </w:rPr>
        <w:t>功能；无需连接电脑可独立完成多种肌电图、诱发电位检查所有功能操作</w:t>
      </w:r>
    </w:p>
    <w:p w14:paraId="1CBD42F3">
      <w:pPr>
        <w:pStyle w:val="60"/>
        <w:numPr>
          <w:ilvl w:val="1"/>
          <w:numId w:val="1"/>
        </w:numPr>
        <w:spacing w:line="276" w:lineRule="auto"/>
        <w:ind w:firstLineChars="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rPr>
        <w:t>通过USB直接连接磁刺激治疗系统，直流供电与传输，信号稳定，无需屏蔽室和铺设专用地线，采集信号稳定无干扰,评估精准。</w:t>
      </w:r>
    </w:p>
    <w:p w14:paraId="6737EF98">
      <w:pPr>
        <w:pStyle w:val="60"/>
        <w:numPr>
          <w:ilvl w:val="1"/>
          <w:numId w:val="1"/>
        </w:numPr>
        <w:spacing w:line="276" w:lineRule="auto"/>
        <w:ind w:firstLineChars="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rPr>
        <w:t>结合磁刺激可实现运动诱发电位，运动阈值自动检测，募集曲线，皮层静息期，静息期曲线，运动中枢传导时间，磁刺激重频刺激，运动诱发电位变异，成对刺激，三重刺激，电磁关联刺激等</w:t>
      </w:r>
    </w:p>
    <w:p w14:paraId="7D01CA01">
      <w:pPr>
        <w:pStyle w:val="64"/>
        <w:numPr>
          <w:ilvl w:val="0"/>
          <w:numId w:val="0"/>
        </w:numPr>
        <w:ind w:left="425" w:left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6、</w:t>
      </w:r>
      <w:r>
        <w:rPr>
          <w:rFonts w:hint="eastAsia" w:ascii="宋体" w:hAnsi="宋体" w:eastAsia="宋体" w:cs="宋体"/>
          <w:color w:val="auto"/>
          <w:sz w:val="22"/>
          <w:szCs w:val="22"/>
          <w:highlight w:val="none"/>
        </w:rPr>
        <w:t>设备使用期限≧8年</w:t>
      </w:r>
      <w:bookmarkStart w:id="37" w:name="_Hlk188135467"/>
      <w:r>
        <w:rPr>
          <w:rFonts w:hint="eastAsia" w:ascii="宋体" w:hAnsi="宋体" w:eastAsia="宋体" w:cs="宋体"/>
          <w:color w:val="auto"/>
          <w:sz w:val="22"/>
          <w:szCs w:val="22"/>
          <w:highlight w:val="none"/>
        </w:rPr>
        <w:t>。</w:t>
      </w:r>
      <w:bookmarkEnd w:id="37"/>
    </w:p>
    <w:p w14:paraId="01936E89">
      <w:pPr>
        <w:pStyle w:val="64"/>
        <w:widowControl w:val="0"/>
        <w:numPr>
          <w:ilvl w:val="0"/>
          <w:numId w:val="0"/>
        </w:numPr>
        <w:ind w:firstLine="420" w:firstLineChars="200"/>
        <w:jc w:val="both"/>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备注：“★”为废标项</w:t>
      </w:r>
    </w:p>
    <w:bookmarkEnd w:id="35"/>
    <w:bookmarkEnd w:id="36"/>
    <w:p w14:paraId="7CE53176">
      <w:pPr>
        <w:spacing w:line="360" w:lineRule="auto"/>
        <w:ind w:firstLine="437"/>
        <w:outlineLvl w:val="9"/>
        <w:rPr>
          <w:rFonts w:ascii="宋体" w:hAnsi="宋体" w:eastAsia="宋体"/>
          <w:b/>
          <w:bCs/>
          <w:color w:val="auto"/>
          <w:sz w:val="24"/>
          <w:szCs w:val="18"/>
          <w:highlight w:val="none"/>
        </w:rPr>
      </w:pPr>
      <w:r>
        <w:rPr>
          <w:rFonts w:hint="eastAsia" w:ascii="宋体" w:hAnsi="宋体" w:eastAsia="宋体"/>
          <w:b/>
          <w:bCs/>
          <w:color w:val="auto"/>
          <w:sz w:val="24"/>
          <w:szCs w:val="18"/>
          <w:highlight w:val="none"/>
          <w:lang w:val="en-US" w:eastAsia="zh-CN"/>
        </w:rPr>
        <w:t>&lt;</w:t>
      </w:r>
      <w:r>
        <w:rPr>
          <w:rFonts w:hint="eastAsia" w:ascii="宋体" w:hAnsi="宋体" w:eastAsia="宋体"/>
          <w:b/>
          <w:bCs/>
          <w:color w:val="auto"/>
          <w:sz w:val="24"/>
          <w:szCs w:val="18"/>
          <w:highlight w:val="none"/>
        </w:rPr>
        <w:t>三</w:t>
      </w:r>
      <w:r>
        <w:rPr>
          <w:rFonts w:hint="eastAsia" w:ascii="宋体" w:hAnsi="宋体" w:eastAsia="宋体"/>
          <w:b/>
          <w:bCs/>
          <w:color w:val="auto"/>
          <w:sz w:val="24"/>
          <w:szCs w:val="18"/>
          <w:highlight w:val="none"/>
          <w:lang w:val="en-US" w:eastAsia="zh-CN"/>
        </w:rPr>
        <w:t>&gt;</w:t>
      </w:r>
      <w:r>
        <w:rPr>
          <w:rFonts w:hint="eastAsia" w:ascii="宋体" w:hAnsi="宋体" w:eastAsia="宋体"/>
          <w:b/>
          <w:bCs/>
          <w:color w:val="auto"/>
          <w:sz w:val="24"/>
          <w:szCs w:val="18"/>
          <w:highlight w:val="none"/>
        </w:rPr>
        <w:t>报价要求</w:t>
      </w:r>
    </w:p>
    <w:p w14:paraId="4B478D25">
      <w:pPr>
        <w:spacing w:line="360" w:lineRule="auto"/>
        <w:ind w:firstLine="437"/>
        <w:outlineLvl w:val="9"/>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1.本项目报总价，投标报价不得超过最高限价，单台（套）设备报价不得超过单台（套）最高限价。</w:t>
      </w:r>
    </w:p>
    <w:p w14:paraId="431BBD69">
      <w:pPr>
        <w:spacing w:line="360" w:lineRule="auto"/>
        <w:ind w:firstLine="437"/>
        <w:outlineLvl w:val="9"/>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2.投标报价包括货物从设计、采购、制造、交货（包括运输至采购人指定地点卸车就位）至售后服务、人工、管理、税金（除上述采购需求列明的货物需求外，如投标人所投产品须配套其他必要的货物方可正常使用的，投标人须为本项目配备，费用包含在报价中），中标后采购人不再另行追加其他任何费用，请投标人自行考虑报价风险。</w:t>
      </w:r>
    </w:p>
    <w:p w14:paraId="1E8506E6">
      <w:pPr>
        <w:spacing w:line="360" w:lineRule="auto"/>
        <w:ind w:firstLine="437"/>
        <w:outlineLvl w:val="9"/>
        <w:rPr>
          <w:rFonts w:ascii="宋体" w:hAnsi="宋体" w:eastAsia="宋体"/>
          <w:b/>
          <w:bCs/>
          <w:color w:val="auto"/>
          <w:sz w:val="24"/>
          <w:szCs w:val="18"/>
          <w:highlight w:val="none"/>
        </w:rPr>
      </w:pPr>
      <w:bookmarkStart w:id="38" w:name="_Toc15293"/>
      <w:bookmarkStart w:id="39" w:name="_Toc3905"/>
      <w:bookmarkStart w:id="40" w:name="_Toc14698"/>
      <w:r>
        <w:rPr>
          <w:rFonts w:hint="eastAsia" w:ascii="宋体" w:hAnsi="宋体" w:eastAsia="宋体"/>
          <w:b/>
          <w:bCs/>
          <w:color w:val="auto"/>
          <w:sz w:val="24"/>
          <w:szCs w:val="18"/>
          <w:highlight w:val="none"/>
          <w:lang w:val="en-US" w:eastAsia="zh-CN"/>
        </w:rPr>
        <w:t>&lt;</w:t>
      </w:r>
      <w:r>
        <w:rPr>
          <w:rFonts w:hint="eastAsia" w:ascii="宋体" w:hAnsi="宋体" w:eastAsia="宋体"/>
          <w:b/>
          <w:bCs/>
          <w:color w:val="auto"/>
          <w:sz w:val="24"/>
          <w:szCs w:val="18"/>
          <w:highlight w:val="none"/>
        </w:rPr>
        <w:t>四</w:t>
      </w:r>
      <w:r>
        <w:rPr>
          <w:rFonts w:hint="eastAsia" w:ascii="宋体" w:hAnsi="宋体" w:eastAsia="宋体"/>
          <w:b/>
          <w:bCs/>
          <w:color w:val="auto"/>
          <w:sz w:val="24"/>
          <w:szCs w:val="18"/>
          <w:highlight w:val="none"/>
          <w:lang w:val="en-US" w:eastAsia="zh-CN"/>
        </w:rPr>
        <w:t>&gt;</w:t>
      </w:r>
      <w:r>
        <w:rPr>
          <w:rFonts w:hint="eastAsia" w:ascii="宋体" w:hAnsi="宋体" w:eastAsia="宋体"/>
          <w:b/>
          <w:bCs/>
          <w:color w:val="auto"/>
          <w:sz w:val="24"/>
          <w:szCs w:val="18"/>
          <w:highlight w:val="none"/>
        </w:rPr>
        <w:t>其他要求</w:t>
      </w:r>
      <w:bookmarkEnd w:id="38"/>
      <w:bookmarkEnd w:id="39"/>
      <w:bookmarkEnd w:id="40"/>
    </w:p>
    <w:p w14:paraId="718A4589">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val="en-US" w:eastAsia="zh-CN"/>
        </w:rPr>
        <w:t>（一）</w:t>
      </w:r>
      <w:r>
        <w:rPr>
          <w:rFonts w:hint="eastAsia" w:ascii="宋体" w:hAnsi="宋体" w:eastAsia="宋体"/>
          <w:b w:val="0"/>
          <w:bCs w:val="0"/>
          <w:color w:val="auto"/>
          <w:sz w:val="24"/>
          <w:szCs w:val="18"/>
          <w:highlight w:val="none"/>
          <w:lang w:eastAsia="zh-CN"/>
        </w:rPr>
        <w:t>验收标准</w:t>
      </w:r>
    </w:p>
    <w:p w14:paraId="5670BC14">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1</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卖方交付货物需符合国家相关标准、行业标准、地方标准或者其他标准、规范；卖方交付货物需满足采购技术要求。</w:t>
      </w:r>
    </w:p>
    <w:p w14:paraId="1F103BBE">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2</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在货物到达买方指定地点后，卖方按买方通知时间派技术人员到买方的项目现场，在买方技术人员在场的情况下开箱清点货物，进行安装、调试，直至设备正常运行，并承担因此发生的一切费用。</w:t>
      </w:r>
    </w:p>
    <w:p w14:paraId="4C287099">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3</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卖方向买方提供详细的验收标准、验收手册；设备安装后，仪器所有技术参数经检验应符合国家标准及厂方标准；买方有权委托中国有资格的单位对上述仪器进行精度校核；如果由于仪器本身原因而在三十天内调试没有通过，卖方必须更换一套新的相同型号或符合技术性能的仪器设备。</w:t>
      </w:r>
    </w:p>
    <w:p w14:paraId="22E062AB">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4</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所有技术要求采购人验收时将逐条核对，如发现投标人投标响应的技术参数与最终供货的实际情况不符、虚假响应等，由此产生的责任与后果均由中标人承担。</w:t>
      </w:r>
    </w:p>
    <w:p w14:paraId="2140EEAC">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5</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设备验收合格后，出具验收报告，买卖双方在验收文件上签字并加盖公章生效。</w:t>
      </w:r>
    </w:p>
    <w:p w14:paraId="594C70BB">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w:t>
      </w:r>
      <w:r>
        <w:rPr>
          <w:rFonts w:hint="eastAsia" w:ascii="宋体" w:hAnsi="宋体" w:eastAsia="宋体"/>
          <w:b w:val="0"/>
          <w:bCs w:val="0"/>
          <w:color w:val="auto"/>
          <w:sz w:val="24"/>
          <w:szCs w:val="18"/>
          <w:highlight w:val="none"/>
          <w:lang w:val="en-US" w:eastAsia="zh-CN"/>
        </w:rPr>
        <w:t>二</w:t>
      </w:r>
      <w:r>
        <w:rPr>
          <w:rFonts w:hint="eastAsia" w:ascii="宋体" w:hAnsi="宋体" w:eastAsia="宋体"/>
          <w:b w:val="0"/>
          <w:bCs w:val="0"/>
          <w:color w:val="auto"/>
          <w:sz w:val="24"/>
          <w:szCs w:val="18"/>
          <w:highlight w:val="none"/>
          <w:lang w:eastAsia="zh-CN"/>
        </w:rPr>
        <w:t>）售后服务及其他要求</w:t>
      </w:r>
    </w:p>
    <w:p w14:paraId="66EF3054">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1</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质量保证期：</w:t>
      </w:r>
      <w:r>
        <w:rPr>
          <w:rFonts w:hint="eastAsia" w:ascii="宋体" w:hAnsi="宋体" w:eastAsia="宋体"/>
          <w:b w:val="0"/>
          <w:color w:val="auto"/>
          <w:sz w:val="24"/>
          <w:highlight w:val="none"/>
          <w:u w:val="single"/>
        </w:rPr>
        <w:t>整机质保自验收合格之日不少于3年。</w:t>
      </w:r>
    </w:p>
    <w:p w14:paraId="255F2E7A">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2</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在保修期内，属产品质量问题，需免费更换，所发生的一切费用由卖方负担，更换后的零部件质量保证期从更换之日起计算。</w:t>
      </w:r>
    </w:p>
    <w:p w14:paraId="6FA02F0F">
      <w:pPr>
        <w:spacing w:line="360" w:lineRule="auto"/>
        <w:ind w:firstLine="437"/>
        <w:outlineLvl w:val="9"/>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3.</w:t>
      </w:r>
      <w:r>
        <w:rPr>
          <w:rFonts w:hint="eastAsia" w:ascii="宋体" w:hAnsi="宋体" w:eastAsia="宋体"/>
          <w:bCs/>
          <w:color w:val="auto"/>
          <w:sz w:val="24"/>
          <w:szCs w:val="18"/>
          <w:highlight w:val="none"/>
        </w:rPr>
        <w:t>保修期内提供每年不低于两次免费维护保养服务，保修期外工程师维护保养维修免上门费。</w:t>
      </w:r>
    </w:p>
    <w:p w14:paraId="20B25F71">
      <w:pPr>
        <w:spacing w:line="360" w:lineRule="auto"/>
        <w:ind w:firstLine="437"/>
        <w:outlineLvl w:val="9"/>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4.</w:t>
      </w:r>
      <w:r>
        <w:rPr>
          <w:rFonts w:hint="eastAsia" w:ascii="宋体" w:hAnsi="宋体" w:eastAsia="宋体"/>
          <w:bCs/>
          <w:color w:val="auto"/>
          <w:sz w:val="24"/>
          <w:szCs w:val="18"/>
          <w:highlight w:val="none"/>
        </w:rPr>
        <w:t>合同签订前需提供原厂质保承诺或买保记录相关证明文件。</w:t>
      </w:r>
    </w:p>
    <w:p w14:paraId="48E2039F">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Cs/>
          <w:color w:val="auto"/>
          <w:sz w:val="24"/>
          <w:szCs w:val="18"/>
          <w:highlight w:val="none"/>
          <w:lang w:val="en-US" w:eastAsia="zh-CN"/>
        </w:rPr>
        <w:t>5.如发生医患纠纷，经认定为设备原因，造成重大影响的由供应商承担相应责任。所有损失由供应商承担，包含但不限于经济赔偿责任</w:t>
      </w:r>
      <w:r>
        <w:rPr>
          <w:rFonts w:hint="eastAsia" w:ascii="宋体" w:hAnsi="宋体" w:eastAsia="宋体"/>
          <w:bCs/>
          <w:color w:val="auto"/>
          <w:sz w:val="24"/>
          <w:szCs w:val="18"/>
          <w:highlight w:val="none"/>
        </w:rPr>
        <w:t>。</w:t>
      </w:r>
    </w:p>
    <w:p w14:paraId="4B3BBA77">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val="en-US" w:eastAsia="zh-CN"/>
        </w:rPr>
        <w:t>6.</w:t>
      </w:r>
      <w:r>
        <w:rPr>
          <w:rFonts w:hint="eastAsia" w:ascii="宋体" w:hAnsi="宋体" w:eastAsia="宋体"/>
          <w:b w:val="0"/>
          <w:bCs w:val="0"/>
          <w:color w:val="auto"/>
          <w:sz w:val="24"/>
          <w:szCs w:val="18"/>
          <w:highlight w:val="none"/>
          <w:lang w:eastAsia="zh-CN"/>
        </w:rPr>
        <w:t>卖方应有效保证售后维修服务，提供7*24维保技术服务。卖方应提供技术支持，保证系统的正常工作；在保修期外提供成本价维修服务，如需更换零部件，应以成本价提供合格的正品，保证更换的质量。</w:t>
      </w:r>
    </w:p>
    <w:p w14:paraId="0669B930">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val="en-US" w:eastAsia="zh-CN"/>
        </w:rPr>
        <w:t>7.</w:t>
      </w:r>
      <w:r>
        <w:rPr>
          <w:rFonts w:hint="eastAsia" w:ascii="宋体" w:hAnsi="宋体" w:eastAsia="宋体"/>
          <w:b w:val="0"/>
          <w:bCs w:val="0"/>
          <w:color w:val="auto"/>
          <w:sz w:val="24"/>
          <w:szCs w:val="18"/>
          <w:highlight w:val="none"/>
          <w:lang w:eastAsia="zh-CN"/>
        </w:rPr>
        <w:t>卖方负责对买方技术人员、操作人员进行现场培训，培训内容包括设备操作、设备维护及简单的设备维修等。</w:t>
      </w:r>
    </w:p>
    <w:p w14:paraId="60EF63E2">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val="en-US" w:eastAsia="zh-CN"/>
        </w:rPr>
        <w:t>8.</w:t>
      </w:r>
      <w:r>
        <w:rPr>
          <w:rFonts w:hint="eastAsia" w:ascii="宋体" w:hAnsi="宋体" w:eastAsia="宋体"/>
          <w:b w:val="0"/>
          <w:bCs w:val="0"/>
          <w:color w:val="auto"/>
          <w:sz w:val="24"/>
          <w:szCs w:val="18"/>
          <w:highlight w:val="none"/>
          <w:lang w:eastAsia="zh-CN"/>
        </w:rPr>
        <w:t>所投机型开发的所有软件均须免费对招标人开放，信息接口费用由投标人承担。在质保期内可提供软件免费升级、临床项目指导等。</w:t>
      </w:r>
    </w:p>
    <w:p w14:paraId="511BCD20">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color w:val="auto"/>
          <w:sz w:val="24"/>
          <w:highlight w:val="none"/>
          <w:lang w:val="en-US" w:eastAsia="zh-CN"/>
        </w:rPr>
        <w:t>9</w:t>
      </w:r>
      <w:r>
        <w:rPr>
          <w:rFonts w:hint="eastAsia" w:ascii="宋体" w:hAnsi="宋体" w:eastAsia="宋体"/>
          <w:color w:val="auto"/>
          <w:sz w:val="24"/>
          <w:highlight w:val="none"/>
        </w:rPr>
        <w:t>.所投设备为自合同签订之日起（进口产品前后六个月，国内产品前后三个月）生产的最新产品，</w:t>
      </w:r>
      <w:r>
        <w:rPr>
          <w:rFonts w:hint="eastAsia" w:ascii="宋体" w:hAnsi="宋体" w:eastAsia="宋体"/>
          <w:b/>
          <w:bCs/>
          <w:color w:val="auto"/>
          <w:sz w:val="24"/>
          <w:highlight w:val="none"/>
        </w:rPr>
        <w:t>提供承诺书并加盖公章（提供承诺）。</w:t>
      </w:r>
    </w:p>
    <w:p w14:paraId="20D3B631">
      <w:pPr>
        <w:spacing w:line="360" w:lineRule="auto"/>
        <w:ind w:firstLine="437"/>
        <w:outlineLvl w:val="9"/>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val="en-US" w:eastAsia="zh-CN"/>
        </w:rPr>
        <w:t>10</w:t>
      </w:r>
      <w:r>
        <w:rPr>
          <w:rFonts w:hint="eastAsia" w:ascii="宋体" w:hAnsi="宋体" w:eastAsia="宋体"/>
          <w:b w:val="0"/>
          <w:bCs w:val="0"/>
          <w:color w:val="auto"/>
          <w:sz w:val="24"/>
          <w:szCs w:val="18"/>
          <w:highlight w:val="none"/>
          <w:lang w:eastAsia="zh-CN"/>
        </w:rPr>
        <w:t>.所投产品不含专机专用耗材，如有专机专用耗材终身免费提供使用，</w:t>
      </w:r>
      <w:r>
        <w:rPr>
          <w:rFonts w:hint="eastAsia" w:ascii="宋体" w:hAnsi="宋体" w:eastAsia="宋体"/>
          <w:b/>
          <w:bCs/>
          <w:color w:val="auto"/>
          <w:sz w:val="24"/>
          <w:szCs w:val="18"/>
          <w:highlight w:val="none"/>
          <w:lang w:eastAsia="zh-CN"/>
        </w:rPr>
        <w:t>提供承诺书并加盖公章（提供承诺）。</w:t>
      </w:r>
    </w:p>
    <w:p w14:paraId="15D04563">
      <w:pPr>
        <w:spacing w:line="360" w:lineRule="auto"/>
        <w:ind w:firstLine="480" w:firstLineChars="20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79C25AF">
      <w:pPr>
        <w:spacing w:line="360" w:lineRule="auto"/>
        <w:jc w:val="center"/>
        <w:outlineLvl w:val="0"/>
        <w:rPr>
          <w:rFonts w:asciiTheme="minorEastAsia" w:hAnsiTheme="minorEastAsia" w:eastAsiaTheme="minorEastAsia"/>
          <w:b/>
          <w:color w:val="auto"/>
          <w:sz w:val="28"/>
          <w:highlight w:val="none"/>
        </w:rPr>
      </w:pPr>
      <w:bookmarkStart w:id="41" w:name="_Toc16417"/>
      <w:r>
        <w:rPr>
          <w:rFonts w:hint="eastAsia" w:asciiTheme="minorEastAsia" w:hAnsiTheme="minorEastAsia" w:eastAsiaTheme="minorEastAsia"/>
          <w:b/>
          <w:color w:val="auto"/>
          <w:sz w:val="28"/>
          <w:highlight w:val="none"/>
        </w:rPr>
        <w:t>第四章  评标方法和标准（综合评分法）</w:t>
      </w:r>
      <w:bookmarkEnd w:id="41"/>
    </w:p>
    <w:p w14:paraId="32727DD1">
      <w:pPr>
        <w:spacing w:line="360" w:lineRule="auto"/>
        <w:ind w:firstLine="437"/>
        <w:outlineLvl w:val="1"/>
        <w:rPr>
          <w:rFonts w:asciiTheme="minorEastAsia" w:hAnsiTheme="minorEastAsia" w:eastAsiaTheme="minorEastAsia"/>
          <w:b/>
          <w:color w:val="auto"/>
          <w:sz w:val="24"/>
          <w:highlight w:val="none"/>
        </w:rPr>
      </w:pPr>
      <w:bookmarkStart w:id="42" w:name="_Toc1246"/>
      <w:bookmarkStart w:id="43" w:name="_Toc11823"/>
      <w:r>
        <w:rPr>
          <w:rFonts w:hint="eastAsia" w:asciiTheme="minorEastAsia" w:hAnsiTheme="minorEastAsia" w:eastAsiaTheme="minorEastAsia"/>
          <w:b/>
          <w:color w:val="auto"/>
          <w:sz w:val="24"/>
          <w:highlight w:val="none"/>
        </w:rPr>
        <w:t>一、总则</w:t>
      </w:r>
      <w:bookmarkEnd w:id="42"/>
      <w:bookmarkEnd w:id="43"/>
    </w:p>
    <w:p w14:paraId="7D0A83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14:paraId="0B31407E">
      <w:pPr>
        <w:spacing w:line="360" w:lineRule="auto"/>
        <w:ind w:firstLine="437"/>
        <w:outlineLvl w:val="1"/>
        <w:rPr>
          <w:rFonts w:asciiTheme="minorEastAsia" w:hAnsiTheme="minorEastAsia" w:eastAsiaTheme="minorEastAsia"/>
          <w:b/>
          <w:color w:val="auto"/>
          <w:sz w:val="24"/>
          <w:highlight w:val="none"/>
        </w:rPr>
      </w:pPr>
      <w:bookmarkStart w:id="44" w:name="_Toc31871"/>
      <w:bookmarkStart w:id="45" w:name="_Toc13117"/>
      <w:r>
        <w:rPr>
          <w:rFonts w:hint="eastAsia" w:asciiTheme="minorEastAsia" w:hAnsiTheme="minorEastAsia" w:eastAsiaTheme="minorEastAsia"/>
          <w:b/>
          <w:color w:val="auto"/>
          <w:sz w:val="24"/>
          <w:highlight w:val="none"/>
        </w:rPr>
        <w:t>二、评标方法</w:t>
      </w:r>
      <w:bookmarkEnd w:id="44"/>
      <w:bookmarkEnd w:id="45"/>
    </w:p>
    <w:p w14:paraId="19F4B211">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2"/>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651"/>
        <w:gridCol w:w="4561"/>
        <w:gridCol w:w="1889"/>
      </w:tblGrid>
      <w:tr w14:paraId="3B535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0930DF60">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01294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7" w:type="pct"/>
            <w:tcBorders>
              <w:bottom w:val="single" w:color="auto" w:sz="4" w:space="0"/>
            </w:tcBorders>
            <w:vAlign w:val="center"/>
          </w:tcPr>
          <w:p w14:paraId="4EB16D57">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42" w:type="pct"/>
            <w:tcBorders>
              <w:bottom w:val="single" w:color="auto" w:sz="4" w:space="0"/>
            </w:tcBorders>
            <w:vAlign w:val="center"/>
          </w:tcPr>
          <w:p w14:paraId="71FEB743">
            <w:pPr>
              <w:pStyle w:val="32"/>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审查因素</w:t>
            </w:r>
          </w:p>
        </w:tc>
        <w:tc>
          <w:tcPr>
            <w:tcW w:w="2603" w:type="pct"/>
            <w:tcBorders>
              <w:bottom w:val="single" w:color="auto" w:sz="4" w:space="0"/>
            </w:tcBorders>
            <w:vAlign w:val="center"/>
          </w:tcPr>
          <w:p w14:paraId="30803EEB">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审查内容</w:t>
            </w:r>
          </w:p>
        </w:tc>
        <w:tc>
          <w:tcPr>
            <w:tcW w:w="1076" w:type="pct"/>
            <w:tcBorders>
              <w:bottom w:val="single" w:color="auto" w:sz="4" w:space="0"/>
            </w:tcBorders>
            <w:vAlign w:val="center"/>
          </w:tcPr>
          <w:p w14:paraId="56183EFE">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41500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77" w:type="pct"/>
            <w:tcBorders>
              <w:bottom w:val="single" w:color="auto" w:sz="4" w:space="0"/>
            </w:tcBorders>
            <w:vAlign w:val="center"/>
          </w:tcPr>
          <w:p w14:paraId="08FBCF02">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42" w:type="pct"/>
            <w:tcBorders>
              <w:bottom w:val="single" w:color="auto" w:sz="4" w:space="0"/>
            </w:tcBorders>
            <w:vAlign w:val="center"/>
          </w:tcPr>
          <w:p w14:paraId="42076691">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603" w:type="pct"/>
            <w:tcBorders>
              <w:bottom w:val="single" w:color="auto" w:sz="4" w:space="0"/>
            </w:tcBorders>
            <w:vAlign w:val="center"/>
          </w:tcPr>
          <w:p w14:paraId="40FFC840">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02E125B0">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7C7E8DE1">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54F51A2B">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5BD0ADF6">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p>
        </w:tc>
        <w:tc>
          <w:tcPr>
            <w:tcW w:w="1076" w:type="pct"/>
            <w:vAlign w:val="center"/>
          </w:tcPr>
          <w:p w14:paraId="66551251">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07D19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77" w:type="pct"/>
            <w:tcBorders>
              <w:bottom w:val="single" w:color="auto" w:sz="4" w:space="0"/>
            </w:tcBorders>
            <w:vAlign w:val="center"/>
          </w:tcPr>
          <w:p w14:paraId="2FF50168">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42" w:type="pct"/>
            <w:tcBorders>
              <w:bottom w:val="single" w:color="auto" w:sz="4" w:space="0"/>
            </w:tcBorders>
            <w:vAlign w:val="center"/>
          </w:tcPr>
          <w:p w14:paraId="137D570E">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2603" w:type="pct"/>
            <w:tcBorders>
              <w:bottom w:val="single" w:color="auto" w:sz="4" w:space="0"/>
            </w:tcBorders>
            <w:vAlign w:val="center"/>
          </w:tcPr>
          <w:p w14:paraId="7591BA19">
            <w:pPr>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lang w:eastAsia="zh-CN"/>
              </w:rPr>
              <w:t>。</w:t>
            </w:r>
          </w:p>
        </w:tc>
        <w:tc>
          <w:tcPr>
            <w:tcW w:w="1076" w:type="pct"/>
            <w:vAlign w:val="center"/>
          </w:tcPr>
          <w:p w14:paraId="4737FF0A">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3042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7" w:type="pct"/>
            <w:tcBorders>
              <w:bottom w:val="single" w:color="auto" w:sz="4" w:space="0"/>
            </w:tcBorders>
            <w:vAlign w:val="center"/>
          </w:tcPr>
          <w:p w14:paraId="1B87175C">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42" w:type="pct"/>
            <w:tcBorders>
              <w:bottom w:val="single" w:color="auto" w:sz="4" w:space="0"/>
            </w:tcBorders>
            <w:vAlign w:val="center"/>
          </w:tcPr>
          <w:p w14:paraId="40D96A57">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603" w:type="pct"/>
            <w:tcBorders>
              <w:bottom w:val="single" w:color="auto" w:sz="4" w:space="0"/>
            </w:tcBorders>
            <w:vAlign w:val="center"/>
          </w:tcPr>
          <w:p w14:paraId="06932063">
            <w:pPr>
              <w:spacing w:after="50" w:line="360" w:lineRule="auto"/>
              <w:ind w:right="-10" w:rightChars="0"/>
              <w:jc w:val="left"/>
              <w:rPr>
                <w:color w:val="auto"/>
                <w:highlight w:val="none"/>
              </w:rPr>
            </w:pPr>
            <w:r>
              <w:rPr>
                <w:rFonts w:hint="eastAsia" w:ascii="宋体" w:hAnsi="宋体" w:eastAsia="宋体" w:cs="宋体"/>
                <w:color w:val="auto"/>
                <w:sz w:val="24"/>
                <w:szCs w:val="24"/>
                <w:highlight w:val="none"/>
                <w:lang w:val="zh-CN" w:eastAsia="zh-CN"/>
              </w:rPr>
              <w:t>投标人不得存在投标人须知正文第1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.2</w:t>
            </w:r>
            <w:r>
              <w:rPr>
                <w:rFonts w:hint="eastAsia" w:ascii="宋体" w:hAnsi="宋体" w:eastAsia="宋体" w:cs="宋体"/>
                <w:color w:val="auto"/>
                <w:sz w:val="24"/>
                <w:szCs w:val="24"/>
                <w:highlight w:val="none"/>
                <w:lang w:val="en-US" w:eastAsia="zh-CN"/>
              </w:rPr>
              <w:t>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076" w:type="pct"/>
            <w:tcBorders>
              <w:bottom w:val="single" w:color="auto" w:sz="4" w:space="0"/>
            </w:tcBorders>
            <w:vAlign w:val="center"/>
          </w:tcPr>
          <w:p w14:paraId="41BF118C">
            <w:pPr>
              <w:spacing w:line="360" w:lineRule="auto"/>
              <w:jc w:val="left"/>
              <w:rPr>
                <w:rFonts w:hint="eastAsia" w:ascii="@仿宋_GB2312" w:hAnsi="@仿宋_GB2312" w:eastAsia="宋体" w:cs="@仿宋_GB2312"/>
                <w:color w:val="auto"/>
                <w:kern w:val="2"/>
                <w:sz w:val="21"/>
                <w:highlight w:val="none"/>
                <w:lang w:val="en-US" w:eastAsia="zh-CN" w:bidi="ar-SA"/>
              </w:rPr>
            </w:pPr>
            <w:r>
              <w:rPr>
                <w:rFonts w:hint="eastAsia" w:ascii="宋体" w:hAnsi="宋体" w:eastAsia="宋体" w:cs="宋体"/>
                <w:color w:val="auto"/>
                <w:sz w:val="24"/>
                <w:szCs w:val="24"/>
                <w:highlight w:val="none"/>
              </w:rPr>
              <w:t>无须投标人</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供，由采购人或采购代理机构查询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随评标报告一起留存</w:t>
            </w:r>
            <w:r>
              <w:rPr>
                <w:rFonts w:hint="eastAsia" w:ascii="宋体" w:hAnsi="宋体" w:eastAsia="宋体" w:cs="宋体"/>
                <w:color w:val="auto"/>
                <w:sz w:val="24"/>
                <w:szCs w:val="24"/>
                <w:highlight w:val="none"/>
                <w:lang w:eastAsia="zh-CN"/>
              </w:rPr>
              <w:t>。</w:t>
            </w:r>
          </w:p>
        </w:tc>
      </w:tr>
      <w:tr w14:paraId="7254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7" w:type="pct"/>
            <w:tcBorders>
              <w:bottom w:val="single" w:color="auto" w:sz="4" w:space="0"/>
            </w:tcBorders>
            <w:vAlign w:val="center"/>
          </w:tcPr>
          <w:p w14:paraId="77C33C4A">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w:t>
            </w:r>
          </w:p>
        </w:tc>
        <w:tc>
          <w:tcPr>
            <w:tcW w:w="942" w:type="pct"/>
            <w:tcBorders>
              <w:bottom w:val="single" w:color="auto" w:sz="4" w:space="0"/>
            </w:tcBorders>
            <w:vAlign w:val="center"/>
          </w:tcPr>
          <w:p w14:paraId="2F5FD024">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10"/>
                <w:sz w:val="24"/>
                <w:szCs w:val="24"/>
                <w:highlight w:val="none"/>
              </w:rPr>
              <w:t>其它落实政府采</w:t>
            </w:r>
            <w:r>
              <w:rPr>
                <w:rFonts w:ascii="宋体" w:hAnsi="宋体" w:eastAsia="宋体" w:cs="宋体"/>
                <w:color w:val="auto"/>
                <w:spacing w:val="11"/>
                <w:sz w:val="24"/>
                <w:szCs w:val="24"/>
                <w:highlight w:val="none"/>
              </w:rPr>
              <w:t>购政策的资格要</w:t>
            </w:r>
            <w:r>
              <w:rPr>
                <w:rFonts w:ascii="宋体" w:hAnsi="宋体" w:eastAsia="宋体" w:cs="宋体"/>
                <w:color w:val="auto"/>
                <w:sz w:val="24"/>
                <w:szCs w:val="24"/>
                <w:highlight w:val="none"/>
              </w:rPr>
              <w:t>求</w:t>
            </w:r>
          </w:p>
        </w:tc>
        <w:tc>
          <w:tcPr>
            <w:tcW w:w="2603" w:type="pct"/>
            <w:tcBorders>
              <w:bottom w:val="single" w:color="auto" w:sz="4" w:space="0"/>
            </w:tcBorders>
            <w:vAlign w:val="center"/>
          </w:tcPr>
          <w:p w14:paraId="18FF0883">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2"/>
                <w:sz w:val="24"/>
                <w:szCs w:val="24"/>
                <w:highlight w:val="none"/>
              </w:rPr>
              <w:t>如有，见第一章《投标邀请》</w:t>
            </w:r>
          </w:p>
        </w:tc>
        <w:tc>
          <w:tcPr>
            <w:tcW w:w="1076" w:type="pct"/>
            <w:tcBorders>
              <w:bottom w:val="single" w:color="auto" w:sz="4" w:space="0"/>
            </w:tcBorders>
            <w:vAlign w:val="center"/>
          </w:tcPr>
          <w:p w14:paraId="7E76CF47">
            <w:pPr>
              <w:spacing w:after="50" w:line="360" w:lineRule="auto"/>
              <w:ind w:right="-10"/>
              <w:jc w:val="both"/>
              <w:rPr>
                <w:rFonts w:hint="eastAsia" w:ascii="宋体" w:hAnsi="宋体" w:eastAsia="宋体"/>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6F1F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7" w:type="pct"/>
            <w:vAlign w:val="center"/>
          </w:tcPr>
          <w:p w14:paraId="1E140DA6">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5</w:t>
            </w:r>
          </w:p>
        </w:tc>
        <w:tc>
          <w:tcPr>
            <w:tcW w:w="942" w:type="pct"/>
            <w:vAlign w:val="center"/>
          </w:tcPr>
          <w:p w14:paraId="34D8973F">
            <w:pPr>
              <w:spacing w:after="50" w:line="360" w:lineRule="auto"/>
              <w:ind w:right="-10"/>
              <w:jc w:val="both"/>
              <w:rPr>
                <w:rFonts w:ascii="宋体" w:hAnsi="宋体" w:eastAsia="宋体" w:cs="宋体"/>
                <w:color w:val="auto"/>
                <w:spacing w:val="10"/>
                <w:sz w:val="24"/>
                <w:szCs w:val="24"/>
                <w:highlight w:val="none"/>
                <w:lang w:val="en-US" w:eastAsia="zh-CN"/>
              </w:rPr>
            </w:pPr>
            <w:r>
              <w:rPr>
                <w:rFonts w:ascii="宋体" w:hAnsi="宋体" w:eastAsia="宋体" w:cs="宋体"/>
                <w:color w:val="auto"/>
                <w:spacing w:val="10"/>
                <w:sz w:val="24"/>
                <w:szCs w:val="24"/>
                <w:highlight w:val="none"/>
              </w:rPr>
              <w:t>本项目的特定资格要求</w:t>
            </w:r>
          </w:p>
        </w:tc>
        <w:tc>
          <w:tcPr>
            <w:tcW w:w="2603" w:type="pct"/>
            <w:vAlign w:val="center"/>
          </w:tcPr>
          <w:p w14:paraId="6E4DCC4D">
            <w:pPr>
              <w:spacing w:after="50" w:line="360" w:lineRule="auto"/>
              <w:ind w:right="-10"/>
              <w:jc w:val="both"/>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如有，见第一章《投标邀请》</w:t>
            </w:r>
          </w:p>
        </w:tc>
        <w:tc>
          <w:tcPr>
            <w:tcW w:w="1076" w:type="pct"/>
            <w:vAlign w:val="center"/>
          </w:tcPr>
          <w:p w14:paraId="7EAB58B4">
            <w:pPr>
              <w:spacing w:after="50" w:line="360" w:lineRule="auto"/>
              <w:ind w:right="-10"/>
              <w:jc w:val="both"/>
              <w:rPr>
                <w:rFonts w:ascii="宋体" w:hAnsi="宋体" w:eastAsia="宋体" w:cs="宋体"/>
                <w:color w:val="auto"/>
                <w:spacing w:val="10"/>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bl>
    <w:p w14:paraId="52C22705">
      <w:pPr>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资格审查指标通过标准：资格审查由评标委员会审查，投标人必须通过资格审查表中的全部评审指标。</w:t>
      </w:r>
    </w:p>
    <w:p w14:paraId="5F34D909">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2B43DC5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2117"/>
        <w:gridCol w:w="3128"/>
        <w:gridCol w:w="2512"/>
      </w:tblGrid>
      <w:tr w14:paraId="01745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7FCC3444">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66D32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49" w:type="pct"/>
            <w:tcBorders>
              <w:bottom w:val="single" w:color="auto" w:sz="4" w:space="0"/>
            </w:tcBorders>
            <w:vAlign w:val="center"/>
          </w:tcPr>
          <w:p w14:paraId="0BAE6125">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242" w:type="pct"/>
            <w:tcBorders>
              <w:bottom w:val="single" w:color="auto" w:sz="4" w:space="0"/>
            </w:tcBorders>
            <w:vAlign w:val="center"/>
          </w:tcPr>
          <w:p w14:paraId="5B9797D5">
            <w:pPr>
              <w:pStyle w:val="32"/>
              <w:pBdr>
                <w:bottom w:val="none" w:color="auto" w:sz="0" w:space="0"/>
              </w:pBdr>
              <w:tabs>
                <w:tab w:val="clear" w:pos="4153"/>
                <w:tab w:val="clear" w:pos="8306"/>
              </w:tabs>
              <w:snapToGrid w:val="0"/>
              <w:spacing w:line="360" w:lineRule="auto"/>
              <w:ind w:right="-10"/>
              <w:textAlignment w:val="auto"/>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审查指标</w:t>
            </w:r>
          </w:p>
        </w:tc>
        <w:tc>
          <w:tcPr>
            <w:tcW w:w="1835" w:type="pct"/>
            <w:tcBorders>
              <w:bottom w:val="single" w:color="auto" w:sz="4" w:space="0"/>
            </w:tcBorders>
            <w:vAlign w:val="center"/>
          </w:tcPr>
          <w:p w14:paraId="1C248D59">
            <w:pPr>
              <w:adjustRightInd w:val="0"/>
              <w:snapToGrid w:val="0"/>
              <w:spacing w:line="360" w:lineRule="auto"/>
              <w:ind w:right="-10"/>
              <w:jc w:val="center"/>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审查标准</w:t>
            </w:r>
          </w:p>
        </w:tc>
        <w:tc>
          <w:tcPr>
            <w:tcW w:w="1473" w:type="pct"/>
            <w:tcBorders>
              <w:bottom w:val="single" w:color="auto" w:sz="4" w:space="0"/>
            </w:tcBorders>
            <w:vAlign w:val="center"/>
          </w:tcPr>
          <w:p w14:paraId="74C9D666">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67A03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1BC09F79">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242" w:type="pct"/>
            <w:vAlign w:val="center"/>
          </w:tcPr>
          <w:p w14:paraId="05CA5A7D">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1835" w:type="pct"/>
            <w:vAlign w:val="center"/>
          </w:tcPr>
          <w:p w14:paraId="4F18198A">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3" w:type="pct"/>
            <w:vAlign w:val="center"/>
          </w:tcPr>
          <w:p w14:paraId="33F46967">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063F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253F69C4">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242" w:type="pct"/>
            <w:vAlign w:val="center"/>
          </w:tcPr>
          <w:p w14:paraId="2F4114A7">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1835" w:type="pct"/>
            <w:vAlign w:val="center"/>
          </w:tcPr>
          <w:p w14:paraId="1C949317">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3" w:type="pct"/>
            <w:vAlign w:val="center"/>
          </w:tcPr>
          <w:p w14:paraId="54B461DE">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1184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54B4BC29">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242" w:type="pct"/>
            <w:vAlign w:val="center"/>
          </w:tcPr>
          <w:p w14:paraId="310EB9DE">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1835" w:type="pct"/>
            <w:vAlign w:val="center"/>
          </w:tcPr>
          <w:p w14:paraId="4FFE545B">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3" w:type="pct"/>
            <w:vAlign w:val="center"/>
          </w:tcPr>
          <w:p w14:paraId="572D49DC">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5FF9A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66E384F3">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242" w:type="pct"/>
            <w:vAlign w:val="center"/>
          </w:tcPr>
          <w:p w14:paraId="2B75BBA4">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1835" w:type="pct"/>
            <w:vAlign w:val="center"/>
          </w:tcPr>
          <w:p w14:paraId="4E01FA5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473" w:type="pct"/>
            <w:vAlign w:val="center"/>
          </w:tcPr>
          <w:p w14:paraId="3BD91CF3">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4B492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634A3058">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1242" w:type="pct"/>
            <w:vAlign w:val="center"/>
          </w:tcPr>
          <w:p w14:paraId="7602CF1F">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1835" w:type="pct"/>
            <w:vAlign w:val="center"/>
          </w:tcPr>
          <w:p w14:paraId="32CFC334">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473" w:type="pct"/>
            <w:vAlign w:val="center"/>
          </w:tcPr>
          <w:p w14:paraId="7E76DF91">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714B6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7D743258">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1242" w:type="pct"/>
            <w:vAlign w:val="center"/>
          </w:tcPr>
          <w:p w14:paraId="2A9FB583">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1835" w:type="pct"/>
            <w:vAlign w:val="center"/>
          </w:tcPr>
          <w:p w14:paraId="52FADE30">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符合招标文件采购需求中货物技术参数</w:t>
            </w:r>
            <w:r>
              <w:rPr>
                <w:rFonts w:hint="eastAsia" w:asciiTheme="minorEastAsia" w:hAnsiTheme="minorEastAsia" w:eastAsiaTheme="minorEastAsia"/>
                <w:color w:val="auto"/>
                <w:sz w:val="24"/>
                <w:szCs w:val="28"/>
                <w:highlight w:val="none"/>
                <w:lang w:val="en-US" w:eastAsia="zh-CN"/>
              </w:rPr>
              <w:t>等实质性要求</w:t>
            </w:r>
          </w:p>
        </w:tc>
        <w:tc>
          <w:tcPr>
            <w:tcW w:w="1473" w:type="pct"/>
            <w:vAlign w:val="center"/>
          </w:tcPr>
          <w:p w14:paraId="1B75504A">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52660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3634CAF3">
            <w:pPr>
              <w:adjustRightInd w:val="0"/>
              <w:snapToGrid w:val="0"/>
              <w:spacing w:line="360" w:lineRule="auto"/>
              <w:ind w:right="-10"/>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7</w:t>
            </w:r>
          </w:p>
        </w:tc>
        <w:tc>
          <w:tcPr>
            <w:tcW w:w="1242" w:type="pct"/>
            <w:vAlign w:val="center"/>
          </w:tcPr>
          <w:p w14:paraId="2D2595A9">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宋体" w:hAnsi="宋体" w:eastAsia="宋体"/>
                <w:color w:val="auto"/>
                <w:sz w:val="24"/>
                <w:szCs w:val="28"/>
                <w:highlight w:val="none"/>
              </w:rPr>
              <w:t>所投产品要求</w:t>
            </w:r>
          </w:p>
        </w:tc>
        <w:tc>
          <w:tcPr>
            <w:tcW w:w="1835" w:type="pct"/>
            <w:vAlign w:val="center"/>
          </w:tcPr>
          <w:p w14:paraId="2C57DE03">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宋体" w:hAnsi="宋体" w:eastAsia="宋体"/>
                <w:color w:val="auto"/>
                <w:sz w:val="24"/>
                <w:szCs w:val="28"/>
                <w:highlight w:val="none"/>
              </w:rPr>
              <w:t>符合招标文件采购需求要求</w:t>
            </w:r>
          </w:p>
        </w:tc>
        <w:tc>
          <w:tcPr>
            <w:tcW w:w="1473" w:type="pct"/>
            <w:vAlign w:val="center"/>
          </w:tcPr>
          <w:p w14:paraId="737E8B68">
            <w:pPr>
              <w:adjustRightInd w:val="0"/>
              <w:snapToGrid w:val="0"/>
              <w:spacing w:line="360" w:lineRule="auto"/>
              <w:ind w:right="-10" w:rightChars="0"/>
              <w:jc w:val="center"/>
              <w:rPr>
                <w:rFonts w:hint="eastAsia" w:asciiTheme="minorEastAsia" w:hAnsiTheme="minorEastAsia" w:eastAsiaTheme="minorEastAsia"/>
                <w:color w:val="auto"/>
                <w:sz w:val="24"/>
                <w:highlight w:val="none"/>
              </w:rPr>
            </w:pPr>
            <w:r>
              <w:rPr>
                <w:rFonts w:hint="eastAsia" w:ascii="宋体" w:hAnsi="宋体" w:eastAsia="宋体"/>
                <w:b/>
                <w:bCs/>
                <w:color w:val="auto"/>
                <w:sz w:val="24"/>
                <w:szCs w:val="18"/>
                <w:highlight w:val="none"/>
                <w:lang w:val="en-US" w:eastAsia="zh-CN"/>
              </w:rPr>
              <w:t>投标产品具有相应有效的医疗器械注册证（适用第二类和第三类医疗器械）或备案凭证（适用第一类医疗器械）</w:t>
            </w:r>
            <w:r>
              <w:rPr>
                <w:rFonts w:hint="eastAsia" w:ascii="宋体" w:hAnsi="宋体" w:eastAsia="宋体" w:cs="宋体"/>
                <w:b/>
                <w:bCs/>
                <w:color w:val="auto"/>
                <w:kern w:val="0"/>
                <w:sz w:val="24"/>
                <w:szCs w:val="24"/>
                <w:highlight w:val="none"/>
                <w:lang w:bidi="ar"/>
              </w:rPr>
              <w:t>。</w:t>
            </w:r>
          </w:p>
        </w:tc>
      </w:tr>
      <w:tr w14:paraId="24EEA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59DB2FD3">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8</w:t>
            </w:r>
          </w:p>
        </w:tc>
        <w:tc>
          <w:tcPr>
            <w:tcW w:w="1242" w:type="pct"/>
            <w:vAlign w:val="center"/>
          </w:tcPr>
          <w:p w14:paraId="045D6E12">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1835" w:type="pct"/>
            <w:vAlign w:val="center"/>
          </w:tcPr>
          <w:p w14:paraId="284BD460">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实质性要求</w:t>
            </w:r>
          </w:p>
        </w:tc>
        <w:tc>
          <w:tcPr>
            <w:tcW w:w="1473" w:type="pct"/>
            <w:vAlign w:val="center"/>
          </w:tcPr>
          <w:p w14:paraId="69067724">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07FC96D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10FC729C">
      <w:pPr>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p>
    <w:tbl>
      <w:tblPr>
        <w:tblStyle w:val="22"/>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6586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56AC1FAD">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2A3AC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0BCA85F1">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54EED754">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9" w:type="dxa"/>
            <w:tcBorders>
              <w:bottom w:val="single" w:color="auto" w:sz="4" w:space="0"/>
            </w:tcBorders>
            <w:vAlign w:val="center"/>
          </w:tcPr>
          <w:p w14:paraId="57AA1BB6">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66D56801">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12D2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4F991B1">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4CC8267C">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9" w:type="dxa"/>
            <w:tcBorders>
              <w:bottom w:val="single" w:color="auto" w:sz="4" w:space="0"/>
            </w:tcBorders>
            <w:vAlign w:val="center"/>
          </w:tcPr>
          <w:p w14:paraId="64CD83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7B8F51F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1763956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4121D814">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18370222">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1A1A6EA4">
            <w:pPr>
              <w:pStyle w:val="7"/>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4C0954C5">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707AD062">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0A8C2260">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关于推进解决政府采购异常低价问题的通知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096B8215">
      <w:pPr>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56A88EA3">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6CBC9FB5">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提供的相关书面说明及证明材料，以及</w:t>
      </w: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有关互联网浏览、查询历史一并归档。</w:t>
      </w:r>
    </w:p>
    <w:p w14:paraId="0C32ED6B">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51E3F12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1764D4EA">
      <w:pPr>
        <w:spacing w:line="360" w:lineRule="auto"/>
        <w:ind w:firstLine="435"/>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70</w:t>
      </w:r>
      <w:r>
        <w:rPr>
          <w:rFonts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u w:val="single"/>
          <w:lang w:val="en-US" w:eastAsia="zh-CN"/>
        </w:rPr>
        <w:t>30</w:t>
      </w:r>
      <w:r>
        <w:rPr>
          <w:rFonts w:asciiTheme="minorEastAsia" w:hAnsiTheme="minorEastAsia" w:eastAsiaTheme="minorEastAsia"/>
          <w:color w:val="auto"/>
          <w:sz w:val="24"/>
          <w:highlight w:val="none"/>
        </w:rPr>
        <w:t>%。具体评分细则如下：</w:t>
      </w:r>
    </w:p>
    <w:tbl>
      <w:tblPr>
        <w:tblStyle w:val="22"/>
        <w:tblW w:w="92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984"/>
        <w:gridCol w:w="5332"/>
        <w:gridCol w:w="857"/>
      </w:tblGrid>
      <w:tr w14:paraId="384EA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noWrap w:val="0"/>
            <w:vAlign w:val="top"/>
          </w:tcPr>
          <w:p w14:paraId="7F72E94A">
            <w:pPr>
              <w:spacing w:line="500" w:lineRule="exact"/>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评审项目</w:t>
            </w:r>
          </w:p>
        </w:tc>
        <w:tc>
          <w:tcPr>
            <w:tcW w:w="1984" w:type="dxa"/>
            <w:tcBorders>
              <w:bottom w:val="single" w:color="auto" w:sz="4" w:space="0"/>
            </w:tcBorders>
            <w:noWrap w:val="0"/>
            <w:vAlign w:val="top"/>
          </w:tcPr>
          <w:p w14:paraId="0409C3C1">
            <w:pPr>
              <w:spacing w:line="500" w:lineRule="exact"/>
              <w:ind w:firstLine="120" w:firstLineChars="5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分值</w:t>
            </w:r>
          </w:p>
        </w:tc>
        <w:tc>
          <w:tcPr>
            <w:tcW w:w="5332" w:type="dxa"/>
            <w:noWrap w:val="0"/>
            <w:vAlign w:val="top"/>
          </w:tcPr>
          <w:p w14:paraId="617BEB2D">
            <w:pPr>
              <w:spacing w:line="500" w:lineRule="exact"/>
              <w:ind w:firstLine="2160" w:firstLineChars="9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评审内容及标准</w:t>
            </w:r>
          </w:p>
        </w:tc>
        <w:tc>
          <w:tcPr>
            <w:tcW w:w="857" w:type="dxa"/>
            <w:noWrap w:val="0"/>
            <w:vAlign w:val="top"/>
          </w:tcPr>
          <w:p w14:paraId="30263A2C">
            <w:pPr>
              <w:tabs>
                <w:tab w:val="left" w:pos="657"/>
              </w:tabs>
              <w:spacing w:line="500" w:lineRule="exact"/>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备注</w:t>
            </w:r>
          </w:p>
        </w:tc>
      </w:tr>
      <w:tr w14:paraId="3B82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1" w:type="dxa"/>
            <w:vMerge w:val="restart"/>
            <w:tcBorders>
              <w:right w:val="single" w:color="auto" w:sz="4" w:space="0"/>
            </w:tcBorders>
            <w:noWrap w:val="0"/>
            <w:vAlign w:val="center"/>
          </w:tcPr>
          <w:p w14:paraId="4DAF8D72">
            <w:pPr>
              <w:spacing w:line="500" w:lineRule="exact"/>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技术分</w:t>
            </w:r>
          </w:p>
        </w:tc>
        <w:tc>
          <w:tcPr>
            <w:tcW w:w="1984" w:type="dxa"/>
            <w:tcBorders>
              <w:top w:val="single" w:color="auto" w:sz="4" w:space="0"/>
              <w:left w:val="single" w:color="auto" w:sz="4" w:space="0"/>
              <w:right w:val="single" w:color="auto" w:sz="4" w:space="0"/>
            </w:tcBorders>
            <w:noWrap w:val="0"/>
            <w:vAlign w:val="center"/>
          </w:tcPr>
          <w:p w14:paraId="4D921DFF">
            <w:pPr>
              <w:spacing w:line="30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rPr>
              <w:t>产品配置及技术要求（</w:t>
            </w:r>
            <w:r>
              <w:rPr>
                <w:rFonts w:hint="eastAsia" w:ascii="宋体" w:hAnsi="宋体" w:eastAsia="宋体" w:cs="宋体"/>
                <w:b w:val="0"/>
                <w:bCs w:val="0"/>
                <w:color w:val="auto"/>
                <w:kern w:val="0"/>
                <w:sz w:val="24"/>
                <w:szCs w:val="24"/>
                <w:highlight w:val="none"/>
                <w:u w:val="single"/>
              </w:rPr>
              <w:t>4</w:t>
            </w:r>
            <w:r>
              <w:rPr>
                <w:rFonts w:hint="eastAsia" w:ascii="宋体" w:hAnsi="宋体" w:eastAsia="宋体" w:cs="宋体"/>
                <w:b w:val="0"/>
                <w:bCs w:val="0"/>
                <w:color w:val="auto"/>
                <w:kern w:val="0"/>
                <w:sz w:val="24"/>
                <w:szCs w:val="24"/>
                <w:highlight w:val="none"/>
                <w:u w:val="single"/>
                <w:lang w:val="en-US" w:eastAsia="zh-CN"/>
              </w:rPr>
              <w:t>9</w:t>
            </w:r>
            <w:r>
              <w:rPr>
                <w:rFonts w:hint="eastAsia" w:ascii="宋体" w:hAnsi="宋体" w:eastAsia="宋体" w:cs="宋体"/>
                <w:b w:val="0"/>
                <w:bCs w:val="0"/>
                <w:color w:val="auto"/>
                <w:kern w:val="0"/>
                <w:sz w:val="24"/>
                <w:szCs w:val="24"/>
                <w:highlight w:val="none"/>
              </w:rPr>
              <w:t>分）</w:t>
            </w:r>
          </w:p>
        </w:tc>
        <w:tc>
          <w:tcPr>
            <w:tcW w:w="5332" w:type="dxa"/>
            <w:tcBorders>
              <w:left w:val="single" w:color="auto" w:sz="4" w:space="0"/>
            </w:tcBorders>
            <w:noWrap w:val="0"/>
            <w:vAlign w:val="center"/>
          </w:tcPr>
          <w:p w14:paraId="7FE35A04">
            <w:pPr>
              <w:spacing w:line="300"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技术指标及参数的响应程度：</w:t>
            </w:r>
          </w:p>
          <w:p w14:paraId="1762CE38">
            <w:pPr>
              <w:spacing w:line="300"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1、完全满足招标文件采购需求“三. 技术要求”中要求的得</w:t>
            </w:r>
            <w:r>
              <w:rPr>
                <w:rFonts w:hint="eastAsia" w:ascii="宋体" w:hAnsi="宋体" w:eastAsia="宋体" w:cs="宋体"/>
                <w:b w:val="0"/>
                <w:bCs w:val="0"/>
                <w:color w:val="auto"/>
                <w:sz w:val="24"/>
                <w:szCs w:val="24"/>
                <w:highlight w:val="none"/>
                <w:u w:val="single"/>
              </w:rPr>
              <w:t>4</w:t>
            </w:r>
            <w:r>
              <w:rPr>
                <w:rFonts w:hint="eastAsia" w:ascii="宋体" w:hAnsi="宋体" w:eastAsia="宋体" w:cs="宋体"/>
                <w:b w:val="0"/>
                <w:bCs w:val="0"/>
                <w:color w:val="auto"/>
                <w:sz w:val="24"/>
                <w:szCs w:val="24"/>
                <w:highlight w:val="none"/>
                <w:u w:val="single"/>
                <w:lang w:val="en-US" w:eastAsia="zh-CN"/>
              </w:rPr>
              <w:t>9</w:t>
            </w:r>
            <w:r>
              <w:rPr>
                <w:rFonts w:hint="eastAsia" w:ascii="宋体" w:hAnsi="宋体" w:eastAsia="宋体" w:cs="宋体"/>
                <w:b w:val="0"/>
                <w:bCs w:val="0"/>
                <w:color w:val="auto"/>
                <w:sz w:val="24"/>
                <w:szCs w:val="24"/>
                <w:highlight w:val="none"/>
              </w:rPr>
              <w:t>分；标注“</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”号的条款，每有一项负偏离扣</w:t>
            </w:r>
            <w:r>
              <w:rPr>
                <w:rFonts w:hint="eastAsia" w:ascii="宋体" w:hAnsi="宋体" w:eastAsia="宋体" w:cs="宋体"/>
                <w:b w:val="0"/>
                <w:bCs w:val="0"/>
                <w:color w:val="auto"/>
                <w:sz w:val="24"/>
                <w:szCs w:val="24"/>
                <w:highlight w:val="none"/>
                <w:u w:val="single"/>
                <w:lang w:val="en-US" w:eastAsia="zh-CN"/>
              </w:rPr>
              <w:t xml:space="preserve"> / </w:t>
            </w:r>
            <w:r>
              <w:rPr>
                <w:rFonts w:hint="eastAsia" w:ascii="宋体" w:hAnsi="宋体" w:eastAsia="宋体" w:cs="宋体"/>
                <w:b w:val="0"/>
                <w:bCs w:val="0"/>
                <w:color w:val="auto"/>
                <w:sz w:val="24"/>
                <w:szCs w:val="24"/>
                <w:highlight w:val="none"/>
              </w:rPr>
              <w:t>分；未标注“</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”号的条款，每有一项负</w:t>
            </w:r>
            <w:r>
              <w:rPr>
                <w:rFonts w:hint="eastAsia" w:ascii="宋体" w:hAnsi="宋体" w:eastAsia="宋体" w:cs="宋体"/>
                <w:b w:val="0"/>
                <w:bCs w:val="0"/>
                <w:color w:val="auto"/>
                <w:sz w:val="24"/>
                <w:szCs w:val="24"/>
                <w:highlight w:val="none"/>
              </w:rPr>
              <w:t>偏离扣</w:t>
            </w:r>
            <w:r>
              <w:rPr>
                <w:rFonts w:hint="eastAsia" w:ascii="宋体" w:hAnsi="宋体" w:eastAsia="宋体" w:cs="宋体"/>
                <w:b w:val="0"/>
                <w:bCs w:val="0"/>
                <w:color w:val="auto"/>
                <w:sz w:val="24"/>
                <w:szCs w:val="24"/>
                <w:highlight w:val="none"/>
                <w:u w:val="single"/>
                <w:lang w:val="en-US" w:eastAsia="zh-CN"/>
              </w:rPr>
              <w:t xml:space="preserve"> 1.7 </w:t>
            </w:r>
            <w:r>
              <w:rPr>
                <w:rFonts w:hint="eastAsia" w:ascii="宋体" w:hAnsi="宋体" w:eastAsia="宋体" w:cs="宋体"/>
                <w:b w:val="0"/>
                <w:bCs w:val="0"/>
                <w:color w:val="auto"/>
                <w:sz w:val="24"/>
                <w:szCs w:val="24"/>
                <w:highlight w:val="none"/>
              </w:rPr>
              <w:t>分</w:t>
            </w:r>
            <w:r>
              <w:rPr>
                <w:rFonts w:hint="eastAsia" w:ascii="宋体" w:hAnsi="宋体" w:eastAsia="宋体" w:cs="宋体"/>
                <w:b w:val="0"/>
                <w:bCs w:val="0"/>
                <w:color w:val="auto"/>
                <w:sz w:val="24"/>
                <w:szCs w:val="24"/>
                <w:highlight w:val="none"/>
              </w:rPr>
              <w:t>；本项分数扣完为止，不计负分。</w:t>
            </w:r>
          </w:p>
          <w:p w14:paraId="4DAA4B48">
            <w:pPr>
              <w:spacing w:line="300"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注：①投标人对“三. 技术要求”应按投标文件格式要求一一对应详细填写，并备注技术支持资料页码，缺项的视为负偏离。②标注“</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号的条款必须同时提供相关证明材料（指产品彩页、技术白皮书、产品说明书、检测/检验报告或“三.技术要求”中要求的其他证明材料等支持资料的任意一类），并对证明材料的相关评审内容尽量作出明确的标示（如下划线、背景颜色等），无证明材料的视为负偏离；③未标注“</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号的条款按照对应参数要求提供证明材料（未提供证明材料的不得分），若对应参数没有要求提供证明材料，投标人可以不提供证明材料，投标人须真实填写技术规格响应情况表，评标委员会按照技术规格响应情况表响应情况进行评审。</w:t>
            </w:r>
          </w:p>
        </w:tc>
        <w:tc>
          <w:tcPr>
            <w:tcW w:w="857" w:type="dxa"/>
            <w:noWrap w:val="0"/>
            <w:vAlign w:val="top"/>
          </w:tcPr>
          <w:p w14:paraId="210756FC">
            <w:pPr>
              <w:spacing w:line="500" w:lineRule="exact"/>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      </w:t>
            </w:r>
          </w:p>
        </w:tc>
      </w:tr>
      <w:tr w14:paraId="0ECA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101" w:type="dxa"/>
            <w:vMerge w:val="continue"/>
            <w:tcBorders>
              <w:right w:val="single" w:color="auto" w:sz="4" w:space="0"/>
            </w:tcBorders>
            <w:noWrap w:val="0"/>
            <w:vAlign w:val="center"/>
          </w:tcPr>
          <w:p w14:paraId="7FA75439">
            <w:pPr>
              <w:spacing w:line="500" w:lineRule="exact"/>
              <w:jc w:val="center"/>
              <w:rPr>
                <w:rFonts w:hint="eastAsia" w:ascii="宋体" w:hAnsi="宋体" w:eastAsia="宋体" w:cs="宋体"/>
                <w:b w:val="0"/>
                <w:bCs w:val="0"/>
                <w:color w:val="auto"/>
                <w:sz w:val="24"/>
                <w:szCs w:val="24"/>
                <w:highlight w:val="none"/>
              </w:rPr>
            </w:pPr>
          </w:p>
        </w:tc>
        <w:tc>
          <w:tcPr>
            <w:tcW w:w="1984" w:type="dxa"/>
            <w:tcBorders>
              <w:top w:val="single" w:color="auto" w:sz="4" w:space="0"/>
              <w:left w:val="single" w:color="auto" w:sz="4" w:space="0"/>
              <w:right w:val="single" w:color="auto" w:sz="4" w:space="0"/>
            </w:tcBorders>
            <w:noWrap w:val="0"/>
            <w:vAlign w:val="center"/>
          </w:tcPr>
          <w:p w14:paraId="01F9CA50">
            <w:pPr>
              <w:widowControl/>
              <w:adjustRightInd w:val="0"/>
              <w:snapToGrid w:val="0"/>
              <w:spacing w:line="288" w:lineRule="auto"/>
              <w:jc w:val="center"/>
              <w:rPr>
                <w:rStyle w:val="65"/>
                <w:rFonts w:hint="eastAsia" w:ascii="宋体" w:hAnsi="宋体" w:eastAsia="宋体" w:cs="宋体"/>
                <w:b w:val="0"/>
                <w:bCs w:val="0"/>
                <w:color w:val="auto"/>
                <w:sz w:val="24"/>
                <w:szCs w:val="24"/>
                <w:highlight w:val="none"/>
              </w:rPr>
            </w:pPr>
            <w:r>
              <w:rPr>
                <w:rStyle w:val="65"/>
                <w:rFonts w:hint="eastAsia" w:ascii="宋体" w:hAnsi="宋体" w:eastAsia="宋体" w:cs="宋体"/>
                <w:b w:val="0"/>
                <w:bCs w:val="0"/>
                <w:color w:val="auto"/>
                <w:sz w:val="24"/>
                <w:szCs w:val="24"/>
                <w:highlight w:val="none"/>
              </w:rPr>
              <w:t>产品业绩</w:t>
            </w:r>
          </w:p>
          <w:p w14:paraId="1940E141">
            <w:pPr>
              <w:widowControl/>
              <w:adjustRightInd w:val="0"/>
              <w:snapToGrid w:val="0"/>
              <w:spacing w:line="288" w:lineRule="auto"/>
              <w:jc w:val="center"/>
              <w:rPr>
                <w:rFonts w:hint="eastAsia" w:ascii="宋体" w:hAnsi="宋体" w:eastAsia="宋体" w:cs="宋体"/>
                <w:b w:val="0"/>
                <w:bCs w:val="0"/>
                <w:color w:val="auto"/>
                <w:kern w:val="2"/>
                <w:sz w:val="24"/>
                <w:szCs w:val="24"/>
                <w:highlight w:val="none"/>
                <w:lang w:val="en-US" w:eastAsia="zh-CN" w:bidi="ar-SA"/>
              </w:rPr>
            </w:pPr>
            <w:r>
              <w:rPr>
                <w:rStyle w:val="65"/>
                <w:rFonts w:hint="eastAsia" w:ascii="宋体" w:hAnsi="宋体" w:eastAsia="宋体" w:cs="宋体"/>
                <w:b w:val="0"/>
                <w:bCs w:val="0"/>
                <w:color w:val="auto"/>
                <w:sz w:val="24"/>
                <w:szCs w:val="24"/>
                <w:highlight w:val="none"/>
              </w:rPr>
              <w:t>（</w:t>
            </w:r>
            <w:r>
              <w:rPr>
                <w:rStyle w:val="65"/>
                <w:rFonts w:hint="eastAsia" w:ascii="宋体" w:hAnsi="宋体" w:eastAsia="宋体" w:cs="宋体"/>
                <w:b w:val="0"/>
                <w:bCs w:val="0"/>
                <w:color w:val="auto"/>
                <w:sz w:val="24"/>
                <w:szCs w:val="24"/>
                <w:highlight w:val="none"/>
                <w:u w:val="single"/>
                <w:lang w:val="en-US"/>
              </w:rPr>
              <w:t xml:space="preserve"> 9 </w:t>
            </w:r>
            <w:r>
              <w:rPr>
                <w:rStyle w:val="65"/>
                <w:rFonts w:hint="eastAsia" w:ascii="宋体" w:hAnsi="宋体" w:eastAsia="宋体" w:cs="宋体"/>
                <w:b w:val="0"/>
                <w:bCs w:val="0"/>
                <w:color w:val="auto"/>
                <w:sz w:val="24"/>
                <w:szCs w:val="24"/>
                <w:highlight w:val="none"/>
              </w:rPr>
              <w:t>分）</w:t>
            </w:r>
          </w:p>
        </w:tc>
        <w:tc>
          <w:tcPr>
            <w:tcW w:w="5332" w:type="dxa"/>
            <w:tcBorders>
              <w:left w:val="single" w:color="auto" w:sz="4" w:space="0"/>
            </w:tcBorders>
            <w:noWrap w:val="0"/>
            <w:vAlign w:val="center"/>
          </w:tcPr>
          <w:p w14:paraId="2D8A9686">
            <w:pPr>
              <w:widowControl/>
              <w:snapToGrid w:val="0"/>
              <w:spacing w:line="288" w:lineRule="auto"/>
              <w:rPr>
                <w:rStyle w:val="65"/>
                <w:rFonts w:hint="eastAsia" w:ascii="宋体" w:hAnsi="宋体" w:eastAsia="宋体" w:cs="宋体"/>
                <w:b w:val="0"/>
                <w:bCs w:val="0"/>
                <w:color w:val="auto"/>
                <w:sz w:val="24"/>
                <w:szCs w:val="24"/>
                <w:highlight w:val="none"/>
              </w:rPr>
            </w:pPr>
            <w:r>
              <w:rPr>
                <w:rStyle w:val="65"/>
                <w:rFonts w:hint="eastAsia" w:ascii="宋体" w:hAnsi="宋体" w:eastAsia="宋体" w:cs="宋体"/>
                <w:b w:val="0"/>
                <w:bCs w:val="0"/>
                <w:color w:val="auto"/>
                <w:sz w:val="24"/>
                <w:szCs w:val="24"/>
                <w:highlight w:val="none"/>
              </w:rPr>
              <w:t>202</w:t>
            </w:r>
            <w:r>
              <w:rPr>
                <w:rStyle w:val="65"/>
                <w:rFonts w:hint="eastAsia" w:ascii="宋体" w:hAnsi="宋体" w:eastAsia="宋体" w:cs="宋体"/>
                <w:b w:val="0"/>
                <w:bCs w:val="0"/>
                <w:color w:val="auto"/>
                <w:sz w:val="24"/>
                <w:szCs w:val="24"/>
                <w:highlight w:val="none"/>
                <w:lang w:val="en-US"/>
              </w:rPr>
              <w:t>3</w:t>
            </w:r>
            <w:r>
              <w:rPr>
                <w:rStyle w:val="65"/>
                <w:rFonts w:hint="eastAsia" w:ascii="宋体" w:hAnsi="宋体" w:eastAsia="宋体" w:cs="宋体"/>
                <w:b w:val="0"/>
                <w:bCs w:val="0"/>
                <w:color w:val="auto"/>
                <w:sz w:val="24"/>
                <w:szCs w:val="24"/>
                <w:highlight w:val="none"/>
              </w:rPr>
              <w:t>年1月1日起至投标截止日（以合同签订日期为准），每提供1个所投产品（须为向三级医院供货的业绩）的供货业绩得 1.5 分，满分 9 分。</w:t>
            </w:r>
          </w:p>
          <w:p w14:paraId="3ADF2F76">
            <w:pPr>
              <w:widowControl/>
              <w:snapToGrid w:val="0"/>
              <w:spacing w:line="288" w:lineRule="auto"/>
              <w:rPr>
                <w:rStyle w:val="65"/>
                <w:rFonts w:hint="eastAsia" w:ascii="宋体" w:hAnsi="宋体" w:eastAsia="宋体" w:cs="宋体"/>
                <w:b w:val="0"/>
                <w:bCs w:val="0"/>
                <w:color w:val="auto"/>
                <w:sz w:val="24"/>
                <w:szCs w:val="24"/>
                <w:highlight w:val="none"/>
              </w:rPr>
            </w:pPr>
            <w:r>
              <w:rPr>
                <w:rStyle w:val="65"/>
                <w:rFonts w:hint="eastAsia" w:ascii="宋体" w:hAnsi="宋体" w:eastAsia="宋体" w:cs="宋体"/>
                <w:b w:val="0"/>
                <w:bCs w:val="0"/>
                <w:color w:val="auto"/>
                <w:sz w:val="24"/>
                <w:szCs w:val="24"/>
                <w:highlight w:val="none"/>
              </w:rPr>
              <w:t>注：1.投标文件中提供业绩合同扫描件，如合同中无法体现签订时间、产品品牌、型号等关键评审因素的，须同时提供加盖业主（合同甲方）公章的证明材料扫描件，未提供或提供不全的不得分；</w:t>
            </w:r>
          </w:p>
          <w:p w14:paraId="41A03B7C">
            <w:pPr>
              <w:widowControl/>
              <w:snapToGrid w:val="0"/>
              <w:spacing w:line="288" w:lineRule="auto"/>
              <w:rPr>
                <w:rStyle w:val="65"/>
                <w:rFonts w:hint="eastAsia" w:ascii="宋体" w:hAnsi="宋体" w:eastAsia="宋体" w:cs="宋体"/>
                <w:b w:val="0"/>
                <w:bCs w:val="0"/>
                <w:color w:val="auto"/>
                <w:sz w:val="24"/>
                <w:szCs w:val="24"/>
                <w:highlight w:val="none"/>
              </w:rPr>
            </w:pPr>
            <w:r>
              <w:rPr>
                <w:rStyle w:val="65"/>
                <w:rFonts w:hint="eastAsia" w:ascii="宋体" w:hAnsi="宋体" w:eastAsia="宋体" w:cs="宋体"/>
                <w:b w:val="0"/>
                <w:bCs w:val="0"/>
                <w:color w:val="auto"/>
                <w:sz w:val="24"/>
                <w:szCs w:val="24"/>
                <w:highlight w:val="none"/>
              </w:rPr>
              <w:t>2.此处业绩系指产品业绩，不限合同签订主体，但合同甲方须为医院。</w:t>
            </w:r>
          </w:p>
          <w:p w14:paraId="3F470C24">
            <w:pPr>
              <w:widowControl/>
              <w:snapToGrid w:val="0"/>
              <w:spacing w:line="288" w:lineRule="auto"/>
              <w:rPr>
                <w:rStyle w:val="65"/>
                <w:rFonts w:hint="eastAsia" w:ascii="宋体" w:hAnsi="宋体" w:eastAsia="宋体" w:cs="宋体"/>
                <w:b w:val="0"/>
                <w:bCs w:val="0"/>
                <w:color w:val="auto"/>
                <w:sz w:val="24"/>
                <w:szCs w:val="24"/>
                <w:highlight w:val="none"/>
              </w:rPr>
            </w:pPr>
            <w:r>
              <w:rPr>
                <w:rStyle w:val="65"/>
                <w:rFonts w:hint="eastAsia" w:ascii="宋体" w:hAnsi="宋体" w:eastAsia="宋体" w:cs="宋体"/>
                <w:b w:val="0"/>
                <w:bCs w:val="0"/>
                <w:color w:val="auto"/>
                <w:sz w:val="24"/>
                <w:szCs w:val="24"/>
                <w:highlight w:val="none"/>
              </w:rPr>
              <w:t>3.医院等级证明材料（医院等级截图或业主证明或医院主管部门证明）。</w:t>
            </w:r>
          </w:p>
          <w:p w14:paraId="7F18B24D">
            <w:pPr>
              <w:widowControl/>
              <w:snapToGrid w:val="0"/>
              <w:spacing w:line="288" w:lineRule="auto"/>
              <w:rPr>
                <w:rFonts w:hint="eastAsia" w:ascii="宋体" w:hAnsi="宋体" w:eastAsia="宋体" w:cs="宋体"/>
                <w:b w:val="0"/>
                <w:bCs w:val="0"/>
                <w:color w:val="auto"/>
                <w:kern w:val="2"/>
                <w:sz w:val="24"/>
                <w:szCs w:val="24"/>
                <w:highlight w:val="none"/>
                <w:lang w:val="en-US" w:eastAsia="zh-CN" w:bidi="ar-SA"/>
              </w:rPr>
            </w:pPr>
            <w:r>
              <w:rPr>
                <w:rStyle w:val="65"/>
                <w:rFonts w:hint="eastAsia" w:ascii="宋体" w:hAnsi="宋体" w:eastAsia="宋体" w:cs="宋体"/>
                <w:b w:val="0"/>
                <w:bCs w:val="0"/>
                <w:color w:val="auto"/>
                <w:sz w:val="24"/>
                <w:szCs w:val="24"/>
                <w:highlight w:val="none"/>
              </w:rPr>
              <w:t>4.同一业主业绩不累计计分，不同业主业绩可以累计。</w:t>
            </w:r>
          </w:p>
        </w:tc>
        <w:tc>
          <w:tcPr>
            <w:tcW w:w="857" w:type="dxa"/>
            <w:noWrap w:val="0"/>
            <w:vAlign w:val="top"/>
          </w:tcPr>
          <w:p w14:paraId="736B1C13">
            <w:pPr>
              <w:spacing w:line="500" w:lineRule="exact"/>
              <w:jc w:val="left"/>
              <w:rPr>
                <w:rFonts w:hint="eastAsia" w:ascii="宋体" w:hAnsi="宋体" w:eastAsia="宋体" w:cs="宋体"/>
                <w:b w:val="0"/>
                <w:bCs w:val="0"/>
                <w:color w:val="auto"/>
                <w:sz w:val="24"/>
                <w:szCs w:val="24"/>
                <w:highlight w:val="none"/>
              </w:rPr>
            </w:pPr>
          </w:p>
        </w:tc>
      </w:tr>
      <w:tr w14:paraId="2249C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8" w:hRule="atLeast"/>
          <w:jc w:val="center"/>
        </w:trPr>
        <w:tc>
          <w:tcPr>
            <w:tcW w:w="1101" w:type="dxa"/>
            <w:vMerge w:val="continue"/>
            <w:tcBorders>
              <w:right w:val="single" w:color="auto" w:sz="4" w:space="0"/>
            </w:tcBorders>
            <w:noWrap w:val="0"/>
            <w:vAlign w:val="center"/>
          </w:tcPr>
          <w:p w14:paraId="2664548A">
            <w:pPr>
              <w:spacing w:line="500" w:lineRule="exact"/>
              <w:jc w:val="center"/>
              <w:rPr>
                <w:rFonts w:hint="eastAsia" w:ascii="宋体" w:hAnsi="宋体" w:eastAsia="宋体" w:cs="宋体"/>
                <w:b w:val="0"/>
                <w:bCs w:val="0"/>
                <w:color w:val="auto"/>
                <w:sz w:val="24"/>
                <w:szCs w:val="24"/>
                <w:highlight w:val="none"/>
              </w:rPr>
            </w:pPr>
          </w:p>
        </w:tc>
        <w:tc>
          <w:tcPr>
            <w:tcW w:w="1984" w:type="dxa"/>
            <w:tcBorders>
              <w:top w:val="single" w:color="auto" w:sz="4" w:space="0"/>
              <w:left w:val="single" w:color="auto" w:sz="4" w:space="0"/>
              <w:right w:val="single" w:color="auto" w:sz="4" w:space="0"/>
            </w:tcBorders>
            <w:noWrap w:val="0"/>
            <w:vAlign w:val="center"/>
          </w:tcPr>
          <w:p w14:paraId="015485FF">
            <w:pPr>
              <w:spacing w:line="300" w:lineRule="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质量保证期、项目实施及售后服务方案（</w:t>
            </w:r>
            <w:r>
              <w:rPr>
                <w:rFonts w:hint="eastAsia" w:ascii="宋体" w:hAnsi="宋体" w:eastAsia="宋体" w:cs="宋体"/>
                <w:b w:val="0"/>
                <w:bCs w:val="0"/>
                <w:color w:val="auto"/>
                <w:kern w:val="0"/>
                <w:sz w:val="24"/>
                <w:szCs w:val="24"/>
                <w:highlight w:val="none"/>
                <w:u w:val="single"/>
              </w:rPr>
              <w:t>12分</w:t>
            </w:r>
            <w:r>
              <w:rPr>
                <w:rFonts w:hint="eastAsia" w:ascii="宋体" w:hAnsi="宋体" w:eastAsia="宋体" w:cs="宋体"/>
                <w:b w:val="0"/>
                <w:bCs w:val="0"/>
                <w:color w:val="auto"/>
                <w:kern w:val="0"/>
                <w:sz w:val="24"/>
                <w:szCs w:val="24"/>
                <w:highlight w:val="none"/>
                <w:u w:val="none"/>
                <w:lang w:eastAsia="zh-CN"/>
              </w:rPr>
              <w:t>）</w:t>
            </w:r>
          </w:p>
          <w:p w14:paraId="6F91368F">
            <w:pPr>
              <w:spacing w:line="300" w:lineRule="auto"/>
              <w:ind w:firstLine="240" w:firstLineChars="100"/>
              <w:rPr>
                <w:rFonts w:hint="eastAsia" w:ascii="宋体" w:hAnsi="宋体" w:eastAsia="宋体" w:cs="宋体"/>
                <w:b w:val="0"/>
                <w:bCs w:val="0"/>
                <w:color w:val="auto"/>
                <w:sz w:val="24"/>
                <w:szCs w:val="24"/>
                <w:highlight w:val="none"/>
              </w:rPr>
            </w:pPr>
          </w:p>
        </w:tc>
        <w:tc>
          <w:tcPr>
            <w:tcW w:w="5332" w:type="dxa"/>
            <w:tcBorders>
              <w:left w:val="single" w:color="auto" w:sz="4" w:space="0"/>
            </w:tcBorders>
            <w:noWrap w:val="0"/>
            <w:vAlign w:val="center"/>
          </w:tcPr>
          <w:p w14:paraId="6584E55B">
            <w:pPr>
              <w:spacing w:line="288" w:lineRule="auto"/>
              <w:jc w:val="left"/>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1、投标人</w:t>
            </w:r>
            <w:r>
              <w:rPr>
                <w:rFonts w:hint="eastAsia" w:ascii="宋体" w:hAnsi="宋体" w:eastAsia="宋体" w:cs="宋体"/>
                <w:b w:val="0"/>
                <w:bCs w:val="0"/>
                <w:color w:val="auto"/>
                <w:sz w:val="24"/>
                <w:szCs w:val="24"/>
                <w:highlight w:val="none"/>
                <w:lang w:eastAsia="zh-CN"/>
              </w:rPr>
              <w:t>所投</w:t>
            </w:r>
            <w:r>
              <w:rPr>
                <w:rFonts w:hint="eastAsia" w:ascii="宋体" w:hAnsi="宋体" w:eastAsia="宋体" w:cs="宋体"/>
                <w:b w:val="0"/>
                <w:bCs w:val="0"/>
                <w:color w:val="auto"/>
                <w:sz w:val="24"/>
                <w:szCs w:val="24"/>
                <w:highlight w:val="none"/>
              </w:rPr>
              <w:t>所有设备质量保证期在满足招标文件规定质量保证期的基础上，均延长1年加</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rPr>
              <w:t>2</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rPr>
              <w:t>分（不足1年不加分），最高得</w:t>
            </w:r>
            <w:r>
              <w:rPr>
                <w:rFonts w:hint="eastAsia" w:ascii="宋体" w:hAnsi="宋体" w:eastAsia="宋体" w:cs="宋体"/>
                <w:b w:val="0"/>
                <w:bCs w:val="0"/>
                <w:color w:val="auto"/>
                <w:sz w:val="24"/>
                <w:szCs w:val="24"/>
                <w:highlight w:val="none"/>
                <w:u w:val="single"/>
                <w:lang w:val="en-US" w:eastAsia="zh-CN"/>
              </w:rPr>
              <w:t xml:space="preserve"> 6 </w:t>
            </w:r>
            <w:r>
              <w:rPr>
                <w:rFonts w:hint="eastAsia" w:ascii="宋体" w:hAnsi="宋体" w:eastAsia="宋体" w:cs="宋体"/>
                <w:b w:val="0"/>
                <w:bCs w:val="0"/>
                <w:color w:val="auto"/>
                <w:sz w:val="24"/>
                <w:szCs w:val="24"/>
                <w:highlight w:val="none"/>
                <w:u w:val="none"/>
              </w:rPr>
              <w:t>分</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eastAsia="zh-CN"/>
              </w:rPr>
              <w:t>（提供承诺函，格式自拟）</w:t>
            </w:r>
          </w:p>
          <w:p w14:paraId="58042FCC">
            <w:pPr>
              <w:spacing w:line="288" w:lineRule="auto"/>
              <w:jc w:val="left"/>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kern w:val="0"/>
                <w:sz w:val="24"/>
                <w:szCs w:val="24"/>
                <w:highlight w:val="none"/>
              </w:rPr>
              <w:t>2、</w:t>
            </w:r>
            <w:r>
              <w:rPr>
                <w:rFonts w:hint="eastAsia" w:ascii="宋体" w:hAnsi="宋体" w:eastAsia="宋体" w:cs="宋体"/>
                <w:b w:val="0"/>
                <w:bCs w:val="0"/>
                <w:color w:val="auto"/>
                <w:sz w:val="24"/>
                <w:szCs w:val="24"/>
                <w:highlight w:val="none"/>
              </w:rPr>
              <w:t>根据各</w:t>
            </w:r>
            <w:r>
              <w:rPr>
                <w:rFonts w:hint="eastAsia" w:ascii="宋体" w:hAnsi="宋体" w:eastAsia="宋体" w:cs="宋体"/>
                <w:b w:val="0"/>
                <w:bCs w:val="0"/>
                <w:color w:val="auto"/>
                <w:sz w:val="24"/>
                <w:szCs w:val="24"/>
                <w:highlight w:val="none"/>
                <w:lang w:val="en-US" w:eastAsia="zh-CN"/>
              </w:rPr>
              <w:t>投标人</w:t>
            </w:r>
            <w:r>
              <w:rPr>
                <w:rFonts w:hint="eastAsia" w:ascii="宋体" w:hAnsi="宋体" w:eastAsia="宋体" w:cs="宋体"/>
                <w:b w:val="0"/>
                <w:bCs w:val="0"/>
                <w:color w:val="auto"/>
                <w:sz w:val="24"/>
                <w:szCs w:val="24"/>
                <w:highlight w:val="none"/>
              </w:rPr>
              <w:t>提供的</w:t>
            </w:r>
            <w:r>
              <w:rPr>
                <w:rFonts w:hint="eastAsia" w:ascii="宋体" w:hAnsi="宋体" w:eastAsia="宋体" w:cs="宋体"/>
                <w:b w:val="0"/>
                <w:bCs w:val="0"/>
                <w:color w:val="auto"/>
                <w:sz w:val="24"/>
                <w:szCs w:val="24"/>
                <w:highlight w:val="none"/>
                <w:lang w:val="en-US" w:eastAsia="zh-CN"/>
              </w:rPr>
              <w:t>项目实施方案</w:t>
            </w:r>
            <w:r>
              <w:rPr>
                <w:rFonts w:hint="eastAsia" w:ascii="宋体" w:hAnsi="宋体" w:eastAsia="宋体" w:cs="宋体"/>
                <w:b w:val="0"/>
                <w:bCs w:val="0"/>
                <w:color w:val="auto"/>
                <w:kern w:val="0"/>
                <w:sz w:val="24"/>
                <w:szCs w:val="24"/>
                <w:highlight w:val="none"/>
              </w:rPr>
              <w:t>实施计划、进度计划、安装调试的技术人员安排、安装调试方案、验收方案</w:t>
            </w:r>
            <w:r>
              <w:rPr>
                <w:rFonts w:hint="eastAsia" w:ascii="宋体" w:hAnsi="宋体" w:eastAsia="宋体" w:cs="宋体"/>
                <w:b w:val="0"/>
                <w:bCs w:val="0"/>
                <w:color w:val="auto"/>
                <w:sz w:val="24"/>
                <w:szCs w:val="24"/>
                <w:highlight w:val="none"/>
              </w:rPr>
              <w:t>情况进行打分</w:t>
            </w:r>
            <w:r>
              <w:rPr>
                <w:rFonts w:hint="eastAsia" w:ascii="宋体" w:hAnsi="宋体" w:eastAsia="宋体" w:cs="宋体"/>
                <w:b w:val="0"/>
                <w:bCs w:val="0"/>
                <w:color w:val="auto"/>
                <w:sz w:val="24"/>
                <w:szCs w:val="24"/>
                <w:highlight w:val="none"/>
                <w:lang w:val="en-US" w:eastAsia="zh-CN"/>
              </w:rPr>
              <w:t>：</w:t>
            </w:r>
          </w:p>
          <w:p w14:paraId="53D20491">
            <w:pPr>
              <w:spacing w:line="288"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1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①</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方案内容完整、详实、科学合理，可行性、针对性强且有齐全的保障措施的得</w:t>
            </w:r>
            <w:r>
              <w:rPr>
                <w:rFonts w:hint="eastAsia" w:ascii="宋体" w:hAnsi="宋体" w:eastAsia="宋体" w:cs="宋体"/>
                <w:b w:val="0"/>
                <w:bCs w:val="0"/>
                <w:color w:val="auto"/>
                <w:sz w:val="24"/>
                <w:szCs w:val="24"/>
                <w:highlight w:val="none"/>
                <w:u w:val="single"/>
                <w:lang w:val="en-US" w:eastAsia="zh-CN"/>
              </w:rPr>
              <w:t>3</w:t>
            </w:r>
            <w:r>
              <w:rPr>
                <w:rFonts w:hint="eastAsia" w:ascii="宋体" w:hAnsi="宋体" w:eastAsia="宋体" w:cs="宋体"/>
                <w:b w:val="0"/>
                <w:bCs w:val="0"/>
                <w:color w:val="auto"/>
                <w:sz w:val="24"/>
                <w:szCs w:val="24"/>
                <w:highlight w:val="none"/>
              </w:rPr>
              <w:t>分；</w:t>
            </w:r>
          </w:p>
          <w:p w14:paraId="1901CB48">
            <w:pPr>
              <w:spacing w:line="288"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2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②</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方案内容基本完整、合理、具有可行性、针对性，但保障措施有待进一步完善的得</w:t>
            </w:r>
            <w:r>
              <w:rPr>
                <w:rFonts w:hint="eastAsia" w:ascii="宋体" w:hAnsi="宋体" w:eastAsia="宋体" w:cs="宋体"/>
                <w:b w:val="0"/>
                <w:bCs w:val="0"/>
                <w:color w:val="auto"/>
                <w:sz w:val="24"/>
                <w:szCs w:val="24"/>
                <w:highlight w:val="none"/>
                <w:u w:val="single"/>
                <w:lang w:val="en-US" w:eastAsia="zh-CN"/>
              </w:rPr>
              <w:t>2</w:t>
            </w:r>
            <w:r>
              <w:rPr>
                <w:rFonts w:hint="eastAsia" w:ascii="宋体" w:hAnsi="宋体" w:eastAsia="宋体" w:cs="宋体"/>
                <w:b w:val="0"/>
                <w:bCs w:val="0"/>
                <w:color w:val="auto"/>
                <w:sz w:val="24"/>
                <w:szCs w:val="24"/>
                <w:highlight w:val="none"/>
              </w:rPr>
              <w:t>分；</w:t>
            </w:r>
          </w:p>
          <w:p w14:paraId="64B26624">
            <w:pPr>
              <w:spacing w:line="288"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3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③</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方案内容在完整性、合理性、可行性、针对性及各项保障措施均有待改善的得</w:t>
            </w:r>
            <w:r>
              <w:rPr>
                <w:rFonts w:hint="eastAsia" w:ascii="宋体" w:hAnsi="宋体" w:eastAsia="宋体" w:cs="宋体"/>
                <w:b w:val="0"/>
                <w:bCs w:val="0"/>
                <w:color w:val="auto"/>
                <w:sz w:val="24"/>
                <w:szCs w:val="24"/>
                <w:highlight w:val="none"/>
                <w:u w:val="single"/>
                <w:lang w:val="en-US" w:eastAsia="zh-CN"/>
              </w:rPr>
              <w:t>1</w:t>
            </w:r>
            <w:r>
              <w:rPr>
                <w:rFonts w:hint="eastAsia" w:ascii="宋体" w:hAnsi="宋体" w:eastAsia="宋体" w:cs="宋体"/>
                <w:b w:val="0"/>
                <w:bCs w:val="0"/>
                <w:color w:val="auto"/>
                <w:sz w:val="24"/>
                <w:szCs w:val="24"/>
                <w:highlight w:val="none"/>
              </w:rPr>
              <w:t>分；</w:t>
            </w:r>
          </w:p>
          <w:p w14:paraId="660F5F43">
            <w:pPr>
              <w:spacing w:line="288"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4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④</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方案不可行或未提供方案的得</w:t>
            </w:r>
            <w:r>
              <w:rPr>
                <w:rFonts w:hint="eastAsia" w:ascii="宋体" w:hAnsi="宋体" w:eastAsia="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rPr>
              <w:t>分。</w:t>
            </w:r>
          </w:p>
          <w:p w14:paraId="789F51C5">
            <w:pPr>
              <w:numPr>
                <w:ilvl w:val="0"/>
                <w:numId w:val="0"/>
              </w:numPr>
              <w:spacing w:line="288" w:lineRule="auto"/>
              <w:jc w:val="left"/>
              <w:rPr>
                <w:rFonts w:hint="eastAsia" w:ascii="宋体" w:hAnsi="宋体" w:eastAsia="宋体" w:cs="宋体"/>
                <w:b w:val="0"/>
                <w:bCs w:val="0"/>
                <w:color w:val="auto"/>
                <w:kern w:val="0"/>
                <w:sz w:val="24"/>
                <w:szCs w:val="24"/>
                <w:highlight w:val="none"/>
                <w:lang w:eastAsia="zh-CN"/>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根据各</w:t>
            </w:r>
            <w:r>
              <w:rPr>
                <w:rFonts w:hint="eastAsia" w:ascii="宋体" w:hAnsi="宋体" w:eastAsia="宋体" w:cs="宋体"/>
                <w:b w:val="0"/>
                <w:bCs w:val="0"/>
                <w:color w:val="auto"/>
                <w:sz w:val="24"/>
                <w:szCs w:val="24"/>
                <w:highlight w:val="none"/>
                <w:lang w:val="en-US" w:eastAsia="zh-CN"/>
              </w:rPr>
              <w:t>投标人</w:t>
            </w:r>
            <w:r>
              <w:rPr>
                <w:rFonts w:hint="eastAsia" w:ascii="宋体" w:hAnsi="宋体" w:eastAsia="宋体" w:cs="宋体"/>
                <w:b w:val="0"/>
                <w:bCs w:val="0"/>
                <w:color w:val="auto"/>
                <w:sz w:val="24"/>
                <w:szCs w:val="24"/>
                <w:highlight w:val="none"/>
              </w:rPr>
              <w:t>提供的</w:t>
            </w:r>
            <w:r>
              <w:rPr>
                <w:rFonts w:hint="eastAsia" w:ascii="宋体" w:hAnsi="宋体" w:eastAsia="宋体" w:cs="宋体"/>
                <w:b w:val="0"/>
                <w:bCs w:val="0"/>
                <w:color w:val="auto"/>
                <w:kern w:val="0"/>
                <w:sz w:val="24"/>
                <w:szCs w:val="24"/>
                <w:highlight w:val="none"/>
              </w:rPr>
              <w:t>售后服务方案售后服务人员配置、售后服务响应时间、保障修复时间、培训方案、巡检次数及巡检时间段、应急预案、技术保障措施、回访、备品备件免费供应以及其他承诺等方面</w:t>
            </w:r>
            <w:r>
              <w:rPr>
                <w:rFonts w:hint="eastAsia" w:ascii="宋体" w:hAnsi="宋体" w:eastAsia="宋体" w:cs="宋体"/>
                <w:b w:val="0"/>
                <w:bCs w:val="0"/>
                <w:color w:val="auto"/>
                <w:kern w:val="0"/>
                <w:sz w:val="24"/>
                <w:szCs w:val="24"/>
                <w:highlight w:val="none"/>
                <w:lang w:eastAsia="zh-CN"/>
              </w:rPr>
              <w:t>方案</w:t>
            </w:r>
            <w:r>
              <w:rPr>
                <w:rFonts w:hint="eastAsia" w:ascii="宋体" w:hAnsi="宋体" w:eastAsia="宋体" w:cs="宋体"/>
                <w:b w:val="0"/>
                <w:bCs w:val="0"/>
                <w:color w:val="auto"/>
                <w:kern w:val="0"/>
                <w:sz w:val="24"/>
                <w:szCs w:val="24"/>
                <w:highlight w:val="none"/>
              </w:rPr>
              <w:t>进行综合比较</w:t>
            </w:r>
            <w:r>
              <w:rPr>
                <w:rFonts w:hint="eastAsia" w:ascii="宋体" w:hAnsi="宋体" w:eastAsia="宋体" w:cs="宋体"/>
                <w:b w:val="0"/>
                <w:bCs w:val="0"/>
                <w:color w:val="auto"/>
                <w:kern w:val="0"/>
                <w:sz w:val="24"/>
                <w:szCs w:val="24"/>
                <w:highlight w:val="none"/>
                <w:lang w:eastAsia="zh-CN"/>
              </w:rPr>
              <w:t>打分：</w:t>
            </w:r>
          </w:p>
          <w:p w14:paraId="283AA630">
            <w:pPr>
              <w:spacing w:line="288"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1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①</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方案内容完整、详实、科学合理，可行性、针对性强且有齐全的保障措施的得</w:t>
            </w:r>
            <w:r>
              <w:rPr>
                <w:rFonts w:hint="eastAsia" w:ascii="宋体" w:hAnsi="宋体" w:eastAsia="宋体" w:cs="宋体"/>
                <w:b w:val="0"/>
                <w:bCs w:val="0"/>
                <w:color w:val="auto"/>
                <w:sz w:val="24"/>
                <w:szCs w:val="24"/>
                <w:highlight w:val="none"/>
                <w:u w:val="single"/>
                <w:lang w:val="en-US" w:eastAsia="zh-CN"/>
              </w:rPr>
              <w:t>3</w:t>
            </w:r>
            <w:r>
              <w:rPr>
                <w:rFonts w:hint="eastAsia" w:ascii="宋体" w:hAnsi="宋体" w:eastAsia="宋体" w:cs="宋体"/>
                <w:b w:val="0"/>
                <w:bCs w:val="0"/>
                <w:color w:val="auto"/>
                <w:sz w:val="24"/>
                <w:szCs w:val="24"/>
                <w:highlight w:val="none"/>
              </w:rPr>
              <w:t>分；</w:t>
            </w:r>
          </w:p>
          <w:p w14:paraId="5015960E">
            <w:pPr>
              <w:spacing w:line="288"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2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②</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方案内容基本完整、合理、具有可行性、针对性，但保障措施有待进一步完善的得</w:t>
            </w:r>
            <w:r>
              <w:rPr>
                <w:rFonts w:hint="eastAsia" w:ascii="宋体" w:hAnsi="宋体" w:eastAsia="宋体" w:cs="宋体"/>
                <w:b w:val="0"/>
                <w:bCs w:val="0"/>
                <w:color w:val="auto"/>
                <w:sz w:val="24"/>
                <w:szCs w:val="24"/>
                <w:highlight w:val="none"/>
                <w:u w:val="single"/>
                <w:lang w:val="en-US" w:eastAsia="zh-CN"/>
              </w:rPr>
              <w:t>2</w:t>
            </w:r>
            <w:r>
              <w:rPr>
                <w:rFonts w:hint="eastAsia" w:ascii="宋体" w:hAnsi="宋体" w:eastAsia="宋体" w:cs="宋体"/>
                <w:b w:val="0"/>
                <w:bCs w:val="0"/>
                <w:color w:val="auto"/>
                <w:sz w:val="24"/>
                <w:szCs w:val="24"/>
                <w:highlight w:val="none"/>
              </w:rPr>
              <w:t>分；</w:t>
            </w:r>
          </w:p>
          <w:p w14:paraId="5A2EA2CF">
            <w:pPr>
              <w:spacing w:line="288"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3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③</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方案内容在完整性、合理性、可行性、针对性及各项保障措施均有待改善的得</w:t>
            </w:r>
            <w:r>
              <w:rPr>
                <w:rFonts w:hint="eastAsia" w:ascii="宋体" w:hAnsi="宋体" w:eastAsia="宋体" w:cs="宋体"/>
                <w:b w:val="0"/>
                <w:bCs w:val="0"/>
                <w:color w:val="auto"/>
                <w:sz w:val="24"/>
                <w:szCs w:val="24"/>
                <w:highlight w:val="none"/>
                <w:u w:val="single"/>
                <w:lang w:val="en-US" w:eastAsia="zh-CN"/>
              </w:rPr>
              <w:t>1</w:t>
            </w:r>
            <w:r>
              <w:rPr>
                <w:rFonts w:hint="eastAsia" w:ascii="宋体" w:hAnsi="宋体" w:eastAsia="宋体" w:cs="宋体"/>
                <w:b w:val="0"/>
                <w:bCs w:val="0"/>
                <w:color w:val="auto"/>
                <w:sz w:val="24"/>
                <w:szCs w:val="24"/>
                <w:highlight w:val="none"/>
              </w:rPr>
              <w:t>分；</w:t>
            </w:r>
          </w:p>
          <w:p w14:paraId="18BD9B8A">
            <w:pPr>
              <w:spacing w:line="288"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4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④</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方案不可行或未提供方案的得</w:t>
            </w:r>
            <w:r>
              <w:rPr>
                <w:rFonts w:hint="eastAsia" w:ascii="宋体" w:hAnsi="宋体" w:eastAsia="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rPr>
              <w:t>分。</w:t>
            </w:r>
          </w:p>
        </w:tc>
        <w:tc>
          <w:tcPr>
            <w:tcW w:w="857" w:type="dxa"/>
            <w:noWrap w:val="0"/>
            <w:vAlign w:val="top"/>
          </w:tcPr>
          <w:p w14:paraId="4191C3B8">
            <w:pPr>
              <w:spacing w:line="500" w:lineRule="exact"/>
              <w:jc w:val="left"/>
              <w:rPr>
                <w:rFonts w:hint="eastAsia" w:ascii="宋体" w:hAnsi="宋体" w:eastAsia="宋体" w:cs="宋体"/>
                <w:b w:val="0"/>
                <w:bCs w:val="0"/>
                <w:color w:val="auto"/>
                <w:sz w:val="24"/>
                <w:szCs w:val="24"/>
                <w:highlight w:val="none"/>
              </w:rPr>
            </w:pPr>
          </w:p>
        </w:tc>
      </w:tr>
      <w:tr w14:paraId="30DFA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noWrap w:val="0"/>
            <w:vAlign w:val="top"/>
          </w:tcPr>
          <w:p w14:paraId="21D5E360">
            <w:pPr>
              <w:spacing w:line="500" w:lineRule="exact"/>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商务分</w:t>
            </w:r>
            <w:r>
              <w:rPr>
                <w:rFonts w:hint="eastAsia" w:ascii="宋体" w:hAnsi="宋体" w:eastAsia="宋体" w:cs="宋体"/>
                <w:b w:val="0"/>
                <w:bCs w:val="0"/>
                <w:color w:val="auto"/>
                <w:kern w:val="0"/>
                <w:sz w:val="24"/>
                <w:szCs w:val="24"/>
                <w:highlight w:val="none"/>
              </w:rPr>
              <w:t>30分</w:t>
            </w:r>
          </w:p>
        </w:tc>
        <w:tc>
          <w:tcPr>
            <w:tcW w:w="8173" w:type="dxa"/>
            <w:gridSpan w:val="3"/>
            <w:tcBorders>
              <w:top w:val="single" w:color="auto" w:sz="4" w:space="0"/>
              <w:bottom w:val="single" w:color="auto" w:sz="4" w:space="0"/>
            </w:tcBorders>
            <w:noWrap w:val="0"/>
            <w:vAlign w:val="top"/>
          </w:tcPr>
          <w:p w14:paraId="4BF6BF90">
            <w:pPr>
              <w:spacing w:line="500" w:lineRule="exac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价格标经评审满足本文件要求且在预算范围内的投标人的总报价中，最低价格为评标基准价格，得满分；其他投标人的价格分统一按照下列公式计算： </w:t>
            </w:r>
          </w:p>
          <w:p w14:paraId="2376B954">
            <w:pPr>
              <w:spacing w:line="500" w:lineRule="exac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投标报价得分＝（评标基准价/投标报价）× 价格分分值（取小数点后两位）。</w:t>
            </w:r>
          </w:p>
        </w:tc>
      </w:tr>
    </w:tbl>
    <w:p w14:paraId="2C840881">
      <w:pPr>
        <w:spacing w:line="360" w:lineRule="auto"/>
        <w:ind w:firstLine="435"/>
        <w:rPr>
          <w:rFonts w:hint="eastAsia" w:asciiTheme="minorEastAsia" w:hAnsiTheme="minorEastAsia" w:eastAsiaTheme="minorEastAsia"/>
          <w:color w:val="auto"/>
          <w:sz w:val="24"/>
          <w:highlight w:val="none"/>
        </w:rPr>
      </w:pPr>
    </w:p>
    <w:p w14:paraId="59BB5D2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61C7DE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641BF9D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r>
        <w:rPr>
          <w:rFonts w:asciiTheme="minorEastAsia" w:hAnsiTheme="minorEastAsia" w:eastAsiaTheme="minorEastAsia"/>
          <w:color w:val="auto"/>
          <w:sz w:val="24"/>
          <w:highlight w:val="none"/>
        </w:rPr>
        <w:br w:type="page"/>
      </w:r>
    </w:p>
    <w:p w14:paraId="4DD94BDF">
      <w:pPr>
        <w:spacing w:line="360" w:lineRule="auto"/>
        <w:jc w:val="center"/>
        <w:outlineLvl w:val="0"/>
        <w:rPr>
          <w:rFonts w:hint="eastAsia" w:asciiTheme="minorEastAsia" w:hAnsiTheme="minorEastAsia" w:eastAsiaTheme="minorEastAsia"/>
          <w:b/>
          <w:color w:val="auto"/>
          <w:sz w:val="28"/>
          <w:highlight w:val="none"/>
          <w:lang w:eastAsia="zh-CN"/>
        </w:rPr>
      </w:pPr>
      <w:bookmarkStart w:id="46" w:name="_Toc4682"/>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采购合同</w:t>
      </w:r>
      <w:bookmarkEnd w:id="46"/>
    </w:p>
    <w:p w14:paraId="481E7F4D">
      <w:pPr>
        <w:pStyle w:val="8"/>
        <w:pageBreakBefore w:val="0"/>
        <w:kinsoku/>
        <w:wordWrap/>
        <w:overflowPunct/>
        <w:topLinePunct w:val="0"/>
        <w:bidi w:val="0"/>
        <w:spacing w:after="0" w:line="360" w:lineRule="auto"/>
        <w:jc w:val="both"/>
        <w:textAlignment w:val="auto"/>
        <w:rPr>
          <w:rFonts w:hint="eastAsia" w:ascii="宋体" w:hAnsi="宋体" w:eastAsia="宋体" w:cs="宋体"/>
          <w:b/>
          <w:bCs/>
          <w:color w:val="auto"/>
          <w:spacing w:val="-20"/>
          <w:kern w:val="44"/>
          <w:sz w:val="24"/>
          <w:szCs w:val="24"/>
          <w:highlight w:val="none"/>
        </w:rPr>
      </w:pPr>
    </w:p>
    <w:p w14:paraId="6C024A07">
      <w:pPr>
        <w:pStyle w:val="8"/>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1948CBD0">
      <w:pPr>
        <w:pStyle w:val="8"/>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2C82C013">
      <w:pPr>
        <w:pStyle w:val="8"/>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6E3DD6F2">
      <w:pPr>
        <w:pageBreakBefore w:val="0"/>
        <w:kinsoku/>
        <w:wordWrap/>
        <w:overflowPunct/>
        <w:topLinePunct w:val="0"/>
        <w:bidi w:val="0"/>
        <w:spacing w:line="360" w:lineRule="auto"/>
        <w:textAlignment w:val="auto"/>
        <w:rPr>
          <w:rFonts w:hint="eastAsia" w:ascii="宋体" w:hAnsi="宋体" w:eastAsia="宋体" w:cs="宋体"/>
          <w:b/>
          <w:bCs/>
          <w:color w:val="auto"/>
          <w:spacing w:val="-20"/>
          <w:kern w:val="44"/>
          <w:sz w:val="24"/>
          <w:szCs w:val="24"/>
          <w:highlight w:val="none"/>
        </w:rPr>
      </w:pPr>
    </w:p>
    <w:p w14:paraId="69AE4AF1">
      <w:pPr>
        <w:pStyle w:val="8"/>
        <w:rPr>
          <w:rFonts w:hint="eastAsia" w:ascii="宋体" w:hAnsi="宋体" w:eastAsia="宋体" w:cs="宋体"/>
          <w:b/>
          <w:bCs/>
          <w:color w:val="auto"/>
          <w:spacing w:val="-20"/>
          <w:kern w:val="44"/>
          <w:sz w:val="24"/>
          <w:szCs w:val="24"/>
          <w:highlight w:val="none"/>
        </w:rPr>
      </w:pPr>
    </w:p>
    <w:p w14:paraId="1DCC0BE9">
      <w:pPr>
        <w:pStyle w:val="8"/>
        <w:rPr>
          <w:rFonts w:hint="eastAsia" w:ascii="宋体" w:hAnsi="宋体" w:eastAsia="宋体" w:cs="宋体"/>
          <w:b/>
          <w:bCs/>
          <w:color w:val="auto"/>
          <w:spacing w:val="-20"/>
          <w:kern w:val="44"/>
          <w:sz w:val="24"/>
          <w:szCs w:val="24"/>
          <w:highlight w:val="none"/>
        </w:rPr>
      </w:pPr>
    </w:p>
    <w:p w14:paraId="49ADC794">
      <w:pPr>
        <w:pageBreakBefore w:val="0"/>
        <w:kinsoku/>
        <w:wordWrap/>
        <w:overflowPunct/>
        <w:topLinePunct w:val="0"/>
        <w:bidi w:val="0"/>
        <w:spacing w:line="360" w:lineRule="auto"/>
        <w:textAlignment w:val="auto"/>
        <w:rPr>
          <w:rFonts w:hint="eastAsia" w:ascii="宋体" w:hAnsi="宋体" w:eastAsia="宋体" w:cs="宋体"/>
          <w:b/>
          <w:bCs/>
          <w:color w:val="auto"/>
          <w:spacing w:val="-20"/>
          <w:kern w:val="44"/>
          <w:sz w:val="24"/>
          <w:szCs w:val="24"/>
          <w:highlight w:val="none"/>
        </w:rPr>
      </w:pPr>
    </w:p>
    <w:p w14:paraId="22B2A3D7">
      <w:pPr>
        <w:pStyle w:val="8"/>
        <w:pageBreakBefore w:val="0"/>
        <w:kinsoku/>
        <w:wordWrap/>
        <w:overflowPunct/>
        <w:topLinePunct w:val="0"/>
        <w:bidi w:val="0"/>
        <w:spacing w:line="360" w:lineRule="auto"/>
        <w:textAlignment w:val="auto"/>
        <w:rPr>
          <w:rFonts w:hint="eastAsia"/>
          <w:color w:val="auto"/>
          <w:highlight w:val="none"/>
        </w:rPr>
      </w:pPr>
    </w:p>
    <w:p w14:paraId="5FF8F2E5">
      <w:pPr>
        <w:pageBreakBefore w:val="0"/>
        <w:kinsoku/>
        <w:wordWrap/>
        <w:overflowPunct/>
        <w:topLinePunct w:val="0"/>
        <w:bidi w:val="0"/>
        <w:spacing w:line="360" w:lineRule="auto"/>
        <w:textAlignment w:val="auto"/>
        <w:rPr>
          <w:rFonts w:hint="eastAsia" w:ascii="宋体" w:hAnsi="宋体" w:eastAsia="宋体" w:cs="宋体"/>
          <w:b/>
          <w:bCs/>
          <w:color w:val="auto"/>
          <w:spacing w:val="-20"/>
          <w:kern w:val="44"/>
          <w:sz w:val="24"/>
          <w:szCs w:val="24"/>
          <w:highlight w:val="none"/>
        </w:rPr>
      </w:pPr>
    </w:p>
    <w:p w14:paraId="2928AAB6">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rPr>
        <w:t>项目名称：</w:t>
      </w:r>
      <w:r>
        <w:rPr>
          <w:rFonts w:hint="eastAsia" w:ascii="宋体" w:hAnsi="宋体" w:eastAsia="宋体" w:cs="宋体"/>
          <w:color w:val="auto"/>
          <w:sz w:val="24"/>
          <w:szCs w:val="24"/>
          <w:highlight w:val="none"/>
          <w:u w:val="single"/>
        </w:rPr>
        <w:t xml:space="preserve">                             </w:t>
      </w:r>
    </w:p>
    <w:p w14:paraId="3D384426">
      <w:pPr>
        <w:pageBreakBefore w:val="0"/>
        <w:kinsoku/>
        <w:wordWrap/>
        <w:overflowPunct/>
        <w:topLinePunct w:val="0"/>
        <w:bidi w:val="0"/>
        <w:spacing w:line="360" w:lineRule="auto"/>
        <w:ind w:left="420" w:leftChars="200"/>
        <w:textAlignment w:val="auto"/>
        <w:rPr>
          <w:rFonts w:hint="eastAsia"/>
          <w:color w:val="auto"/>
          <w:highlight w:val="none"/>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0EA9484A">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合同编号：</w:t>
      </w:r>
      <w:r>
        <w:rPr>
          <w:rFonts w:hint="eastAsia" w:ascii="宋体" w:hAnsi="宋体" w:eastAsia="宋体" w:cs="宋体"/>
          <w:color w:val="auto"/>
          <w:sz w:val="24"/>
          <w:szCs w:val="24"/>
          <w:highlight w:val="none"/>
          <w:u w:val="single"/>
        </w:rPr>
        <w:t xml:space="preserve">                             </w:t>
      </w:r>
    </w:p>
    <w:p w14:paraId="15E1C78E">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rPr>
      </w:pPr>
      <w:r>
        <w:rPr>
          <w:rFonts w:hint="eastAsia" w:cs="Times New Roman" w:asciiTheme="minorEastAsia" w:hAnsiTheme="minorEastAsia" w:eastAsiaTheme="minorEastAsia"/>
          <w:color w:val="auto"/>
          <w:sz w:val="24"/>
          <w:szCs w:val="24"/>
          <w:highlight w:val="none"/>
        </w:rPr>
        <w:t>甲方（采购人）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41A86F36">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u w:val="single"/>
        </w:rPr>
      </w:pPr>
      <w:r>
        <w:rPr>
          <w:rFonts w:hint="eastAsia" w:cs="Times New Roman" w:asciiTheme="minorEastAsia" w:hAnsiTheme="minorEastAsia" w:eastAsiaTheme="minorEastAsia"/>
          <w:color w:val="auto"/>
          <w:sz w:val="24"/>
          <w:szCs w:val="24"/>
          <w:highlight w:val="none"/>
        </w:rPr>
        <w:t>乙方（中标人）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6A35D745">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签订时间：</w:t>
      </w:r>
      <w:r>
        <w:rPr>
          <w:rFonts w:hint="eastAsia" w:ascii="宋体" w:hAnsi="宋体" w:eastAsia="宋体" w:cs="宋体"/>
          <w:color w:val="auto"/>
          <w:sz w:val="24"/>
          <w:szCs w:val="24"/>
          <w:highlight w:val="none"/>
          <w:u w:val="single"/>
        </w:rPr>
        <w:t xml:space="preserve">                             </w:t>
      </w:r>
    </w:p>
    <w:p w14:paraId="2658675D">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p w14:paraId="0BC445AB">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7D9DFCF4">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auto"/>
          <w:sz w:val="24"/>
          <w:szCs w:val="20"/>
          <w:highlight w:val="none"/>
          <w:lang w:eastAsia="zh-CN"/>
        </w:rPr>
      </w:pPr>
      <w:r>
        <w:rPr>
          <w:rFonts w:hint="eastAsia" w:cs="@仿宋_GB2312" w:asciiTheme="minorEastAsia" w:hAnsiTheme="minorEastAsia" w:eastAsiaTheme="minorEastAsia"/>
          <w:b/>
          <w:color w:val="auto"/>
          <w:sz w:val="24"/>
          <w:szCs w:val="20"/>
          <w:highlight w:val="none"/>
          <w:lang w:eastAsia="zh-CN"/>
        </w:rPr>
        <w:t>使</w:t>
      </w:r>
      <w:r>
        <w:rPr>
          <w:rFonts w:hint="eastAsia" w:cs="@仿宋_GB2312" w:asciiTheme="minorEastAsia" w:hAnsiTheme="minorEastAsia" w:eastAsiaTheme="minorEastAsia"/>
          <w:b/>
          <w:color w:val="auto"/>
          <w:sz w:val="24"/>
          <w:szCs w:val="20"/>
          <w:highlight w:val="none"/>
          <w:lang w:val="en-US" w:eastAsia="zh-CN"/>
        </w:rPr>
        <w:t xml:space="preserve"> </w:t>
      </w:r>
      <w:r>
        <w:rPr>
          <w:rFonts w:hint="eastAsia" w:cs="@仿宋_GB2312" w:asciiTheme="minorEastAsia" w:hAnsiTheme="minorEastAsia" w:eastAsiaTheme="minorEastAsia"/>
          <w:b/>
          <w:color w:val="auto"/>
          <w:sz w:val="24"/>
          <w:szCs w:val="20"/>
          <w:highlight w:val="none"/>
          <w:lang w:eastAsia="zh-CN"/>
        </w:rPr>
        <w:t>用</w:t>
      </w:r>
      <w:r>
        <w:rPr>
          <w:rFonts w:hint="eastAsia" w:cs="@仿宋_GB2312" w:asciiTheme="minorEastAsia" w:hAnsiTheme="minorEastAsia" w:eastAsiaTheme="minorEastAsia"/>
          <w:b/>
          <w:color w:val="auto"/>
          <w:sz w:val="24"/>
          <w:szCs w:val="20"/>
          <w:highlight w:val="none"/>
          <w:lang w:val="en-US" w:eastAsia="zh-CN"/>
        </w:rPr>
        <w:t xml:space="preserve"> </w:t>
      </w:r>
      <w:r>
        <w:rPr>
          <w:rFonts w:hint="eastAsia" w:cs="@仿宋_GB2312" w:asciiTheme="minorEastAsia" w:hAnsiTheme="minorEastAsia" w:eastAsiaTheme="minorEastAsia"/>
          <w:b/>
          <w:color w:val="auto"/>
          <w:sz w:val="24"/>
          <w:szCs w:val="20"/>
          <w:highlight w:val="none"/>
          <w:lang w:eastAsia="zh-CN"/>
        </w:rPr>
        <w:t>说</w:t>
      </w:r>
      <w:r>
        <w:rPr>
          <w:rFonts w:hint="eastAsia" w:cs="@仿宋_GB2312" w:asciiTheme="minorEastAsia" w:hAnsiTheme="minorEastAsia" w:eastAsiaTheme="minorEastAsia"/>
          <w:b/>
          <w:color w:val="auto"/>
          <w:sz w:val="24"/>
          <w:szCs w:val="20"/>
          <w:highlight w:val="none"/>
          <w:lang w:val="en-US" w:eastAsia="zh-CN"/>
        </w:rPr>
        <w:t xml:space="preserve"> </w:t>
      </w:r>
      <w:r>
        <w:rPr>
          <w:rFonts w:hint="eastAsia" w:cs="@仿宋_GB2312" w:asciiTheme="minorEastAsia" w:hAnsiTheme="minorEastAsia" w:eastAsiaTheme="minorEastAsia"/>
          <w:b/>
          <w:color w:val="auto"/>
          <w:sz w:val="24"/>
          <w:szCs w:val="20"/>
          <w:highlight w:val="none"/>
          <w:lang w:eastAsia="zh-CN"/>
        </w:rPr>
        <w:t>明</w:t>
      </w:r>
    </w:p>
    <w:p w14:paraId="13898A2B">
      <w:pPr>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p>
    <w:p w14:paraId="7A9A0C8F">
      <w:pPr>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1.本合同标准文本适用于购买现成货物的采购项目，不包括需要供应商定制开发、创新研发的货物采购项目。</w:t>
      </w:r>
    </w:p>
    <w:p w14:paraId="5DD6D63A">
      <w:pPr>
        <w:pageBreakBefore w:val="0"/>
        <w:kinsoku/>
        <w:wordWrap/>
        <w:overflowPunct/>
        <w:topLinePunct w:val="0"/>
        <w:bidi w:val="0"/>
        <w:spacing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2.本合同标准文本为采购货物买卖合同编制提供参考，可以结合采购项目具体情况，对文本作必要的调整修订后使用。</w:t>
      </w:r>
    </w:p>
    <w:p w14:paraId="5C459E30">
      <w:pPr>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3.本合同标准文本各条款中，如涉及填写多家供应商、制造商，多种采购标的、分包主要内容等信息的，可根据采购项目具体情况添加信息项。</w:t>
      </w:r>
    </w:p>
    <w:p w14:paraId="1A1458FD">
      <w:pPr>
        <w:pageBreakBefore w:val="0"/>
        <w:kinsoku/>
        <w:wordWrap/>
        <w:overflowPunct/>
        <w:topLinePunct w:val="0"/>
        <w:bidi w:val="0"/>
        <w:spacing w:line="360" w:lineRule="auto"/>
        <w:ind w:firstLine="480" w:firstLineChars="200"/>
        <w:jc w:val="both"/>
        <w:textAlignment w:val="auto"/>
        <w:rPr>
          <w:rFonts w:hint="eastAsia" w:ascii="宋体" w:hAnsi="宋体" w:eastAsia="宋体" w:cs="宋体"/>
          <w:color w:val="auto"/>
          <w:sz w:val="24"/>
          <w:szCs w:val="24"/>
          <w:highlight w:val="none"/>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6AC82267">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auto"/>
          <w:sz w:val="24"/>
          <w:szCs w:val="20"/>
          <w:highlight w:val="none"/>
        </w:rPr>
      </w:pPr>
      <w:bookmarkStart w:id="47" w:name="_Toc22209"/>
      <w:r>
        <w:rPr>
          <w:rFonts w:hint="eastAsia" w:cs="@仿宋_GB2312" w:asciiTheme="minorEastAsia" w:hAnsiTheme="minorEastAsia" w:eastAsiaTheme="minorEastAsia"/>
          <w:b/>
          <w:color w:val="auto"/>
          <w:sz w:val="24"/>
          <w:szCs w:val="20"/>
          <w:highlight w:val="none"/>
        </w:rPr>
        <w:t>第一节 采购合同协议书</w:t>
      </w:r>
      <w:bookmarkEnd w:id="47"/>
    </w:p>
    <w:p w14:paraId="6249A378">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rPr>
      </w:pPr>
    </w:p>
    <w:p w14:paraId="64F2B1E8">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甲方（全称）：</w:t>
      </w:r>
      <w:r>
        <w:rPr>
          <w:rFonts w:hint="eastAsia" w:ascii="宋体" w:hAnsi="宋体" w:eastAsia="宋体" w:cs="宋体"/>
          <w:color w:val="auto"/>
          <w:sz w:val="24"/>
          <w:szCs w:val="24"/>
          <w:highlight w:val="none"/>
          <w:u w:val="single"/>
        </w:rPr>
        <w:t xml:space="preserve">                        </w:t>
      </w:r>
    </w:p>
    <w:p w14:paraId="3D76E6B6">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乙方（全称）：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p>
    <w:p w14:paraId="55DF6642">
      <w:pPr>
        <w:pStyle w:val="9"/>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依据《中华人民共和国民法典》等有关的法律法规，以及</w:t>
      </w:r>
      <w:r>
        <w:rPr>
          <w:rFonts w:hint="eastAsia" w:ascii="宋体" w:hAnsi="宋体" w:eastAsia="宋体" w:cs="宋体"/>
          <w:i w:val="0"/>
          <w:iCs w:val="0"/>
          <w:color w:val="auto"/>
          <w:sz w:val="24"/>
          <w:szCs w:val="24"/>
          <w:highlight w:val="none"/>
          <w:u w:val="none"/>
          <w:lang w:eastAsia="zh-CN"/>
        </w:rPr>
        <w:t>本采购项目</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招标</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lang w:eastAsia="zh-CN"/>
        </w:rPr>
        <w:t>文件等</w:t>
      </w:r>
      <w:r>
        <w:rPr>
          <w:rFonts w:hint="eastAsia" w:ascii="宋体" w:hAnsi="宋体" w:eastAsia="宋体" w:cs="宋体"/>
          <w:color w:val="auto"/>
          <w:sz w:val="24"/>
          <w:szCs w:val="24"/>
          <w:highlight w:val="none"/>
        </w:rPr>
        <w:t>采购文件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乙方的《投标（响应）文件》及《中标（成交）通知书》，甲乙双方同意签订本合同。具体情况及要求如下：     </w:t>
      </w:r>
    </w:p>
    <w:p w14:paraId="0192DD0E">
      <w:pPr>
        <w:pageBreakBefore w:val="0"/>
        <w:numPr>
          <w:ilvl w:val="0"/>
          <w:numId w:val="2"/>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项目信息</w:t>
      </w:r>
    </w:p>
    <w:p w14:paraId="7E8DA577">
      <w:pPr>
        <w:pStyle w:val="9"/>
        <w:pageBreakBefore w:val="0"/>
        <w:numPr>
          <w:ilvl w:val="0"/>
          <w:numId w:val="3"/>
        </w:numPr>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采购项目名称：</w:t>
      </w:r>
      <w:r>
        <w:rPr>
          <w:rFonts w:hint="eastAsia" w:ascii="宋体" w:hAnsi="宋体" w:eastAsia="宋体" w:cs="宋体"/>
          <w:color w:val="auto"/>
          <w:sz w:val="24"/>
          <w:szCs w:val="24"/>
          <w:highlight w:val="none"/>
          <w:u w:val="single"/>
        </w:rPr>
        <w:t xml:space="preserve">                                          </w:t>
      </w:r>
    </w:p>
    <w:p w14:paraId="54CE0EFE">
      <w:pPr>
        <w:pStyle w:val="9"/>
        <w:pageBreakBefore w:val="0"/>
        <w:numPr>
          <w:ilvl w:val="-1"/>
          <w:numId w:val="0"/>
        </w:numPr>
        <w:tabs>
          <w:tab w:val="left" w:pos="999"/>
        </w:tabs>
        <w:kinsoku/>
        <w:wordWrap/>
        <w:overflowPunct/>
        <w:topLinePunct w:val="0"/>
        <w:bidi w:val="0"/>
        <w:adjustRightInd w:val="0"/>
        <w:snapToGrid w:val="0"/>
        <w:spacing w:before="0" w:beforeLines="0" w:after="0" w:line="360" w:lineRule="auto"/>
        <w:ind w:left="0" w:leftChars="0" w:firstLine="0" w:firstLineChars="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 xml:space="preserve">         采购项目编号：</w:t>
      </w:r>
      <w:r>
        <w:rPr>
          <w:rFonts w:hint="eastAsia" w:ascii="宋体" w:hAnsi="宋体" w:eastAsia="宋体" w:cs="宋体"/>
          <w:color w:val="auto"/>
          <w:sz w:val="24"/>
          <w:szCs w:val="24"/>
          <w:highlight w:val="none"/>
          <w:u w:val="single"/>
        </w:rPr>
        <w:t xml:space="preserve">                                          </w:t>
      </w:r>
    </w:p>
    <w:p w14:paraId="1B652F2C">
      <w:pPr>
        <w:pStyle w:val="9"/>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（2）采购计划编号：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3AC8045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（3）项目内容：</w:t>
      </w:r>
    </w:p>
    <w:p w14:paraId="119109A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采购标的及数量</w:t>
      </w:r>
      <w:r>
        <w:rPr>
          <w:rFonts w:hint="eastAsia" w:ascii="宋体" w:hAnsi="宋体" w:eastAsia="宋体" w:cs="宋体"/>
          <w:color w:val="auto"/>
          <w:sz w:val="24"/>
          <w:szCs w:val="24"/>
          <w:highlight w:val="none"/>
          <w:lang w:val="en-US" w:eastAsia="zh-CN"/>
        </w:rPr>
        <w:t>（台/套</w:t>
      </w:r>
      <w:r>
        <w:rPr>
          <w:rFonts w:hint="eastAsia" w:ascii="宋体" w:hAnsi="宋体" w:eastAsia="宋体" w:cs="宋体"/>
          <w:color w:val="auto"/>
          <w:sz w:val="24"/>
          <w:szCs w:val="24"/>
          <w:highlight w:val="none"/>
          <w:lang w:val="en" w:eastAsia="zh-CN"/>
        </w:rPr>
        <w:t>/个/架/组等</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7E199F5F">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val="en" w:eastAsia="zh-CN"/>
        </w:rPr>
      </w:pP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品牌：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 w:eastAsia="zh-CN"/>
        </w:rPr>
        <w:t xml:space="preserve">     </w:t>
      </w:r>
      <w:r>
        <w:rPr>
          <w:rFonts w:hint="eastAsia" w:ascii="宋体" w:hAnsi="宋体" w:eastAsia="宋体" w:cs="宋体"/>
          <w:color w:val="auto"/>
          <w:sz w:val="24"/>
          <w:szCs w:val="24"/>
          <w:highlight w:val="none"/>
          <w:lang w:val="en-US" w:eastAsia="zh-CN"/>
        </w:rPr>
        <w:t>规格型号：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p>
    <w:p w14:paraId="5885EAC9">
      <w:pPr>
        <w:pageBreakBefore w:val="0"/>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lang w:val="en-US" w:eastAsia="zh-CN"/>
        </w:rPr>
        <w:t>采购标的的技术要求、商务要求具体见附件。</w:t>
      </w:r>
    </w:p>
    <w:p w14:paraId="5E2884D3">
      <w:pPr>
        <w:pStyle w:val="59"/>
        <w:pageBreakBefore w:val="0"/>
        <w:numPr>
          <w:ilvl w:val="-1"/>
          <w:numId w:val="0"/>
        </w:numPr>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iCs w:val="0"/>
          <w:color w:val="auto"/>
          <w:sz w:val="24"/>
          <w:szCs w:val="24"/>
          <w:highlight w:val="none"/>
          <w:lang w:val="en-US" w:eastAsia="zh-CN"/>
        </w:rPr>
      </w:pP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lang w:val="en" w:eastAsia="zh-CN"/>
        </w:rPr>
        <w:t>4</w:t>
      </w:r>
      <w:r>
        <w:rPr>
          <w:rFonts w:hint="eastAsia" w:ascii="宋体" w:hAnsi="宋体" w:eastAsia="宋体" w:cs="宋体"/>
          <w:iCs w:val="0"/>
          <w:color w:val="auto"/>
          <w:sz w:val="24"/>
          <w:szCs w:val="24"/>
          <w:highlight w:val="none"/>
          <w:lang w:val="en-US" w:eastAsia="zh-CN"/>
        </w:rPr>
        <w:t>）采购组织形式：</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val="en-US" w:eastAsia="zh-CN"/>
        </w:rPr>
        <w:t>分散采购</w:t>
      </w:r>
    </w:p>
    <w:p w14:paraId="06B93630">
      <w:pPr>
        <w:pStyle w:val="59"/>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iCs w:val="0"/>
          <w:color w:val="auto"/>
          <w:sz w:val="24"/>
          <w:szCs w:val="24"/>
          <w:highlight w:val="none"/>
          <w:lang w:eastAsia="zh-CN"/>
        </w:rPr>
      </w:pPr>
      <w:r>
        <w:rPr>
          <w:rFonts w:hint="eastAsia" w:ascii="宋体" w:hAnsi="宋体" w:eastAsia="宋体" w:cs="宋体"/>
          <w:iCs w:val="0"/>
          <w:color w:val="auto"/>
          <w:sz w:val="24"/>
          <w:szCs w:val="24"/>
          <w:highlight w:val="none"/>
          <w:lang w:val="en-US" w:eastAsia="zh-CN"/>
        </w:rPr>
        <w:t>（</w:t>
      </w:r>
      <w:r>
        <w:rPr>
          <w:rFonts w:hint="eastAsia" w:ascii="宋体" w:hAnsi="宋体" w:eastAsia="宋体" w:cs="宋体"/>
          <w:iCs w:val="0"/>
          <w:color w:val="auto"/>
          <w:sz w:val="24"/>
          <w:szCs w:val="24"/>
          <w:highlight w:val="none"/>
          <w:lang w:val="en" w:eastAsia="zh-CN"/>
        </w:rPr>
        <w:t>5</w:t>
      </w:r>
      <w:r>
        <w:rPr>
          <w:rFonts w:hint="eastAsia" w:ascii="宋体" w:hAnsi="宋体" w:eastAsia="宋体" w:cs="宋体"/>
          <w:iCs w:val="0"/>
          <w:color w:val="auto"/>
          <w:sz w:val="24"/>
          <w:szCs w:val="24"/>
          <w:highlight w:val="none"/>
          <w:lang w:val="en-US" w:eastAsia="zh-CN"/>
        </w:rPr>
        <w:t>）采购方式：</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公开招标</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邀请招标</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竞争性谈判</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竞争性磋商</w:t>
      </w:r>
    </w:p>
    <w:p w14:paraId="2C1BF4DA">
      <w:pPr>
        <w:pStyle w:val="59"/>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color w:val="auto"/>
          <w:sz w:val="24"/>
          <w:szCs w:val="24"/>
          <w:highlight w:val="none"/>
          <w:u w:val="single"/>
          <w:lang w:val="en-US" w:eastAsia="zh-CN"/>
        </w:rPr>
      </w:pP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询价</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单一来源</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框架协议</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其他：</w:t>
      </w:r>
      <w:r>
        <w:rPr>
          <w:rFonts w:hint="eastAsia" w:ascii="宋体" w:hAnsi="宋体" w:eastAsia="宋体" w:cs="宋体"/>
          <w:iCs w:val="0"/>
          <w:color w:val="auto"/>
          <w:sz w:val="24"/>
          <w:szCs w:val="24"/>
          <w:highlight w:val="none"/>
          <w:u w:val="single"/>
          <w:lang w:val="en-US" w:eastAsia="zh-CN"/>
        </w:rPr>
        <w:t xml:space="preserve">          </w:t>
      </w:r>
    </w:p>
    <w:p w14:paraId="4199C56E">
      <w:pPr>
        <w:pageBreakBefore w:val="0"/>
        <w:numPr>
          <w:ilvl w:val="0"/>
          <w:numId w:val="2"/>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合同金额</w:t>
      </w:r>
    </w:p>
    <w:p w14:paraId="2525E54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（1）合同金额小写：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2D04DBA8">
      <w:pPr>
        <w:pageBreakBefore w:val="0"/>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2CBEEA8B">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分包金额</w:t>
      </w:r>
      <w:r>
        <w:rPr>
          <w:rFonts w:hint="eastAsia" w:ascii="宋体" w:hAnsi="宋体" w:eastAsia="宋体" w:cs="宋体"/>
          <w:color w:val="auto"/>
          <w:sz w:val="24"/>
          <w:szCs w:val="24"/>
          <w:highlight w:val="none"/>
          <w:lang w:eastAsia="zh-CN"/>
        </w:rPr>
        <w:t>（如有）</w:t>
      </w:r>
      <w:r>
        <w:rPr>
          <w:rFonts w:hint="eastAsia" w:ascii="宋体" w:hAnsi="宋体" w:eastAsia="宋体" w:cs="宋体"/>
          <w:color w:val="auto"/>
          <w:sz w:val="24"/>
          <w:szCs w:val="24"/>
          <w:highlight w:val="none"/>
        </w:rPr>
        <w:t>小写：</w:t>
      </w:r>
      <w:r>
        <w:rPr>
          <w:rFonts w:hint="eastAsia" w:ascii="宋体" w:hAnsi="宋体" w:eastAsia="宋体" w:cs="宋体"/>
          <w:color w:val="auto"/>
          <w:sz w:val="24"/>
          <w:szCs w:val="24"/>
          <w:highlight w:val="none"/>
          <w:u w:val="single"/>
        </w:rPr>
        <w:t xml:space="preserve">                   </w:t>
      </w:r>
    </w:p>
    <w:p w14:paraId="51AEFC43">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1B150E9E">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（注：固定单价合同应填写单价和最高限价）</w:t>
      </w:r>
    </w:p>
    <w:p w14:paraId="6ACDB8AC">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合同定价方式</w:t>
      </w:r>
      <w:r>
        <w:rPr>
          <w:rFonts w:hint="eastAsia" w:ascii="宋体" w:hAnsi="宋体" w:eastAsia="宋体" w:cs="宋体"/>
          <w:color w:val="auto"/>
          <w:sz w:val="24"/>
          <w:szCs w:val="24"/>
          <w:highlight w:val="none"/>
          <w:lang w:eastAsia="zh-CN"/>
        </w:rPr>
        <w:t>（采用组合定价方式的，可以勾选多项）</w:t>
      </w:r>
      <w:r>
        <w:rPr>
          <w:rFonts w:hint="eastAsia" w:ascii="宋体" w:hAnsi="宋体" w:eastAsia="宋体" w:cs="宋体"/>
          <w:color w:val="auto"/>
          <w:sz w:val="24"/>
          <w:szCs w:val="24"/>
          <w:highlight w:val="none"/>
        </w:rPr>
        <w:t>：</w:t>
      </w:r>
    </w:p>
    <w:p w14:paraId="4522CF5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固定总价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固定单价</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固定费率</w:t>
      </w:r>
      <w:r>
        <w:rPr>
          <w:rFonts w:hint="eastAsia" w:ascii="宋体" w:hAnsi="宋体" w:eastAsia="宋体" w:cs="宋体"/>
          <w:iCs/>
          <w:color w:val="auto"/>
          <w:sz w:val="24"/>
          <w:szCs w:val="24"/>
          <w:highlight w:val="none"/>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成本补偿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绩效激励</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其他</w:t>
      </w:r>
      <w:r>
        <w:rPr>
          <w:rFonts w:hint="eastAsia" w:ascii="宋体" w:hAnsi="宋体" w:eastAsia="宋体" w:cs="宋体"/>
          <w:color w:val="auto"/>
          <w:sz w:val="24"/>
          <w:szCs w:val="24"/>
          <w:highlight w:val="none"/>
          <w:u w:val="single"/>
        </w:rPr>
        <w:t xml:space="preserve">       </w:t>
      </w:r>
    </w:p>
    <w:p w14:paraId="368A12BA">
      <w:pPr>
        <w:pStyle w:val="60"/>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）付款方式（按项目实际勾选填写）：</w:t>
      </w:r>
    </w:p>
    <w:p w14:paraId="3770A1FC">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全额付款：</w:t>
      </w:r>
      <w:r>
        <w:rPr>
          <w:rFonts w:hint="eastAsia" w:ascii="宋体" w:hAnsi="宋体" w:eastAsia="宋体" w:cs="宋体"/>
          <w:color w:val="auto"/>
          <w:sz w:val="24"/>
          <w:szCs w:val="24"/>
          <w:highlight w:val="none"/>
          <w:u w:val="single"/>
        </w:rPr>
        <w:t xml:space="preserve">     （应</w:t>
      </w:r>
      <w:r>
        <w:rPr>
          <w:rFonts w:hint="eastAsia" w:ascii="宋体" w:hAnsi="宋体" w:eastAsia="宋体" w:cs="宋体"/>
          <w:color w:val="auto"/>
          <w:sz w:val="24"/>
          <w:szCs w:val="24"/>
          <w:highlight w:val="none"/>
          <w:u w:val="single"/>
          <w:lang w:eastAsia="zh-CN"/>
        </w:rPr>
        <w:t>明确</w:t>
      </w:r>
      <w:r>
        <w:rPr>
          <w:rFonts w:hint="eastAsia" w:ascii="宋体" w:hAnsi="宋体" w:eastAsia="宋体" w:cs="宋体"/>
          <w:color w:val="auto"/>
          <w:sz w:val="24"/>
          <w:szCs w:val="24"/>
          <w:highlight w:val="none"/>
          <w:u w:val="single"/>
        </w:rPr>
        <w:t>一次性支付合同款项</w:t>
      </w:r>
      <w:r>
        <w:rPr>
          <w:rFonts w:hint="eastAsia" w:ascii="宋体" w:hAnsi="宋体" w:eastAsia="宋体" w:cs="宋体"/>
          <w:color w:val="auto"/>
          <w:sz w:val="24"/>
          <w:szCs w:val="24"/>
          <w:highlight w:val="none"/>
          <w:u w:val="single"/>
          <w:lang w:eastAsia="zh-CN"/>
        </w:rPr>
        <w:t>的条件</w:t>
      </w:r>
      <w:r>
        <w:rPr>
          <w:rFonts w:hint="eastAsia" w:ascii="宋体" w:hAnsi="宋体" w:eastAsia="宋体" w:cs="宋体"/>
          <w:color w:val="auto"/>
          <w:sz w:val="24"/>
          <w:szCs w:val="24"/>
          <w:highlight w:val="none"/>
          <w:u w:val="single"/>
        </w:rPr>
        <w:t xml:space="preserve">）                    </w:t>
      </w:r>
    </w:p>
    <w:p w14:paraId="4939359A">
      <w:pPr>
        <w:pageBreakBefore w:val="0"/>
        <w:kinsoku/>
        <w:wordWrap/>
        <w:overflowPunct/>
        <w:topLinePunct w:val="0"/>
        <w:bidi w:val="0"/>
        <w:snapToGrid w:val="0"/>
        <w:spacing w:beforeLines="0" w:line="360"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分期付款：</w:t>
      </w:r>
      <w:r>
        <w:rPr>
          <w:rFonts w:hint="eastAsia" w:ascii="宋体" w:hAnsi="宋体" w:eastAsia="宋体" w:cs="宋体"/>
          <w:color w:val="auto"/>
          <w:sz w:val="24"/>
          <w:szCs w:val="24"/>
          <w:highlight w:val="none"/>
          <w:u w:val="single"/>
        </w:rPr>
        <w:t xml:space="preserve">  （应明确分期支付合同款项的各期比例和支付条件</w:t>
      </w:r>
      <w:r>
        <w:rPr>
          <w:rFonts w:hint="eastAsia" w:ascii="宋体" w:hAnsi="宋体" w:eastAsia="宋体" w:cs="宋体"/>
          <w:color w:val="auto"/>
          <w:sz w:val="24"/>
          <w:szCs w:val="24"/>
          <w:highlight w:val="none"/>
          <w:u w:val="single"/>
          <w:lang w:eastAsia="zh-CN"/>
        </w:rPr>
        <w:t>，各期支付条件应与分期履约验收情况挂钩</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lang w:eastAsia="zh-CN"/>
        </w:rPr>
        <w:t>其中涉及预付款的</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（应明确预付款的支付比例和支付条件） </w:t>
      </w:r>
    </w:p>
    <w:p w14:paraId="5B69929F">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成本补偿：</w:t>
      </w:r>
      <w:r>
        <w:rPr>
          <w:rFonts w:hint="eastAsia" w:ascii="宋体" w:hAnsi="宋体" w:eastAsia="宋体" w:cs="宋体"/>
          <w:color w:val="auto"/>
          <w:sz w:val="24"/>
          <w:szCs w:val="24"/>
          <w:highlight w:val="none"/>
          <w:u w:val="single"/>
        </w:rPr>
        <w:t xml:space="preserve">      （应明确按照成本补偿方式的支付方式和支付条件）   </w:t>
      </w:r>
    </w:p>
    <w:p w14:paraId="05F2D4EA">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绩效激励：</w:t>
      </w:r>
      <w:r>
        <w:rPr>
          <w:rFonts w:hint="eastAsia" w:ascii="宋体" w:hAnsi="宋体" w:eastAsia="宋体" w:cs="宋体"/>
          <w:color w:val="auto"/>
          <w:sz w:val="24"/>
          <w:szCs w:val="24"/>
          <w:highlight w:val="none"/>
          <w:u w:val="single"/>
        </w:rPr>
        <w:t xml:space="preserve">      （应明确按照绩效激励方式的支付方式和支付条件）   </w:t>
      </w:r>
    </w:p>
    <w:p w14:paraId="1D5AC2A2">
      <w:pPr>
        <w:pageBreakBefore w:val="0"/>
        <w:numPr>
          <w:ilvl w:val="0"/>
          <w:numId w:val="2"/>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bCs w:val="0"/>
          <w:color w:val="auto"/>
          <w:sz w:val="24"/>
          <w:szCs w:val="24"/>
          <w:highlight w:val="none"/>
          <w:u w:val="single"/>
        </w:rPr>
      </w:pPr>
      <w:r>
        <w:rPr>
          <w:rFonts w:hint="eastAsia" w:ascii="宋体" w:hAnsi="宋体" w:eastAsia="宋体" w:cs="宋体"/>
          <w:b/>
          <w:bCs w:val="0"/>
          <w:color w:val="auto"/>
          <w:sz w:val="24"/>
          <w:szCs w:val="24"/>
          <w:highlight w:val="none"/>
        </w:rPr>
        <w:t>合同履行</w:t>
      </w:r>
    </w:p>
    <w:p w14:paraId="20A4374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（1）起始日期：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日，完成日期：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76CD59A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履约</w:t>
      </w:r>
      <w:r>
        <w:rPr>
          <w:rFonts w:hint="eastAsia" w:ascii="宋体" w:hAnsi="宋体" w:eastAsia="宋体" w:cs="宋体"/>
          <w:color w:val="auto"/>
          <w:sz w:val="24"/>
          <w:szCs w:val="24"/>
          <w:highlight w:val="none"/>
        </w:rPr>
        <w:t>地点</w:t>
      </w:r>
      <w:r>
        <w:rPr>
          <w:rFonts w:hint="eastAsia" w:ascii="宋体" w:hAnsi="宋体" w:eastAsia="宋体" w:cs="宋体"/>
          <w:b w:val="0"/>
          <w:bCs/>
          <w:color w:val="auto"/>
          <w:sz w:val="24"/>
          <w:szCs w:val="24"/>
          <w:highlight w:val="none"/>
        </w:rPr>
        <w:t>：</w:t>
      </w:r>
      <w:r>
        <w:rPr>
          <w:rFonts w:hint="eastAsia" w:ascii="宋体" w:hAnsi="宋体" w:eastAsia="宋体" w:cs="宋体"/>
          <w:color w:val="auto"/>
          <w:sz w:val="24"/>
          <w:szCs w:val="24"/>
          <w:highlight w:val="none"/>
          <w:u w:val="single"/>
        </w:rPr>
        <w:t xml:space="preserve">                             </w:t>
      </w:r>
    </w:p>
    <w:p w14:paraId="0FED1C4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rPr>
        <w:t>（3）履约担保：</w:t>
      </w:r>
      <w:r>
        <w:rPr>
          <w:rFonts w:hint="eastAsia" w:ascii="宋体" w:hAnsi="宋体" w:eastAsia="宋体" w:cs="宋体"/>
          <w:color w:val="auto"/>
          <w:sz w:val="24"/>
          <w:szCs w:val="24"/>
          <w:highlight w:val="none"/>
          <w:lang w:val="en-US" w:eastAsia="zh-CN"/>
        </w:rPr>
        <w:t>是否收取履约保证金：</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lang w:eastAsia="zh-CN"/>
        </w:rPr>
        <w:t>是</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lang w:eastAsia="zh-CN"/>
        </w:rPr>
        <w:t>否</w:t>
      </w:r>
    </w:p>
    <w:p w14:paraId="52CF0434">
      <w:pPr>
        <w:pStyle w:val="59"/>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 xml:space="preserve">  收取履约保证金形式：</w:t>
      </w:r>
      <w:r>
        <w:rPr>
          <w:rFonts w:hint="eastAsia" w:ascii="宋体" w:hAnsi="宋体" w:eastAsia="宋体" w:cs="宋体"/>
          <w:bCs/>
          <w:color w:val="auto"/>
          <w:sz w:val="24"/>
          <w:szCs w:val="24"/>
          <w:highlight w:val="none"/>
          <w:u w:val="single"/>
        </w:rPr>
        <w:t xml:space="preserve">                            </w:t>
      </w:r>
    </w:p>
    <w:p w14:paraId="7276231C">
      <w:pPr>
        <w:pStyle w:val="59"/>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收取履约保证金金额：</w:t>
      </w:r>
      <w:r>
        <w:rPr>
          <w:rFonts w:hint="eastAsia" w:ascii="宋体" w:hAnsi="宋体" w:eastAsia="宋体" w:cs="宋体"/>
          <w:bCs/>
          <w:color w:val="auto"/>
          <w:sz w:val="24"/>
          <w:szCs w:val="24"/>
          <w:highlight w:val="none"/>
          <w:u w:val="single"/>
        </w:rPr>
        <w:t xml:space="preserve">                            </w:t>
      </w:r>
    </w:p>
    <w:p w14:paraId="43326420">
      <w:pPr>
        <w:pageBreakBefore w:val="0"/>
        <w:kinsoku/>
        <w:wordWrap/>
        <w:overflowPunct/>
        <w:topLinePunct w:val="0"/>
        <w:bidi w:val="0"/>
        <w:snapToGrid w:val="0"/>
        <w:spacing w:before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u w:val="none"/>
          <w:lang w:val="en-US" w:eastAsia="zh-CN"/>
        </w:rPr>
        <w:t xml:space="preserve">    履约担保期限</w:t>
      </w:r>
      <w:r>
        <w:rPr>
          <w:rFonts w:hint="eastAsia" w:ascii="宋体" w:hAnsi="宋体" w:eastAsia="宋体" w:cs="宋体"/>
          <w:bCs/>
          <w:color w:val="auto"/>
          <w:sz w:val="24"/>
          <w:szCs w:val="24"/>
          <w:highlight w:val="none"/>
          <w:u w:val="none"/>
          <w:lang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p>
    <w:p w14:paraId="04ABA76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（4）分期履行要求：</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p>
    <w:p w14:paraId="34CEDE8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（5）</w:t>
      </w:r>
      <w:r>
        <w:rPr>
          <w:rFonts w:hint="eastAsia" w:ascii="宋体" w:hAnsi="宋体" w:eastAsia="宋体" w:cs="宋体"/>
          <w:bCs/>
          <w:color w:val="auto"/>
          <w:sz w:val="24"/>
          <w:szCs w:val="24"/>
          <w:highlight w:val="none"/>
          <w:lang w:eastAsia="zh-CN"/>
        </w:rPr>
        <w:t>风险处置措施和替代方案</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u w:val="single"/>
        </w:rPr>
        <w:t xml:space="preserve">                                                               </w:t>
      </w:r>
    </w:p>
    <w:p w14:paraId="21431EF6">
      <w:pPr>
        <w:pageBreakBefore w:val="0"/>
        <w:numPr>
          <w:ilvl w:val="0"/>
          <w:numId w:val="2"/>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合同验收</w:t>
      </w:r>
    </w:p>
    <w:p w14:paraId="7AC62BB9">
      <w:pPr>
        <w:pageBreakBefore w:val="0"/>
        <w:numPr>
          <w:ilvl w:val="0"/>
          <w:numId w:val="4"/>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验收组织方式：</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自行组织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委托第三方组织</w:t>
      </w:r>
    </w:p>
    <w:p w14:paraId="4204E435">
      <w:pPr>
        <w:pageBreakBefore w:val="0"/>
        <w:numPr>
          <w:ilvl w:val="0"/>
          <w:numId w:val="0"/>
        </w:numPr>
        <w:kinsoku/>
        <w:wordWrap/>
        <w:overflowPunct/>
        <w:topLinePunct w:val="0"/>
        <w:bidi w:val="0"/>
        <w:adjustRightInd w:val="0"/>
        <w:snapToGrid w:val="0"/>
        <w:spacing w:before="0" w:beforeLines="0"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验收主体：</w:t>
      </w:r>
      <w:r>
        <w:rPr>
          <w:rFonts w:hint="eastAsia" w:ascii="宋体" w:hAnsi="宋体" w:eastAsia="宋体" w:cs="宋体"/>
          <w:bCs/>
          <w:color w:val="auto"/>
          <w:sz w:val="24"/>
          <w:szCs w:val="24"/>
          <w:highlight w:val="none"/>
          <w:u w:val="single"/>
        </w:rPr>
        <w:t xml:space="preserve">                  </w:t>
      </w:r>
    </w:p>
    <w:p w14:paraId="618473A9">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是否邀请本项目的其他供应商</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51F8CCE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是否邀请专家</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606F0D35">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是否邀请服务对象</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4AE18EB5">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是否邀请第三方检测机构</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174F6C09">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是否进行抽查检测：</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是</w:t>
      </w:r>
      <w:r>
        <w:rPr>
          <w:rFonts w:hint="eastAsia" w:ascii="宋体" w:hAnsi="宋体" w:eastAsia="宋体" w:cs="宋体"/>
          <w:bCs/>
          <w:color w:val="auto"/>
          <w:sz w:val="24"/>
          <w:szCs w:val="24"/>
          <w:highlight w:val="none"/>
          <w:lang w:eastAsia="zh-CN"/>
        </w:rPr>
        <w:t>，抽查比例：</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00FA2CBA">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lang w:val="en-US" w:eastAsia="zh-CN"/>
        </w:rPr>
        <w:t>是否存在破坏性检测：</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是</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u w:val="single"/>
          <w:lang w:eastAsia="zh-CN"/>
        </w:rPr>
        <w:t>（应明确对被破坏的检测产品的处理方式）</w:t>
      </w:r>
    </w:p>
    <w:p w14:paraId="1D738EA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62062968">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验收组织的其他事项：</w:t>
      </w:r>
      <w:r>
        <w:rPr>
          <w:rFonts w:hint="eastAsia" w:ascii="宋体" w:hAnsi="宋体" w:eastAsia="宋体" w:cs="宋体"/>
          <w:bCs/>
          <w:color w:val="auto"/>
          <w:sz w:val="24"/>
          <w:szCs w:val="24"/>
          <w:highlight w:val="none"/>
          <w:u w:val="single"/>
        </w:rPr>
        <w:t xml:space="preserve">                </w:t>
      </w:r>
    </w:p>
    <w:p w14:paraId="66FACEF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（2）履约验收时间：</w:t>
      </w:r>
      <w:r>
        <w:rPr>
          <w:rFonts w:hint="eastAsia" w:ascii="宋体" w:hAnsi="宋体" w:eastAsia="宋体" w:cs="宋体"/>
          <w:bCs/>
          <w:color w:val="auto"/>
          <w:sz w:val="24"/>
          <w:szCs w:val="24"/>
          <w:highlight w:val="none"/>
          <w:u w:val="single"/>
        </w:rPr>
        <w:t>（计划于何时验收/供应商提出验收申请之日起   日内组织验收）</w:t>
      </w:r>
      <w:r>
        <w:rPr>
          <w:rFonts w:hint="eastAsia" w:ascii="宋体" w:hAnsi="宋体" w:eastAsia="宋体" w:cs="宋体"/>
          <w:bCs/>
          <w:color w:val="auto"/>
          <w:sz w:val="24"/>
          <w:szCs w:val="24"/>
          <w:highlight w:val="none"/>
          <w:u w:val="single"/>
          <w:lang w:val="en-US" w:eastAsia="zh-CN"/>
        </w:rPr>
        <w:t xml:space="preserve"> </w:t>
      </w:r>
    </w:p>
    <w:p w14:paraId="3EFE26E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（3）履约验收方式：</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一次性验收         </w:t>
      </w:r>
    </w:p>
    <w:p w14:paraId="744F5EA8">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分期/分项验收</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eastAsia="zh-CN"/>
        </w:rPr>
        <w:t>（应明确分期</w:t>
      </w:r>
      <w:r>
        <w:rPr>
          <w:rFonts w:hint="eastAsia" w:ascii="宋体" w:hAnsi="宋体" w:eastAsia="宋体" w:cs="宋体"/>
          <w:bCs/>
          <w:color w:val="auto"/>
          <w:sz w:val="24"/>
          <w:szCs w:val="24"/>
          <w:highlight w:val="none"/>
          <w:u w:val="single"/>
          <w:lang w:val="en" w:eastAsia="zh-CN"/>
        </w:rPr>
        <w:t>/分项验收的工作安排</w:t>
      </w: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p>
    <w:p w14:paraId="40633E7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（4）履约验收程序：</w:t>
      </w:r>
      <w:r>
        <w:rPr>
          <w:rFonts w:hint="eastAsia" w:ascii="宋体" w:hAnsi="宋体" w:eastAsia="宋体" w:cs="宋体"/>
          <w:bCs/>
          <w:color w:val="auto"/>
          <w:sz w:val="24"/>
          <w:szCs w:val="24"/>
          <w:highlight w:val="none"/>
          <w:u w:val="single"/>
        </w:rPr>
        <w:t xml:space="preserve">                                         </w:t>
      </w:r>
    </w:p>
    <w:p w14:paraId="4AC2555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（5）履约验收的内容：</w:t>
      </w:r>
      <w:r>
        <w:rPr>
          <w:rFonts w:hint="eastAsia" w:ascii="宋体" w:hAnsi="宋体" w:eastAsia="宋体" w:cs="宋体"/>
          <w:bCs/>
          <w:color w:val="auto"/>
          <w:sz w:val="24"/>
          <w:szCs w:val="24"/>
          <w:highlight w:val="none"/>
          <w:u w:val="single"/>
        </w:rPr>
        <w:t xml:space="preserve">                                       </w:t>
      </w:r>
    </w:p>
    <w:p w14:paraId="2B5E0D1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（6）履约验收标准：</w:t>
      </w:r>
      <w:r>
        <w:rPr>
          <w:rFonts w:hint="eastAsia" w:ascii="宋体" w:hAnsi="宋体" w:eastAsia="宋体" w:cs="宋体"/>
          <w:bCs/>
          <w:color w:val="auto"/>
          <w:sz w:val="24"/>
          <w:szCs w:val="24"/>
          <w:highlight w:val="none"/>
          <w:u w:val="single"/>
        </w:rPr>
        <w:t xml:space="preserve">                                         </w:t>
      </w:r>
    </w:p>
    <w:p w14:paraId="41F5F689">
      <w:pPr>
        <w:pStyle w:val="59"/>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u w:val="none"/>
          <w:lang w:eastAsia="zh-CN"/>
        </w:rPr>
        <w:t>（</w:t>
      </w:r>
      <w:r>
        <w:rPr>
          <w:rFonts w:hint="eastAsia" w:ascii="宋体" w:hAnsi="宋体" w:eastAsia="宋体" w:cs="宋体"/>
          <w:bCs/>
          <w:color w:val="auto"/>
          <w:sz w:val="24"/>
          <w:szCs w:val="24"/>
          <w:highlight w:val="none"/>
          <w:u w:val="none"/>
          <w:lang w:val="en-US" w:eastAsia="zh-CN"/>
        </w:rPr>
        <w:t>7</w:t>
      </w:r>
      <w:r>
        <w:rPr>
          <w:rFonts w:hint="eastAsia" w:ascii="宋体" w:hAnsi="宋体" w:eastAsia="宋体" w:cs="宋体"/>
          <w:bCs/>
          <w:color w:val="auto"/>
          <w:sz w:val="24"/>
          <w:szCs w:val="24"/>
          <w:highlight w:val="none"/>
          <w:u w:val="none"/>
          <w:lang w:eastAsia="zh-CN"/>
        </w:rPr>
        <w:t>）是否以采购活动中供应商提供的样品作为参考：</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12923F3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（8）履约验收其他事项：</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i w:val="0"/>
          <w:iCs w:val="0"/>
          <w:color w:val="auto"/>
          <w:sz w:val="24"/>
          <w:szCs w:val="24"/>
          <w:highlight w:val="none"/>
          <w:u w:val="single"/>
        </w:rPr>
        <w:t>（产权过户登记等）</w:t>
      </w:r>
      <w:r>
        <w:rPr>
          <w:rFonts w:hint="eastAsia" w:ascii="宋体" w:hAnsi="宋体" w:eastAsia="宋体" w:cs="宋体"/>
          <w:bCs/>
          <w:color w:val="auto"/>
          <w:sz w:val="24"/>
          <w:szCs w:val="24"/>
          <w:highlight w:val="none"/>
          <w:u w:val="single"/>
        </w:rPr>
        <w:t xml:space="preserve">          </w:t>
      </w:r>
    </w:p>
    <w:p w14:paraId="18E13065">
      <w:pPr>
        <w:pageBreakBefore w:val="0"/>
        <w:numPr>
          <w:ilvl w:val="0"/>
          <w:numId w:val="2"/>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组成合同的文件</w:t>
      </w:r>
    </w:p>
    <w:p w14:paraId="5500EE5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本协议书与下列文件一起构成合同文件，如下述文件之间有任何抵触、矛盾或歧义，应按以下顺序解释：</w:t>
      </w:r>
    </w:p>
    <w:p w14:paraId="2ADFA49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p>
    <w:p w14:paraId="0092542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）采购合同专用条款</w:t>
      </w:r>
    </w:p>
    <w:p w14:paraId="1822805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）采购合同通用条款</w:t>
      </w:r>
    </w:p>
    <w:p w14:paraId="3A486C83">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4A072DD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）投标（响应）文件</w:t>
      </w:r>
    </w:p>
    <w:p w14:paraId="74FE4BB1">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（6）采购文件</w:t>
      </w:r>
    </w:p>
    <w:p w14:paraId="2459D0B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（7）有关技术文件，图纸</w:t>
      </w:r>
    </w:p>
    <w:p w14:paraId="1AB92E46">
      <w:pPr>
        <w:pStyle w:val="59"/>
        <w:pageBreakBefore w:val="0"/>
        <w:kinsoku/>
        <w:wordWrap/>
        <w:overflowPunct/>
        <w:topLinePunct w:val="0"/>
        <w:bidi w:val="0"/>
        <w:spacing w:beforeLines="0" w:line="360" w:lineRule="auto"/>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w:t>
      </w:r>
      <w:r>
        <w:rPr>
          <w:rFonts w:hint="eastAsia" w:ascii="宋体" w:hAnsi="宋体" w:eastAsia="宋体" w:cs="宋体"/>
          <w:bCs w:val="0"/>
          <w:color w:val="auto"/>
          <w:kern w:val="2"/>
          <w:sz w:val="24"/>
          <w:szCs w:val="24"/>
          <w:highlight w:val="none"/>
          <w:lang w:eastAsia="zh-CN"/>
        </w:rPr>
        <w:t>国家法律、行政法规和规章制度规定或合同约定的作为合同组成部分的其他文件</w:t>
      </w:r>
    </w:p>
    <w:p w14:paraId="15680C26">
      <w:pPr>
        <w:pageBreakBefore w:val="0"/>
        <w:numPr>
          <w:ilvl w:val="0"/>
          <w:numId w:val="2"/>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合同生效</w:t>
      </w:r>
    </w:p>
    <w:p w14:paraId="741CBD1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生效。</w:t>
      </w:r>
    </w:p>
    <w:p w14:paraId="2FD6FFC3">
      <w:pPr>
        <w:pageBreakBefore w:val="0"/>
        <w:numPr>
          <w:ilvl w:val="0"/>
          <w:numId w:val="2"/>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合同份数</w:t>
      </w:r>
    </w:p>
    <w:p w14:paraId="2EEC708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份，均具有同等法律效力。</w:t>
      </w:r>
    </w:p>
    <w:p w14:paraId="4C67AC8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合同订立时间：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E7A3FC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合同订立地点：</w:t>
      </w:r>
      <w:r>
        <w:rPr>
          <w:rFonts w:hint="eastAsia" w:ascii="宋体" w:hAnsi="宋体" w:eastAsia="宋体" w:cs="宋体"/>
          <w:color w:val="auto"/>
          <w:sz w:val="24"/>
          <w:szCs w:val="24"/>
          <w:highlight w:val="none"/>
          <w:u w:val="single"/>
        </w:rPr>
        <w:t xml:space="preserve">                           </w:t>
      </w:r>
    </w:p>
    <w:p w14:paraId="640509C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附件：具体标</w:t>
      </w:r>
      <w:r>
        <w:rPr>
          <w:rFonts w:hint="eastAsia" w:ascii="宋体" w:hAnsi="宋体" w:eastAsia="宋体" w:cs="宋体"/>
          <w:color w:val="auto"/>
          <w:sz w:val="24"/>
          <w:szCs w:val="24"/>
          <w:highlight w:val="none"/>
          <w:lang w:eastAsia="zh-CN"/>
        </w:rPr>
        <w:t>的及其</w:t>
      </w:r>
      <w:r>
        <w:rPr>
          <w:rFonts w:hint="eastAsia" w:ascii="宋体" w:hAnsi="宋体" w:eastAsia="宋体" w:cs="宋体"/>
          <w:color w:val="auto"/>
          <w:sz w:val="24"/>
          <w:szCs w:val="24"/>
          <w:highlight w:val="none"/>
          <w:u w:val="none"/>
          <w:lang w:val="en-US" w:eastAsia="zh-CN"/>
        </w:rPr>
        <w:t>技术要求和商务要求</w:t>
      </w:r>
      <w:r>
        <w:rPr>
          <w:rFonts w:hint="eastAsia" w:ascii="宋体" w:hAnsi="宋体" w:eastAsia="宋体" w:cs="宋体"/>
          <w:color w:val="auto"/>
          <w:sz w:val="24"/>
          <w:szCs w:val="24"/>
          <w:highlight w:val="none"/>
        </w:rPr>
        <w:t>、联合协议、分包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协议等。</w:t>
      </w:r>
    </w:p>
    <w:p w14:paraId="63A5A87B">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50289C18">
      <w:pPr>
        <w:pStyle w:val="60"/>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bl>
      <w:tblPr>
        <w:tblStyle w:val="2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1"/>
        <w:gridCol w:w="2412"/>
        <w:gridCol w:w="1979"/>
        <w:gridCol w:w="2116"/>
      </w:tblGrid>
      <w:tr w14:paraId="2461751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71F1137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甲方（采购人</w:t>
            </w:r>
            <w:r>
              <w:rPr>
                <w:rFonts w:hint="eastAsia" w:ascii="宋体" w:hAnsi="宋体" w:eastAsia="宋体" w:cs="宋体"/>
                <w:color w:val="auto"/>
                <w:sz w:val="24"/>
                <w:szCs w:val="24"/>
                <w:highlight w:val="none"/>
                <w:lang w:eastAsia="zh-CN"/>
              </w:rPr>
              <w:t>、受采购人委托签订合同的单位</w:t>
            </w:r>
            <w:r>
              <w:rPr>
                <w:rFonts w:hint="eastAsia" w:ascii="宋体" w:hAnsi="宋体" w:eastAsia="宋体" w:cs="宋体"/>
                <w:color w:val="auto"/>
                <w:sz w:val="24"/>
                <w:szCs w:val="24"/>
                <w:highlight w:val="none"/>
              </w:rPr>
              <w:t>或采购文件约定的合同甲方）</w:t>
            </w:r>
          </w:p>
        </w:tc>
        <w:tc>
          <w:tcPr>
            <w:tcW w:w="2437" w:type="pct"/>
            <w:gridSpan w:val="2"/>
            <w:tcBorders>
              <w:left w:val="single" w:color="auto" w:sz="2" w:space="0"/>
              <w:bottom w:val="single" w:color="auto" w:sz="2" w:space="0"/>
            </w:tcBorders>
            <w:vAlign w:val="center"/>
          </w:tcPr>
          <w:p w14:paraId="798DD84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乙方（供应商）</w:t>
            </w:r>
          </w:p>
        </w:tc>
      </w:tr>
      <w:tr w14:paraId="01AC5F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70ACFB3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单位名称（公章</w:t>
            </w:r>
            <w:r>
              <w:rPr>
                <w:rFonts w:hint="eastAsia" w:ascii="宋体" w:hAnsi="宋体" w:eastAsia="宋体" w:cs="宋体"/>
                <w:color w:val="auto"/>
                <w:sz w:val="24"/>
                <w:szCs w:val="24"/>
                <w:highlight w:val="none"/>
                <w:lang w:eastAsia="zh-CN"/>
              </w:rPr>
              <w:t>或合同章</w:t>
            </w:r>
            <w:r>
              <w:rPr>
                <w:rFonts w:hint="eastAsia" w:ascii="宋体" w:hAnsi="宋体" w:eastAsia="宋体" w:cs="宋体"/>
                <w:color w:val="auto"/>
                <w:sz w:val="24"/>
                <w:szCs w:val="24"/>
                <w:highlight w:val="none"/>
              </w:rPr>
              <w:t>）</w:t>
            </w:r>
          </w:p>
        </w:tc>
        <w:tc>
          <w:tcPr>
            <w:tcW w:w="1436" w:type="pct"/>
            <w:tcBorders>
              <w:top w:val="single" w:color="auto" w:sz="2" w:space="0"/>
              <w:left w:val="single" w:color="auto" w:sz="2" w:space="0"/>
              <w:bottom w:val="single" w:color="auto" w:sz="2" w:space="0"/>
              <w:right w:val="single" w:color="auto" w:sz="2" w:space="0"/>
            </w:tcBorders>
            <w:vAlign w:val="center"/>
          </w:tcPr>
          <w:p w14:paraId="40360ED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687209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单位名称（公章</w:t>
            </w:r>
            <w:r>
              <w:rPr>
                <w:rFonts w:hint="eastAsia" w:ascii="宋体" w:hAnsi="宋体" w:eastAsia="宋体" w:cs="宋体"/>
                <w:color w:val="auto"/>
                <w:sz w:val="24"/>
                <w:szCs w:val="24"/>
                <w:highlight w:val="none"/>
                <w:lang w:eastAsia="zh-CN"/>
              </w:rPr>
              <w:t>或合同章</w:t>
            </w:r>
            <w:r>
              <w:rPr>
                <w:rFonts w:hint="eastAsia" w:ascii="宋体" w:hAnsi="宋体" w:eastAsia="宋体" w:cs="宋体"/>
                <w:color w:val="auto"/>
                <w:sz w:val="24"/>
                <w:szCs w:val="24"/>
                <w:highlight w:val="none"/>
              </w:rPr>
              <w:t>）</w:t>
            </w:r>
          </w:p>
        </w:tc>
        <w:tc>
          <w:tcPr>
            <w:tcW w:w="1259" w:type="pct"/>
            <w:tcBorders>
              <w:top w:val="single" w:color="auto" w:sz="2" w:space="0"/>
              <w:left w:val="single" w:color="auto" w:sz="2" w:space="0"/>
              <w:bottom w:val="single" w:color="auto" w:sz="2" w:space="0"/>
            </w:tcBorders>
            <w:vAlign w:val="center"/>
          </w:tcPr>
          <w:p w14:paraId="73A2126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4617A9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3FB103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p w14:paraId="1E1D5978">
            <w:pPr>
              <w:pageBreakBefore w:val="0"/>
              <w:kinsoku/>
              <w:wordWrap/>
              <w:overflowPunct/>
              <w:topLinePunct w:val="0"/>
              <w:bidi w:val="0"/>
              <w:adjustRightInd w:val="0"/>
              <w:snapToGrid w:val="0"/>
              <w:spacing w:line="360" w:lineRule="auto"/>
              <w:ind w:firstLine="115" w:firstLineChars="48"/>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或其委托代理人（签章）</w:t>
            </w:r>
          </w:p>
        </w:tc>
        <w:tc>
          <w:tcPr>
            <w:tcW w:w="1436" w:type="pct"/>
            <w:vMerge w:val="restart"/>
            <w:tcBorders>
              <w:top w:val="single" w:color="auto" w:sz="2" w:space="0"/>
              <w:left w:val="single" w:color="auto" w:sz="2" w:space="0"/>
              <w:right w:val="single" w:color="auto" w:sz="2" w:space="0"/>
            </w:tcBorders>
            <w:vAlign w:val="center"/>
          </w:tcPr>
          <w:p w14:paraId="3C2D54C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right w:val="single" w:color="auto" w:sz="2" w:space="0"/>
            </w:tcBorders>
            <w:vAlign w:val="center"/>
          </w:tcPr>
          <w:p w14:paraId="2B918F9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p w14:paraId="429B7C3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或其委托代理人（签章）</w:t>
            </w:r>
          </w:p>
        </w:tc>
        <w:tc>
          <w:tcPr>
            <w:tcW w:w="1259" w:type="pct"/>
            <w:tcBorders>
              <w:top w:val="single" w:color="auto" w:sz="2" w:space="0"/>
              <w:left w:val="single" w:color="auto" w:sz="2" w:space="0"/>
              <w:bottom w:val="single" w:color="auto" w:sz="2" w:space="0"/>
            </w:tcBorders>
            <w:vAlign w:val="center"/>
          </w:tcPr>
          <w:p w14:paraId="0E4459A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r>
      <w:tr w14:paraId="31108D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4C84FF3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vMerge w:val="continue"/>
            <w:tcBorders>
              <w:left w:val="single" w:color="auto" w:sz="2" w:space="0"/>
              <w:bottom w:val="single" w:color="auto" w:sz="2" w:space="0"/>
              <w:right w:val="single" w:color="auto" w:sz="2" w:space="0"/>
            </w:tcBorders>
            <w:vAlign w:val="center"/>
          </w:tcPr>
          <w:p w14:paraId="0AEB1E5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E1AB23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拥有者性别</w:t>
            </w:r>
          </w:p>
        </w:tc>
        <w:tc>
          <w:tcPr>
            <w:tcW w:w="1259" w:type="pct"/>
            <w:tcBorders>
              <w:top w:val="single" w:color="auto" w:sz="2" w:space="0"/>
              <w:left w:val="single" w:color="auto" w:sz="2" w:space="0"/>
              <w:bottom w:val="single" w:color="auto" w:sz="2" w:space="0"/>
            </w:tcBorders>
            <w:vAlign w:val="center"/>
          </w:tcPr>
          <w:p w14:paraId="276E243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0E49FD3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7694A4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住</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7B44B2F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961430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住</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所</w:t>
            </w:r>
          </w:p>
        </w:tc>
        <w:tc>
          <w:tcPr>
            <w:tcW w:w="1259" w:type="pct"/>
            <w:tcBorders>
              <w:top w:val="single" w:color="auto" w:sz="2" w:space="0"/>
              <w:left w:val="single" w:color="auto" w:sz="2" w:space="0"/>
              <w:bottom w:val="single" w:color="auto" w:sz="2" w:space="0"/>
            </w:tcBorders>
            <w:vAlign w:val="center"/>
          </w:tcPr>
          <w:p w14:paraId="42B8A6C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7DC63A3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ECCA6B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42D3E2D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140424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 系 人</w:t>
            </w:r>
          </w:p>
        </w:tc>
        <w:tc>
          <w:tcPr>
            <w:tcW w:w="1259" w:type="pct"/>
            <w:tcBorders>
              <w:top w:val="single" w:color="auto" w:sz="2" w:space="0"/>
              <w:left w:val="single" w:color="auto" w:sz="2" w:space="0"/>
              <w:bottom w:val="single" w:color="auto" w:sz="2" w:space="0"/>
            </w:tcBorders>
            <w:vAlign w:val="center"/>
          </w:tcPr>
          <w:p w14:paraId="172C37E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3559800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BCA23F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0C41B91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4E4E5E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1259" w:type="pct"/>
            <w:tcBorders>
              <w:top w:val="single" w:color="auto" w:sz="2" w:space="0"/>
              <w:left w:val="single" w:color="auto" w:sz="2" w:space="0"/>
              <w:bottom w:val="single" w:color="auto" w:sz="2" w:space="0"/>
            </w:tcBorders>
            <w:vAlign w:val="center"/>
          </w:tcPr>
          <w:p w14:paraId="3A795BE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63A3BBE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FA2813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6BD224C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925A41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通信地址</w:t>
            </w:r>
          </w:p>
        </w:tc>
        <w:tc>
          <w:tcPr>
            <w:tcW w:w="1259" w:type="pct"/>
            <w:tcBorders>
              <w:top w:val="single" w:color="auto" w:sz="2" w:space="0"/>
              <w:left w:val="single" w:color="auto" w:sz="2" w:space="0"/>
              <w:bottom w:val="single" w:color="auto" w:sz="2" w:space="0"/>
            </w:tcBorders>
            <w:vAlign w:val="center"/>
          </w:tcPr>
          <w:p w14:paraId="5D5B0A0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1DD5F48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858F8B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439497D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E492EC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1259" w:type="pct"/>
            <w:tcBorders>
              <w:top w:val="single" w:color="auto" w:sz="2" w:space="0"/>
              <w:left w:val="single" w:color="auto" w:sz="2" w:space="0"/>
              <w:bottom w:val="single" w:color="auto" w:sz="2" w:space="0"/>
            </w:tcBorders>
            <w:vAlign w:val="center"/>
          </w:tcPr>
          <w:p w14:paraId="592C65A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1979CDB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A6D5C5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3FA667B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A0C58C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1259" w:type="pct"/>
            <w:tcBorders>
              <w:top w:val="single" w:color="auto" w:sz="2" w:space="0"/>
              <w:left w:val="single" w:color="auto" w:sz="2" w:space="0"/>
              <w:bottom w:val="single" w:color="auto" w:sz="2" w:space="0"/>
            </w:tcBorders>
            <w:vAlign w:val="center"/>
          </w:tcPr>
          <w:p w14:paraId="77A6296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071344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AE3B7D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22E41AA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E88592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tc>
        <w:tc>
          <w:tcPr>
            <w:tcW w:w="1259" w:type="pct"/>
            <w:tcBorders>
              <w:top w:val="single" w:color="auto" w:sz="2" w:space="0"/>
              <w:left w:val="single" w:color="auto" w:sz="2" w:space="0"/>
              <w:bottom w:val="single" w:color="auto" w:sz="2" w:space="0"/>
            </w:tcBorders>
            <w:vAlign w:val="center"/>
          </w:tcPr>
          <w:p w14:paraId="1587EA9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5139451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62FE94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5206748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930A2F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开户名称</w:t>
            </w:r>
          </w:p>
        </w:tc>
        <w:tc>
          <w:tcPr>
            <w:tcW w:w="1259" w:type="pct"/>
            <w:tcBorders>
              <w:top w:val="single" w:color="auto" w:sz="2" w:space="0"/>
              <w:left w:val="single" w:color="auto" w:sz="2" w:space="0"/>
              <w:bottom w:val="single" w:color="auto" w:sz="2" w:space="0"/>
            </w:tcBorders>
            <w:vAlign w:val="center"/>
          </w:tcPr>
          <w:p w14:paraId="00442A7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1F48425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D1FB02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3106FA4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B6D5A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tc>
        <w:tc>
          <w:tcPr>
            <w:tcW w:w="1259" w:type="pct"/>
            <w:tcBorders>
              <w:top w:val="single" w:color="auto" w:sz="2" w:space="0"/>
              <w:left w:val="single" w:color="auto" w:sz="2" w:space="0"/>
              <w:bottom w:val="single" w:color="auto" w:sz="2" w:space="0"/>
            </w:tcBorders>
            <w:vAlign w:val="center"/>
          </w:tcPr>
          <w:p w14:paraId="215B36B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0A29589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E3151A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738701B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5E0A04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银行账号</w:t>
            </w:r>
          </w:p>
        </w:tc>
        <w:tc>
          <w:tcPr>
            <w:tcW w:w="1259" w:type="pct"/>
            <w:tcBorders>
              <w:top w:val="single" w:color="auto" w:sz="2" w:space="0"/>
              <w:left w:val="single" w:color="auto" w:sz="2" w:space="0"/>
              <w:bottom w:val="single" w:color="auto" w:sz="2" w:space="0"/>
            </w:tcBorders>
            <w:vAlign w:val="center"/>
          </w:tcPr>
          <w:p w14:paraId="4C311DA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2E0E439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bottom w:val="single" w:color="auto" w:sz="2" w:space="0"/>
            </w:tcBorders>
            <w:vAlign w:val="center"/>
          </w:tcPr>
          <w:p w14:paraId="2334BD0E">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eastAsia" w:ascii="宋体" w:hAnsi="宋体" w:eastAsia="宋体" w:cs="宋体"/>
                <w:color w:val="auto"/>
                <w:spacing w:val="20"/>
                <w:sz w:val="24"/>
                <w:szCs w:val="24"/>
                <w:highlight w:val="none"/>
              </w:rPr>
            </w:pPr>
            <w:r>
              <w:rPr>
                <w:rFonts w:hint="eastAsia" w:ascii="宋体" w:hAnsi="宋体" w:eastAsia="宋体" w:cs="宋体"/>
                <w:color w:val="auto"/>
                <w:sz w:val="24"/>
                <w:szCs w:val="24"/>
                <w:highlight w:val="none"/>
              </w:rPr>
              <w:t>注：涉及联合体或其他合同主体的信息应按上表格式加列。</w:t>
            </w:r>
          </w:p>
        </w:tc>
      </w:tr>
      <w:tr w14:paraId="225B80D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25F0ED71">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eastAsia" w:ascii="宋体" w:hAnsi="宋体" w:eastAsia="宋体" w:cs="宋体"/>
                <w:color w:val="auto"/>
                <w:sz w:val="24"/>
                <w:szCs w:val="24"/>
                <w:highlight w:val="none"/>
              </w:rPr>
            </w:pPr>
          </w:p>
          <w:p w14:paraId="7470A758">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采购代理机构：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见证方：公共资源交易中心</w:t>
            </w:r>
          </w:p>
          <w:p w14:paraId="0B3BECFA">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p>
          <w:p w14:paraId="26C3CD8A">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 单位盖章：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单位盖章：   </w:t>
            </w:r>
          </w:p>
          <w:p w14:paraId="0543701C">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项目负责人（签字）：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中心负责人：                  </w:t>
            </w:r>
          </w:p>
          <w:p w14:paraId="5AE6282E">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年   月   日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日期：   年   月   日</w:t>
            </w:r>
          </w:p>
        </w:tc>
      </w:tr>
    </w:tbl>
    <w:p w14:paraId="33AE4F50">
      <w:pPr>
        <w:pStyle w:val="2"/>
        <w:pageBreakBefore w:val="0"/>
        <w:kinsoku/>
        <w:wordWrap/>
        <w:overflowPunct/>
        <w:topLinePunct w:val="0"/>
        <w:bidi w:val="0"/>
        <w:adjustRightInd w:val="0"/>
        <w:snapToGrid w:val="0"/>
        <w:spacing w:before="156"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br w:type="page"/>
      </w:r>
      <w:bookmarkStart w:id="48" w:name="_Toc27624"/>
      <w:r>
        <w:rPr>
          <w:rFonts w:hint="eastAsia" w:cs="@仿宋_GB2312" w:asciiTheme="minorEastAsia" w:hAnsiTheme="minorEastAsia" w:eastAsiaTheme="minorEastAsia"/>
          <w:b/>
          <w:bCs w:val="0"/>
          <w:color w:val="auto"/>
          <w:kern w:val="2"/>
          <w:sz w:val="24"/>
          <w:szCs w:val="20"/>
          <w:highlight w:val="none"/>
          <w:lang w:val="en-US" w:eastAsia="zh-CN" w:bidi="ar-SA"/>
        </w:rPr>
        <w:t>第二节 采购合同通用条款</w:t>
      </w:r>
      <w:bookmarkEnd w:id="48"/>
    </w:p>
    <w:p w14:paraId="4DE468AF">
      <w:pPr>
        <w:pageBreakBefore w:val="0"/>
        <w:tabs>
          <w:tab w:val="left" w:pos="8820"/>
          <w:tab w:val="left" w:pos="9345"/>
          <w:tab w:val="left" w:pos="9765"/>
        </w:tabs>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bCs/>
          <w:color w:val="auto"/>
          <w:sz w:val="24"/>
          <w:szCs w:val="24"/>
          <w:highlight w:val="none"/>
        </w:rPr>
        <w:t>定义</w:t>
      </w:r>
    </w:p>
    <w:p w14:paraId="3D8701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1.1合同当事人</w:t>
      </w:r>
    </w:p>
    <w:p w14:paraId="0A68D9D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（1）采购人（以下称甲方）是指使用财政性资金，通过采购方式向供应商购买货物</w:t>
      </w:r>
      <w:r>
        <w:rPr>
          <w:rFonts w:hint="eastAsia" w:ascii="宋体" w:hAnsi="宋体" w:eastAsia="宋体" w:cs="宋体"/>
          <w:color w:val="auto"/>
          <w:sz w:val="24"/>
          <w:szCs w:val="24"/>
          <w:highlight w:val="none"/>
          <w:lang w:val="en-US" w:eastAsia="zh-CN"/>
        </w:rPr>
        <w:t>及其相关服务的</w:t>
      </w:r>
      <w:r>
        <w:rPr>
          <w:rFonts w:hint="eastAsia" w:ascii="宋体" w:hAnsi="宋体" w:eastAsia="宋体" w:cs="宋体"/>
          <w:color w:val="auto"/>
          <w:sz w:val="24"/>
          <w:szCs w:val="24"/>
          <w:highlight w:val="none"/>
        </w:rPr>
        <w:t>国家机关、事业单位、团体组织。</w:t>
      </w:r>
    </w:p>
    <w:p w14:paraId="64FFA5F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（2）供应商（以下称</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方）是指参加采购活动并且中标（成交），向采购人提供</w:t>
      </w:r>
      <w:r>
        <w:rPr>
          <w:rFonts w:hint="eastAsia" w:ascii="宋体" w:hAnsi="宋体" w:eastAsia="宋体" w:cs="宋体"/>
          <w:color w:val="auto"/>
          <w:sz w:val="24"/>
          <w:szCs w:val="24"/>
          <w:highlight w:val="none"/>
          <w:lang w:val="en-US" w:eastAsia="zh-CN"/>
        </w:rPr>
        <w:t>合同约定的货物及其相关服务的法人、非法人组织或者自然人</w:t>
      </w:r>
      <w:r>
        <w:rPr>
          <w:rFonts w:hint="eastAsia" w:ascii="宋体" w:hAnsi="宋体" w:eastAsia="宋体" w:cs="宋体"/>
          <w:color w:val="auto"/>
          <w:sz w:val="24"/>
          <w:szCs w:val="24"/>
          <w:highlight w:val="none"/>
        </w:rPr>
        <w:t>。</w:t>
      </w:r>
    </w:p>
    <w:p w14:paraId="6B2E389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（3）其他合同主体是指除采购人和供应商以外，</w:t>
      </w:r>
      <w:r>
        <w:rPr>
          <w:rFonts w:hint="eastAsia" w:ascii="宋体" w:hAnsi="宋体" w:eastAsia="宋体" w:cs="宋体"/>
          <w:bCs/>
          <w:color w:val="auto"/>
          <w:sz w:val="24"/>
          <w:szCs w:val="24"/>
          <w:highlight w:val="none"/>
        </w:rPr>
        <w:t>依法参与合同缔结或履行，享有权利、承担义务的合同当事人</w:t>
      </w:r>
      <w:r>
        <w:rPr>
          <w:rFonts w:hint="eastAsia" w:ascii="宋体" w:hAnsi="宋体" w:eastAsia="宋体" w:cs="宋体"/>
          <w:color w:val="auto"/>
          <w:sz w:val="24"/>
          <w:szCs w:val="24"/>
          <w:highlight w:val="none"/>
        </w:rPr>
        <w:t>。</w:t>
      </w:r>
    </w:p>
    <w:p w14:paraId="7AB928B0">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1.2本合同下列术语应解释为：</w:t>
      </w:r>
    </w:p>
    <w:p w14:paraId="47D2E4B4">
      <w:pPr>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（1）“合同”系指</w:t>
      </w:r>
      <w:r>
        <w:rPr>
          <w:rFonts w:hint="eastAsia" w:ascii="宋体" w:hAnsi="宋体" w:eastAsia="宋体" w:cs="宋体"/>
          <w:bCs/>
          <w:color w:val="auto"/>
          <w:sz w:val="24"/>
          <w:szCs w:val="24"/>
          <w:highlight w:val="none"/>
        </w:rPr>
        <w:t>合同当事人意思表示达成一致的任何协议，包括签署的</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采购合同专用条款</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采购合同通用条款</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投标（响应）文件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采购文件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有关技术文件</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图纸</w:t>
      </w:r>
      <w:r>
        <w:rPr>
          <w:rFonts w:hint="eastAsia" w:ascii="宋体" w:hAnsi="宋体" w:eastAsia="宋体" w:cs="宋体"/>
          <w:color w:val="auto"/>
          <w:sz w:val="24"/>
          <w:szCs w:val="24"/>
          <w:highlight w:val="none"/>
          <w:lang w:eastAsia="zh-CN"/>
        </w:rPr>
        <w:t>，以及</w:t>
      </w:r>
      <w:r>
        <w:rPr>
          <w:rFonts w:hint="eastAsia" w:ascii="宋体" w:hAnsi="宋体" w:eastAsia="宋体" w:cs="宋体"/>
          <w:bCs w:val="0"/>
          <w:color w:val="auto"/>
          <w:kern w:val="2"/>
          <w:sz w:val="24"/>
          <w:szCs w:val="24"/>
          <w:highlight w:val="none"/>
          <w:lang w:eastAsia="zh-CN"/>
        </w:rPr>
        <w:t>国家法律、行政法规和规章制度规定或合同约定的作为合同组成部分的其他文件</w:t>
      </w:r>
      <w:r>
        <w:rPr>
          <w:rFonts w:hint="eastAsia" w:ascii="宋体" w:hAnsi="宋体" w:eastAsia="宋体" w:cs="宋体"/>
          <w:color w:val="auto"/>
          <w:sz w:val="24"/>
          <w:szCs w:val="24"/>
          <w:highlight w:val="none"/>
        </w:rPr>
        <w:t>。</w:t>
      </w:r>
    </w:p>
    <w:p w14:paraId="17ADE7C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）“合同价</w:t>
      </w:r>
      <w:r>
        <w:rPr>
          <w:rFonts w:hint="eastAsia" w:ascii="宋体" w:hAnsi="宋体" w:eastAsia="宋体" w:cs="宋体"/>
          <w:color w:val="auto"/>
          <w:sz w:val="24"/>
          <w:szCs w:val="24"/>
          <w:highlight w:val="none"/>
          <w:lang w:val="en-US" w:eastAsia="zh-CN"/>
        </w:rPr>
        <w:t>款</w:t>
      </w:r>
      <w:r>
        <w:rPr>
          <w:rFonts w:hint="eastAsia" w:ascii="宋体" w:hAnsi="宋体" w:eastAsia="宋体" w:cs="宋体"/>
          <w:color w:val="auto"/>
          <w:sz w:val="24"/>
          <w:szCs w:val="24"/>
          <w:highlight w:val="none"/>
        </w:rPr>
        <w:t>”系指根据本合同规定乙方在全面履行合同义务后甲方应支付给乙方的价款。</w:t>
      </w:r>
    </w:p>
    <w:p w14:paraId="751C2E89">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）“货物”系指乙方根据本合同规定须向甲方提供的各种形态和种类的物品，包括原材料、设备、产品（包括软件）及相关的其备品备件、工具、手册及</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技术资料和材料</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p>
    <w:p w14:paraId="0F548A38">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相关</w:t>
      </w:r>
      <w:r>
        <w:rPr>
          <w:rFonts w:hint="eastAsia" w:ascii="宋体" w:hAnsi="宋体" w:eastAsia="宋体" w:cs="宋体"/>
          <w:color w:val="auto"/>
          <w:sz w:val="24"/>
          <w:szCs w:val="24"/>
          <w:highlight w:val="none"/>
        </w:rPr>
        <w:t>服务”系指根据合同规定，乙方应提供的</w:t>
      </w:r>
      <w:r>
        <w:rPr>
          <w:rFonts w:hint="eastAsia" w:ascii="宋体" w:hAnsi="宋体" w:eastAsia="宋体" w:cs="宋体"/>
          <w:color w:val="auto"/>
          <w:sz w:val="24"/>
          <w:szCs w:val="24"/>
          <w:highlight w:val="none"/>
          <w:lang w:val="en-US" w:eastAsia="zh-CN"/>
        </w:rPr>
        <w:t>与货物有关的</w:t>
      </w:r>
      <w:r>
        <w:rPr>
          <w:rFonts w:hint="eastAsia" w:ascii="宋体" w:hAnsi="宋体" w:eastAsia="宋体" w:cs="宋体"/>
          <w:color w:val="auto"/>
          <w:sz w:val="24"/>
          <w:szCs w:val="24"/>
          <w:highlight w:val="none"/>
        </w:rPr>
        <w:t>技术、管理和</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服务，包括但不限于：管理和质量保证、运输、保险、检验、现场准备、安装、集成、调试、培训、维修、</w:t>
      </w:r>
      <w:r>
        <w:rPr>
          <w:rFonts w:hint="eastAsia" w:ascii="宋体" w:hAnsi="宋体" w:eastAsia="宋体" w:cs="宋体"/>
          <w:color w:val="auto"/>
          <w:sz w:val="24"/>
          <w:szCs w:val="24"/>
          <w:highlight w:val="none"/>
          <w:lang w:eastAsia="zh-CN"/>
        </w:rPr>
        <w:t>废弃处置、</w:t>
      </w:r>
      <w:r>
        <w:rPr>
          <w:rFonts w:hint="eastAsia" w:ascii="宋体" w:hAnsi="宋体" w:eastAsia="宋体" w:cs="宋体"/>
          <w:color w:val="auto"/>
          <w:sz w:val="24"/>
          <w:szCs w:val="24"/>
          <w:highlight w:val="none"/>
        </w:rPr>
        <w:t>技术支持等以及合同中规定乙方应承担的</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义务。</w:t>
      </w:r>
    </w:p>
    <w:p w14:paraId="1B56BC7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）“分包”系指中标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成交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供应商按采购文件、投标（响应）文件的规定，根据分包意向协议，将中标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成交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项目中的部分履约内容，分给具有相应资质条件的供应商履行合同的行为。</w:t>
      </w:r>
    </w:p>
    <w:p w14:paraId="5C42AF26">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）“联合体”系指</w:t>
      </w:r>
      <w:r>
        <w:rPr>
          <w:rFonts w:hint="eastAsia" w:ascii="宋体" w:hAnsi="宋体" w:eastAsia="宋体" w:cs="宋体"/>
          <w:color w:val="auto"/>
          <w:sz w:val="24"/>
          <w:szCs w:val="24"/>
          <w:highlight w:val="none"/>
          <w:lang w:eastAsia="zh-CN"/>
        </w:rPr>
        <w:t>由</w:t>
      </w:r>
      <w:r>
        <w:rPr>
          <w:rFonts w:hint="eastAsia" w:ascii="宋体" w:hAnsi="宋体" w:eastAsia="宋体" w:cs="宋体"/>
          <w:color w:val="auto"/>
          <w:sz w:val="24"/>
          <w:szCs w:val="24"/>
          <w:highlight w:val="none"/>
        </w:rPr>
        <w:t>两个以上的自然人、法人或者</w:t>
      </w:r>
      <w:r>
        <w:rPr>
          <w:rFonts w:hint="eastAsia" w:ascii="宋体" w:hAnsi="宋体" w:eastAsia="宋体" w:cs="宋体"/>
          <w:color w:val="auto"/>
          <w:sz w:val="24"/>
          <w:szCs w:val="24"/>
          <w:highlight w:val="none"/>
          <w:lang w:val="en-US" w:eastAsia="zh-CN"/>
        </w:rPr>
        <w:t>非法人</w:t>
      </w:r>
      <w:r>
        <w:rPr>
          <w:rFonts w:hint="eastAsia" w:ascii="宋体" w:hAnsi="宋体" w:eastAsia="宋体" w:cs="宋体"/>
          <w:color w:val="auto"/>
          <w:sz w:val="24"/>
          <w:szCs w:val="24"/>
          <w:highlight w:val="none"/>
        </w:rPr>
        <w:t>组织组成，</w:t>
      </w:r>
      <w:r>
        <w:rPr>
          <w:rFonts w:hint="eastAsia" w:ascii="宋体" w:hAnsi="宋体" w:eastAsia="宋体" w:cs="宋体"/>
          <w:color w:val="auto"/>
          <w:sz w:val="24"/>
          <w:szCs w:val="24"/>
          <w:highlight w:val="none"/>
          <w:lang w:eastAsia="zh-CN"/>
        </w:rPr>
        <w:t>以一个供应商的身份共同参加采购的主体。</w:t>
      </w:r>
      <w:r>
        <w:rPr>
          <w:rFonts w:hint="eastAsia" w:ascii="宋体" w:hAnsi="宋体" w:eastAsia="宋体" w:cs="宋体"/>
          <w:color w:val="auto"/>
          <w:sz w:val="24"/>
          <w:szCs w:val="24"/>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承担连带责任。联合体具体要求见【</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rPr>
        <w:t>】。</w:t>
      </w:r>
    </w:p>
    <w:p w14:paraId="27EFBD31">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）其他术语解释，见【</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rPr>
        <w:t>】。</w:t>
      </w:r>
    </w:p>
    <w:p w14:paraId="44C0B6AA">
      <w:pPr>
        <w:pageBreakBefore w:val="0"/>
        <w:numPr>
          <w:ilvl w:val="0"/>
          <w:numId w:val="5"/>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合同标的及金额</w:t>
      </w:r>
    </w:p>
    <w:p w14:paraId="2987E3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
          <w:bCs/>
          <w:i/>
          <w:iCs/>
          <w:color w:val="auto"/>
          <w:sz w:val="24"/>
          <w:szCs w:val="24"/>
          <w:highlight w:val="none"/>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.1 合同标的及金额应与中标（成交）结果一致。乙方为履行本合同而发生的所有费用均应包含在合同</w:t>
      </w:r>
      <w:r>
        <w:rPr>
          <w:rFonts w:hint="eastAsia" w:ascii="宋体" w:hAnsi="宋体" w:eastAsia="宋体" w:cs="宋体"/>
          <w:color w:val="auto"/>
          <w:sz w:val="24"/>
          <w:szCs w:val="24"/>
          <w:highlight w:val="none"/>
          <w:lang w:eastAsia="zh-CN"/>
        </w:rPr>
        <w:t>价款</w:t>
      </w:r>
      <w:r>
        <w:rPr>
          <w:rFonts w:hint="eastAsia" w:ascii="宋体" w:hAnsi="宋体" w:eastAsia="宋体" w:cs="宋体"/>
          <w:color w:val="auto"/>
          <w:sz w:val="24"/>
          <w:szCs w:val="24"/>
          <w:highlight w:val="none"/>
        </w:rPr>
        <w:t>中，甲方不再另行支付</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任何费用。</w:t>
      </w:r>
    </w:p>
    <w:p w14:paraId="049C74D0">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3</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履行合同的时间、地点和方式</w:t>
      </w:r>
    </w:p>
    <w:p w14:paraId="452E57C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.1 乙方应当在约定的时间、地点</w:t>
      </w:r>
      <w:r>
        <w:rPr>
          <w:rFonts w:hint="eastAsia" w:ascii="宋体" w:hAnsi="宋体" w:eastAsia="宋体" w:cs="宋体"/>
          <w:color w:val="auto"/>
          <w:sz w:val="24"/>
          <w:szCs w:val="24"/>
          <w:highlight w:val="none"/>
          <w:lang w:eastAsia="zh-CN"/>
        </w:rPr>
        <w:t>，按照约定</w:t>
      </w:r>
      <w:r>
        <w:rPr>
          <w:rFonts w:hint="eastAsia" w:ascii="宋体" w:hAnsi="宋体" w:eastAsia="宋体" w:cs="宋体"/>
          <w:color w:val="auto"/>
          <w:sz w:val="24"/>
          <w:szCs w:val="24"/>
          <w:highlight w:val="none"/>
        </w:rPr>
        <w:t>方式履行合同。</w:t>
      </w:r>
    </w:p>
    <w:p w14:paraId="26E6D180">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甲方的权利和义务</w:t>
      </w:r>
    </w:p>
    <w:p w14:paraId="40B0969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签署合同后，甲方</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确定</w:t>
      </w:r>
      <w:r>
        <w:rPr>
          <w:rFonts w:hint="eastAsia" w:ascii="宋体" w:hAnsi="宋体" w:eastAsia="宋体" w:cs="宋体"/>
          <w:color w:val="auto"/>
          <w:sz w:val="24"/>
          <w:szCs w:val="24"/>
          <w:highlight w:val="none"/>
          <w:lang w:val="en-US" w:eastAsia="zh-CN"/>
        </w:rPr>
        <w:t>项目负责人（或项目联系人）</w:t>
      </w:r>
      <w:r>
        <w:rPr>
          <w:rFonts w:hint="eastAsia" w:ascii="宋体" w:hAnsi="宋体" w:eastAsia="宋体" w:cs="宋体"/>
          <w:color w:val="auto"/>
          <w:sz w:val="24"/>
          <w:szCs w:val="24"/>
          <w:highlight w:val="none"/>
        </w:rPr>
        <w:t>，负责与本合同有关的事务。甲方有权对乙方的履约行为进行检查，并及时确认乙方提交的事项。甲方应当配合乙方完成相关项目实施工作。</w:t>
      </w:r>
    </w:p>
    <w:p w14:paraId="794B403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.2 甲方有权要求乙方按时提交各阶段有关安排计划，并有权定期核对乙方提供货物数量、规格、质量等内容。甲方有权督促乙方工作并要求乙方更换不符合要求的货物。</w:t>
      </w:r>
    </w:p>
    <w:p w14:paraId="3EFE999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.3 甲方有权要求乙方对缺陷部分予以修复，并按合同约定享有货物保修及其他合同约定的权利。</w:t>
      </w:r>
    </w:p>
    <w:p w14:paraId="15EA225A">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4.4 甲方应当按照合同约定及时对交付的货物进行验收，</w:t>
      </w:r>
      <w:r>
        <w:rPr>
          <w:rFonts w:hint="eastAsia" w:ascii="宋体" w:hAnsi="宋体" w:eastAsia="宋体" w:cs="宋体"/>
          <w:b w:val="0"/>
          <w:bCs w:val="0"/>
          <w:color w:val="auto"/>
          <w:sz w:val="24"/>
          <w:szCs w:val="24"/>
          <w:highlight w:val="none"/>
          <w:lang w:eastAsia="zh-CN"/>
        </w:rPr>
        <w:t>未</w:t>
      </w:r>
      <w:r>
        <w:rPr>
          <w:rFonts w:hint="eastAsia" w:ascii="宋体" w:hAnsi="宋体" w:eastAsia="宋体" w:cs="宋体"/>
          <w:color w:val="auto"/>
          <w:sz w:val="24"/>
          <w:szCs w:val="24"/>
          <w:highlight w:val="none"/>
          <w:lang w:val="en-US" w:eastAsia="zh-CN"/>
        </w:rPr>
        <w:t>在</w:t>
      </w:r>
      <w:r>
        <w:rPr>
          <w:rFonts w:hint="eastAsia" w:ascii="宋体" w:hAnsi="宋体" w:eastAsia="宋体" w:cs="宋体"/>
          <w:b/>
          <w:bCs/>
          <w:color w:val="auto"/>
          <w:sz w:val="24"/>
          <w:szCs w:val="24"/>
          <w:highlight w:val="none"/>
        </w:rPr>
        <w:t>【采购合同专用条款】</w:t>
      </w:r>
      <w:r>
        <w:rPr>
          <w:rFonts w:hint="eastAsia" w:ascii="宋体" w:hAnsi="宋体" w:eastAsia="宋体" w:cs="宋体"/>
          <w:b w:val="0"/>
          <w:bCs w:val="0"/>
          <w:color w:val="auto"/>
          <w:sz w:val="24"/>
          <w:szCs w:val="24"/>
          <w:highlight w:val="none"/>
          <w:lang w:eastAsia="zh-CN"/>
        </w:rPr>
        <w:t>约定的期限内对乙方履约提出任何异议或者向乙方作出任何说明的，</w:t>
      </w:r>
      <w:r>
        <w:rPr>
          <w:rFonts w:hint="eastAsia" w:ascii="宋体" w:hAnsi="宋体" w:eastAsia="宋体" w:cs="宋体"/>
          <w:color w:val="auto"/>
          <w:sz w:val="24"/>
          <w:szCs w:val="24"/>
          <w:highlight w:val="none"/>
          <w:lang w:val="en-US" w:eastAsia="zh-CN"/>
        </w:rPr>
        <w:t>视为验收通过。</w:t>
      </w:r>
    </w:p>
    <w:p w14:paraId="4069E33D">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甲方应当根据合同约定</w:t>
      </w:r>
      <w:r>
        <w:rPr>
          <w:rFonts w:hint="eastAsia" w:ascii="宋体" w:hAnsi="宋体" w:eastAsia="宋体" w:cs="宋体"/>
          <w:color w:val="auto"/>
          <w:sz w:val="24"/>
          <w:szCs w:val="24"/>
          <w:highlight w:val="none"/>
          <w:lang w:eastAsia="zh-CN"/>
        </w:rPr>
        <w:t>及</w:t>
      </w:r>
      <w:r>
        <w:rPr>
          <w:rFonts w:hint="eastAsia" w:ascii="宋体" w:hAnsi="宋体" w:eastAsia="宋体" w:cs="宋体"/>
          <w:color w:val="auto"/>
          <w:sz w:val="24"/>
          <w:szCs w:val="24"/>
          <w:highlight w:val="none"/>
        </w:rPr>
        <w:t>时向乙方支付</w:t>
      </w:r>
      <w:r>
        <w:rPr>
          <w:rFonts w:hint="eastAsia" w:ascii="宋体" w:hAnsi="宋体" w:eastAsia="宋体" w:cs="宋体"/>
          <w:color w:val="auto"/>
          <w:sz w:val="24"/>
          <w:szCs w:val="24"/>
          <w:highlight w:val="none"/>
          <w:lang w:eastAsia="zh-CN"/>
        </w:rPr>
        <w:t>合同价款，不得以内部人员变更、履行内部付款流程等为由，拒绝或迟延支付。</w:t>
      </w:r>
    </w:p>
    <w:p w14:paraId="5ACB74D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 xml:space="preserve"> 国家法律法规规定</w:t>
      </w:r>
      <w:r>
        <w:rPr>
          <w:rFonts w:hint="eastAsia" w:ascii="宋体" w:hAnsi="宋体" w:eastAsia="宋体" w:cs="宋体"/>
          <w:color w:val="auto"/>
          <w:sz w:val="24"/>
          <w:szCs w:val="24"/>
          <w:highlight w:val="none"/>
          <w:lang w:eastAsia="zh-CN"/>
        </w:rPr>
        <w:t>及</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lang w:eastAsia="zh-CN"/>
        </w:rPr>
        <w:t>约定应</w:t>
      </w:r>
      <w:r>
        <w:rPr>
          <w:rFonts w:hint="eastAsia" w:ascii="宋体" w:hAnsi="宋体" w:eastAsia="宋体" w:cs="宋体"/>
          <w:color w:val="auto"/>
          <w:sz w:val="24"/>
          <w:szCs w:val="24"/>
          <w:highlight w:val="none"/>
        </w:rPr>
        <w:t>由甲方承担的其他义务和责任。</w:t>
      </w:r>
    </w:p>
    <w:p w14:paraId="1EE2D114">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乙方的权利和义务</w:t>
      </w:r>
    </w:p>
    <w:p w14:paraId="68FC6AA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.1 签署合同后，乙方</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确定</w:t>
      </w:r>
      <w:r>
        <w:rPr>
          <w:rFonts w:hint="eastAsia" w:ascii="宋体" w:hAnsi="宋体" w:eastAsia="宋体" w:cs="宋体"/>
          <w:color w:val="auto"/>
          <w:sz w:val="24"/>
          <w:szCs w:val="24"/>
          <w:highlight w:val="none"/>
          <w:lang w:val="en-US" w:eastAsia="zh-CN"/>
        </w:rPr>
        <w:t>项目负责人（或项目联系人）</w:t>
      </w:r>
      <w:r>
        <w:rPr>
          <w:rFonts w:hint="eastAsia" w:ascii="宋体" w:hAnsi="宋体" w:eastAsia="宋体" w:cs="宋体"/>
          <w:color w:val="auto"/>
          <w:sz w:val="24"/>
          <w:szCs w:val="24"/>
          <w:highlight w:val="none"/>
        </w:rPr>
        <w:t>，负责与本合同有关的事务。</w:t>
      </w:r>
    </w:p>
    <w:p w14:paraId="36C1616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.2 乙方应按照合同要求履约，充分合理安排，确保提供的货物</w:t>
      </w:r>
      <w:r>
        <w:rPr>
          <w:rFonts w:hint="eastAsia" w:ascii="宋体" w:hAnsi="宋体" w:eastAsia="宋体" w:cs="宋体"/>
          <w:color w:val="auto"/>
          <w:sz w:val="24"/>
          <w:szCs w:val="24"/>
          <w:highlight w:val="none"/>
          <w:lang w:eastAsia="zh-CN"/>
        </w:rPr>
        <w:t>及相关</w:t>
      </w:r>
      <w:r>
        <w:rPr>
          <w:rFonts w:hint="eastAsia" w:ascii="宋体" w:hAnsi="宋体" w:eastAsia="宋体" w:cs="宋体"/>
          <w:color w:val="auto"/>
          <w:sz w:val="24"/>
          <w:szCs w:val="24"/>
          <w:highlight w:val="none"/>
        </w:rPr>
        <w:t>服务符合合同</w:t>
      </w:r>
      <w:r>
        <w:rPr>
          <w:rFonts w:hint="eastAsia" w:ascii="宋体" w:hAnsi="宋体" w:eastAsia="宋体" w:cs="宋体"/>
          <w:color w:val="auto"/>
          <w:sz w:val="24"/>
          <w:szCs w:val="24"/>
          <w:highlight w:val="none"/>
          <w:lang w:eastAsia="zh-CN"/>
        </w:rPr>
        <w:t>有关</w:t>
      </w:r>
      <w:r>
        <w:rPr>
          <w:rFonts w:hint="eastAsia" w:ascii="宋体" w:hAnsi="宋体" w:eastAsia="宋体" w:cs="宋体"/>
          <w:color w:val="auto"/>
          <w:sz w:val="24"/>
          <w:szCs w:val="24"/>
          <w:highlight w:val="none"/>
        </w:rPr>
        <w:t>要求。接受项目行业管理部门及有关部门的指导，配合甲方的履约检查</w:t>
      </w:r>
      <w:r>
        <w:rPr>
          <w:rFonts w:hint="eastAsia" w:ascii="宋体" w:hAnsi="宋体" w:eastAsia="宋体" w:cs="宋体"/>
          <w:color w:val="auto"/>
          <w:sz w:val="24"/>
          <w:szCs w:val="24"/>
          <w:highlight w:val="none"/>
          <w:lang w:eastAsia="zh-CN"/>
        </w:rPr>
        <w:t>及验收</w:t>
      </w:r>
      <w:r>
        <w:rPr>
          <w:rFonts w:hint="eastAsia" w:ascii="宋体" w:hAnsi="宋体" w:eastAsia="宋体" w:cs="宋体"/>
          <w:color w:val="auto"/>
          <w:sz w:val="24"/>
          <w:szCs w:val="24"/>
          <w:highlight w:val="none"/>
        </w:rPr>
        <w:t>，并负责项目实施过程中的所有协调工作。</w:t>
      </w:r>
    </w:p>
    <w:p w14:paraId="7DBFBC22">
      <w:pPr>
        <w:pStyle w:val="8"/>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.3乙方有权根据合同约定向甲方收取</w:t>
      </w:r>
      <w:r>
        <w:rPr>
          <w:rFonts w:hint="eastAsia" w:ascii="宋体" w:hAnsi="宋体" w:eastAsia="宋体" w:cs="宋体"/>
          <w:color w:val="auto"/>
          <w:sz w:val="24"/>
          <w:szCs w:val="24"/>
          <w:highlight w:val="none"/>
          <w:lang w:eastAsia="zh-CN"/>
        </w:rPr>
        <w:t>合同价款</w:t>
      </w:r>
      <w:r>
        <w:rPr>
          <w:rFonts w:hint="eastAsia" w:ascii="宋体" w:hAnsi="宋体" w:eastAsia="宋体" w:cs="宋体"/>
          <w:color w:val="auto"/>
          <w:sz w:val="24"/>
          <w:szCs w:val="24"/>
          <w:highlight w:val="none"/>
        </w:rPr>
        <w:t>。</w:t>
      </w:r>
    </w:p>
    <w:p w14:paraId="113BD4B1">
      <w:pPr>
        <w:pStyle w:val="8"/>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.4国家法律法规规定</w:t>
      </w:r>
      <w:r>
        <w:rPr>
          <w:rFonts w:hint="eastAsia" w:ascii="宋体" w:hAnsi="宋体" w:eastAsia="宋体" w:cs="宋体"/>
          <w:color w:val="auto"/>
          <w:sz w:val="24"/>
          <w:szCs w:val="24"/>
          <w:highlight w:val="none"/>
          <w:lang w:eastAsia="zh-CN"/>
        </w:rPr>
        <w:t>及</w:t>
      </w:r>
      <w:r>
        <w:rPr>
          <w:rFonts w:hint="eastAsia" w:ascii="宋体" w:hAnsi="宋体" w:eastAsia="宋体" w:cs="宋体"/>
          <w:b/>
          <w:bCs/>
          <w:color w:val="auto"/>
          <w:sz w:val="24"/>
          <w:szCs w:val="24"/>
          <w:highlight w:val="none"/>
        </w:rPr>
        <w:t>【采购合同专用条款】</w:t>
      </w:r>
      <w:r>
        <w:rPr>
          <w:rFonts w:hint="eastAsia" w:ascii="宋体" w:hAnsi="宋体" w:eastAsia="宋体" w:cs="宋体"/>
          <w:b w:val="0"/>
          <w:bCs w:val="0"/>
          <w:color w:val="auto"/>
          <w:sz w:val="24"/>
          <w:szCs w:val="24"/>
          <w:highlight w:val="none"/>
          <w:lang w:eastAsia="zh-CN"/>
        </w:rPr>
        <w:t>约定应</w:t>
      </w:r>
      <w:r>
        <w:rPr>
          <w:rFonts w:hint="eastAsia" w:ascii="宋体" w:hAnsi="宋体" w:eastAsia="宋体" w:cs="宋体"/>
          <w:color w:val="auto"/>
          <w:sz w:val="24"/>
          <w:szCs w:val="24"/>
          <w:highlight w:val="none"/>
        </w:rPr>
        <w:t>由乙方承担的其他义务和责任。</w:t>
      </w:r>
    </w:p>
    <w:p w14:paraId="4EE36645">
      <w:pPr>
        <w:pageBreakBefore w:val="0"/>
        <w:numPr>
          <w:ilvl w:val="0"/>
          <w:numId w:val="6"/>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合同履</w:t>
      </w:r>
      <w:r>
        <w:rPr>
          <w:rFonts w:hint="eastAsia" w:ascii="宋体" w:hAnsi="宋体" w:eastAsia="宋体" w:cs="宋体"/>
          <w:b/>
          <w:bCs/>
          <w:color w:val="auto"/>
          <w:sz w:val="24"/>
          <w:szCs w:val="24"/>
          <w:highlight w:val="none"/>
          <w:lang w:val="en-US" w:eastAsia="zh-CN"/>
        </w:rPr>
        <w:t>行</w:t>
      </w:r>
    </w:p>
    <w:p w14:paraId="258D78E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6</w:t>
      </w:r>
      <w:r>
        <w:rPr>
          <w:rFonts w:hint="eastAsia" w:ascii="宋体" w:hAnsi="宋体" w:eastAsia="宋体" w:cs="宋体"/>
          <w:color w:val="auto"/>
          <w:sz w:val="24"/>
          <w:szCs w:val="24"/>
          <w:highlight w:val="none"/>
        </w:rPr>
        <w:t>.1 甲乙双方应当按照</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rPr>
        <w:t>约定顺序履行合同义务；如果没有先后顺序的，应当同时履行。</w:t>
      </w:r>
    </w:p>
    <w:p w14:paraId="59F6038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6</w:t>
      </w:r>
      <w:r>
        <w:rPr>
          <w:rFonts w:hint="eastAsia" w:ascii="宋体" w:hAnsi="宋体" w:eastAsia="宋体" w:cs="宋体"/>
          <w:color w:val="auto"/>
          <w:sz w:val="24"/>
          <w:szCs w:val="24"/>
          <w:highlight w:val="none"/>
        </w:rPr>
        <w:t>.2 甲乙双方按照合同约定顺序履行合同义务时，应当先履行一方未履行的，后履行一方有权拒绝其履行请求。先履行一方履行不符合约定的，后履行一方有权拒绝其相应的履行请求。</w:t>
      </w:r>
    </w:p>
    <w:p w14:paraId="14612F9D">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7</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货物包装、运输</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保险</w:t>
      </w:r>
      <w:r>
        <w:rPr>
          <w:rFonts w:hint="eastAsia" w:ascii="宋体" w:hAnsi="宋体" w:eastAsia="宋体" w:cs="宋体"/>
          <w:b/>
          <w:bCs/>
          <w:color w:val="auto"/>
          <w:sz w:val="24"/>
          <w:szCs w:val="24"/>
          <w:highlight w:val="none"/>
          <w:lang w:eastAsia="zh-CN"/>
        </w:rPr>
        <w:t>和交付</w:t>
      </w:r>
      <w:r>
        <w:rPr>
          <w:rFonts w:hint="eastAsia" w:ascii="宋体" w:hAnsi="宋体" w:eastAsia="宋体" w:cs="宋体"/>
          <w:b/>
          <w:bCs/>
          <w:color w:val="auto"/>
          <w:sz w:val="24"/>
          <w:szCs w:val="24"/>
          <w:highlight w:val="none"/>
        </w:rPr>
        <w:t>要求</w:t>
      </w:r>
    </w:p>
    <w:p w14:paraId="7B572DF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.1 本合同</w:t>
      </w:r>
      <w:r>
        <w:rPr>
          <w:rFonts w:hint="eastAsia" w:ascii="宋体" w:hAnsi="宋体" w:eastAsia="宋体" w:cs="宋体"/>
          <w:bCs/>
          <w:color w:val="auto"/>
          <w:sz w:val="24"/>
          <w:szCs w:val="24"/>
          <w:highlight w:val="none"/>
        </w:rPr>
        <w:t>涉及商品包装</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快递包装的，</w:t>
      </w:r>
      <w:r>
        <w:rPr>
          <w:rFonts w:hint="eastAsia" w:ascii="宋体" w:hAnsi="宋体" w:eastAsia="宋体" w:cs="宋体"/>
          <w:color w:val="auto"/>
          <w:sz w:val="24"/>
          <w:szCs w:val="24"/>
          <w:highlight w:val="none"/>
        </w:rPr>
        <w:t>除</w:t>
      </w:r>
      <w:r>
        <w:rPr>
          <w:rFonts w:hint="eastAsia" w:ascii="宋体" w:hAnsi="宋体" w:eastAsia="宋体" w:cs="宋体"/>
          <w:b/>
          <w:color w:val="auto"/>
          <w:sz w:val="24"/>
          <w:szCs w:val="24"/>
          <w:highlight w:val="none"/>
        </w:rPr>
        <w:t>【采购合同专用条款】</w:t>
      </w:r>
      <w:r>
        <w:rPr>
          <w:rFonts w:hint="eastAsia" w:ascii="宋体" w:hAnsi="宋体" w:eastAsia="宋体" w:cs="宋体"/>
          <w:bCs/>
          <w:color w:val="auto"/>
          <w:sz w:val="24"/>
          <w:szCs w:val="24"/>
          <w:highlight w:val="none"/>
        </w:rPr>
        <w:t>另有</w:t>
      </w:r>
      <w:r>
        <w:rPr>
          <w:rFonts w:hint="eastAsia" w:ascii="宋体" w:hAnsi="宋体" w:eastAsia="宋体" w:cs="宋体"/>
          <w:bCs/>
          <w:color w:val="auto"/>
          <w:sz w:val="24"/>
          <w:szCs w:val="24"/>
          <w:highlight w:val="none"/>
          <w:lang w:eastAsia="zh-CN"/>
        </w:rPr>
        <w:t>约</w:t>
      </w:r>
      <w:r>
        <w:rPr>
          <w:rFonts w:hint="eastAsia" w:ascii="宋体" w:hAnsi="宋体" w:eastAsia="宋体" w:cs="宋体"/>
          <w:bCs/>
          <w:color w:val="auto"/>
          <w:sz w:val="24"/>
          <w:szCs w:val="24"/>
          <w:highlight w:val="none"/>
        </w:rPr>
        <w:t>定</w:t>
      </w:r>
      <w:r>
        <w:rPr>
          <w:rFonts w:hint="eastAsia" w:ascii="宋体" w:hAnsi="宋体" w:eastAsia="宋体" w:cs="宋体"/>
          <w:bCs/>
          <w:color w:val="auto"/>
          <w:sz w:val="24"/>
          <w:szCs w:val="24"/>
          <w:highlight w:val="none"/>
          <w:lang w:eastAsia="zh-CN"/>
        </w:rPr>
        <w:t>外</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包装应适应远距离运输、防潮、防震、防锈和防野蛮装卸等要求，确保货物安全无损地运抵</w:t>
      </w:r>
      <w:r>
        <w:rPr>
          <w:rFonts w:hint="eastAsia" w:ascii="宋体" w:hAnsi="宋体" w:eastAsia="宋体" w:cs="宋体"/>
          <w:b/>
          <w:color w:val="auto"/>
          <w:sz w:val="24"/>
          <w:szCs w:val="24"/>
          <w:highlight w:val="none"/>
        </w:rPr>
        <w:t>【采购合同专用条款】</w:t>
      </w:r>
      <w:r>
        <w:rPr>
          <w:rFonts w:hint="eastAsia" w:ascii="宋体" w:hAnsi="宋体" w:eastAsia="宋体" w:cs="宋体"/>
          <w:b w:val="0"/>
          <w:bCs/>
          <w:color w:val="auto"/>
          <w:sz w:val="24"/>
          <w:szCs w:val="24"/>
          <w:highlight w:val="none"/>
          <w:lang w:eastAsia="zh-CN"/>
        </w:rPr>
        <w:t>约定的</w:t>
      </w:r>
      <w:r>
        <w:rPr>
          <w:rFonts w:hint="eastAsia" w:ascii="宋体" w:hAnsi="宋体" w:eastAsia="宋体" w:cs="宋体"/>
          <w:color w:val="auto"/>
          <w:sz w:val="24"/>
          <w:szCs w:val="24"/>
          <w:highlight w:val="none"/>
        </w:rPr>
        <w:t>指定现场。</w:t>
      </w:r>
    </w:p>
    <w:p w14:paraId="0EC4E7A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.2 除</w:t>
      </w:r>
      <w:r>
        <w:rPr>
          <w:rFonts w:hint="eastAsia" w:ascii="宋体" w:hAnsi="宋体" w:eastAsia="宋体" w:cs="宋体"/>
          <w:b/>
          <w:color w:val="auto"/>
          <w:sz w:val="24"/>
          <w:szCs w:val="24"/>
          <w:highlight w:val="none"/>
        </w:rPr>
        <w:t>【采购合同专用条款】</w:t>
      </w:r>
      <w:r>
        <w:rPr>
          <w:rFonts w:hint="eastAsia" w:ascii="宋体" w:hAnsi="宋体" w:eastAsia="宋体" w:cs="宋体"/>
          <w:bCs/>
          <w:color w:val="auto"/>
          <w:sz w:val="24"/>
          <w:szCs w:val="24"/>
          <w:highlight w:val="none"/>
        </w:rPr>
        <w:t>另有</w:t>
      </w:r>
      <w:r>
        <w:rPr>
          <w:rFonts w:hint="eastAsia" w:ascii="宋体" w:hAnsi="宋体" w:eastAsia="宋体" w:cs="宋体"/>
          <w:bCs/>
          <w:color w:val="auto"/>
          <w:sz w:val="24"/>
          <w:szCs w:val="24"/>
          <w:highlight w:val="none"/>
          <w:lang w:eastAsia="zh-CN"/>
        </w:rPr>
        <w:t>约</w:t>
      </w:r>
      <w:r>
        <w:rPr>
          <w:rFonts w:hint="eastAsia" w:ascii="宋体" w:hAnsi="宋体" w:eastAsia="宋体" w:cs="宋体"/>
          <w:bCs/>
          <w:color w:val="auto"/>
          <w:sz w:val="24"/>
          <w:szCs w:val="24"/>
          <w:highlight w:val="none"/>
        </w:rPr>
        <w:t>定</w:t>
      </w:r>
      <w:r>
        <w:rPr>
          <w:rFonts w:hint="eastAsia" w:ascii="宋体" w:hAnsi="宋体" w:eastAsia="宋体" w:cs="宋体"/>
          <w:bCs/>
          <w:color w:val="auto"/>
          <w:sz w:val="24"/>
          <w:szCs w:val="24"/>
          <w:highlight w:val="none"/>
          <w:lang w:eastAsia="zh-CN"/>
        </w:rPr>
        <w:t>外</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乙方负责办理将货物运抵本合同规定的交货地点</w:t>
      </w:r>
      <w:r>
        <w:rPr>
          <w:rFonts w:hint="eastAsia" w:ascii="宋体" w:hAnsi="宋体" w:eastAsia="宋体" w:cs="宋体"/>
          <w:color w:val="auto"/>
          <w:sz w:val="24"/>
          <w:szCs w:val="24"/>
          <w:highlight w:val="none"/>
          <w:lang w:eastAsia="zh-CN"/>
        </w:rPr>
        <w:t>，并装卸、交付至甲方</w:t>
      </w:r>
      <w:r>
        <w:rPr>
          <w:rFonts w:hint="eastAsia" w:ascii="宋体" w:hAnsi="宋体" w:eastAsia="宋体" w:cs="宋体"/>
          <w:color w:val="auto"/>
          <w:sz w:val="24"/>
          <w:szCs w:val="24"/>
          <w:highlight w:val="none"/>
        </w:rPr>
        <w:t>的一切运输事项，相关费用应</w:t>
      </w:r>
      <w:r>
        <w:rPr>
          <w:rFonts w:hint="eastAsia" w:ascii="宋体" w:hAnsi="宋体" w:eastAsia="宋体" w:cs="宋体"/>
          <w:color w:val="auto"/>
          <w:sz w:val="24"/>
          <w:szCs w:val="24"/>
          <w:highlight w:val="none"/>
          <w:lang w:eastAsia="zh-CN"/>
        </w:rPr>
        <w:t>包含</w:t>
      </w:r>
      <w:r>
        <w:rPr>
          <w:rFonts w:hint="eastAsia" w:ascii="宋体" w:hAnsi="宋体" w:eastAsia="宋体" w:cs="宋体"/>
          <w:color w:val="auto"/>
          <w:sz w:val="24"/>
          <w:szCs w:val="24"/>
          <w:highlight w:val="none"/>
        </w:rPr>
        <w:t>在合同</w:t>
      </w:r>
      <w:r>
        <w:rPr>
          <w:rFonts w:hint="eastAsia" w:ascii="宋体" w:hAnsi="宋体" w:eastAsia="宋体" w:cs="宋体"/>
          <w:color w:val="auto"/>
          <w:sz w:val="24"/>
          <w:szCs w:val="24"/>
          <w:highlight w:val="none"/>
          <w:lang w:eastAsia="zh-CN"/>
        </w:rPr>
        <w:t>价款</w:t>
      </w:r>
      <w:r>
        <w:rPr>
          <w:rFonts w:hint="eastAsia" w:ascii="宋体" w:hAnsi="宋体" w:eastAsia="宋体" w:cs="宋体"/>
          <w:color w:val="auto"/>
          <w:sz w:val="24"/>
          <w:szCs w:val="24"/>
          <w:highlight w:val="none"/>
        </w:rPr>
        <w:t>中。</w:t>
      </w:r>
    </w:p>
    <w:p w14:paraId="1C729CB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.3 货物保险要求按</w:t>
      </w:r>
      <w:r>
        <w:rPr>
          <w:rFonts w:hint="eastAsia" w:ascii="宋体" w:hAnsi="宋体" w:eastAsia="宋体" w:cs="宋体"/>
          <w:b/>
          <w:color w:val="auto"/>
          <w:sz w:val="24"/>
          <w:szCs w:val="24"/>
          <w:highlight w:val="none"/>
        </w:rPr>
        <w:t>【采购合同专用条款】</w:t>
      </w:r>
      <w:r>
        <w:rPr>
          <w:rFonts w:hint="eastAsia" w:ascii="宋体" w:hAnsi="宋体" w:eastAsia="宋体" w:cs="宋体"/>
          <w:bCs/>
          <w:color w:val="auto"/>
          <w:sz w:val="24"/>
          <w:szCs w:val="24"/>
          <w:highlight w:val="none"/>
        </w:rPr>
        <w:t>规定执行</w:t>
      </w:r>
      <w:r>
        <w:rPr>
          <w:rFonts w:hint="eastAsia" w:ascii="宋体" w:hAnsi="宋体" w:eastAsia="宋体" w:cs="宋体"/>
          <w:color w:val="auto"/>
          <w:sz w:val="24"/>
          <w:szCs w:val="24"/>
          <w:highlight w:val="none"/>
        </w:rPr>
        <w:t>。</w:t>
      </w:r>
    </w:p>
    <w:p w14:paraId="4C0D164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 xml:space="preserve">.4 </w:t>
      </w:r>
      <w:r>
        <w:rPr>
          <w:rFonts w:hint="eastAsia" w:ascii="宋体" w:hAnsi="宋体" w:eastAsia="宋体" w:cs="宋体"/>
          <w:color w:val="auto"/>
          <w:sz w:val="24"/>
          <w:szCs w:val="24"/>
          <w:highlight w:val="none"/>
          <w:lang w:val="en-US" w:eastAsia="zh-CN"/>
        </w:rPr>
        <w:t>除采购活动</w:t>
      </w:r>
      <w:r>
        <w:rPr>
          <w:rFonts w:hint="eastAsia" w:ascii="宋体" w:hAnsi="宋体" w:eastAsia="宋体" w:cs="宋体"/>
          <w:color w:val="auto"/>
          <w:sz w:val="24"/>
          <w:szCs w:val="24"/>
          <w:highlight w:val="none"/>
        </w:rPr>
        <w:t>对商品包装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快递包装</w:t>
      </w:r>
      <w:r>
        <w:rPr>
          <w:rFonts w:hint="eastAsia" w:ascii="宋体" w:hAnsi="宋体" w:eastAsia="宋体" w:cs="宋体"/>
          <w:color w:val="auto"/>
          <w:sz w:val="24"/>
          <w:szCs w:val="24"/>
          <w:highlight w:val="none"/>
          <w:lang w:val="en-US" w:eastAsia="zh-CN"/>
        </w:rPr>
        <w:t>达成具体约定外</w:t>
      </w:r>
      <w:r>
        <w:rPr>
          <w:rFonts w:hint="eastAsia" w:ascii="宋体" w:hAnsi="宋体" w:eastAsia="宋体" w:cs="宋体"/>
          <w:color w:val="auto"/>
          <w:sz w:val="24"/>
          <w:szCs w:val="24"/>
          <w:highlight w:val="none"/>
        </w:rPr>
        <w:t>，乙方提供产品及相关快递服务</w:t>
      </w:r>
      <w:r>
        <w:rPr>
          <w:rFonts w:hint="eastAsia" w:ascii="宋体" w:hAnsi="宋体" w:eastAsia="宋体" w:cs="宋体"/>
          <w:color w:val="auto"/>
          <w:sz w:val="24"/>
          <w:szCs w:val="24"/>
          <w:highlight w:val="none"/>
          <w:lang w:val="en-US" w:eastAsia="zh-CN"/>
        </w:rPr>
        <w:t>涉及到</w:t>
      </w:r>
      <w:r>
        <w:rPr>
          <w:rFonts w:hint="eastAsia" w:ascii="宋体" w:hAnsi="宋体" w:eastAsia="宋体" w:cs="宋体"/>
          <w:color w:val="auto"/>
          <w:sz w:val="24"/>
          <w:szCs w:val="24"/>
          <w:highlight w:val="none"/>
        </w:rPr>
        <w:t>具体包装要求</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不低于</w:t>
      </w:r>
      <w:r>
        <w:rPr>
          <w:rFonts w:hint="eastAsia" w:ascii="宋体" w:hAnsi="宋体" w:eastAsia="宋体" w:cs="宋体"/>
          <w:color w:val="auto"/>
          <w:sz w:val="24"/>
          <w:szCs w:val="24"/>
          <w:highlight w:val="none"/>
        </w:rPr>
        <w:t>《商品包装政府采购需求标准（试行）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快递包装政府采购需求标准（试行）》</w:t>
      </w:r>
      <w:r>
        <w:rPr>
          <w:rFonts w:hint="eastAsia" w:ascii="宋体" w:hAnsi="宋体" w:eastAsia="宋体" w:cs="宋体"/>
          <w:color w:val="auto"/>
          <w:sz w:val="24"/>
          <w:szCs w:val="24"/>
          <w:highlight w:val="none"/>
          <w:lang w:val="en-US" w:eastAsia="zh-CN"/>
        </w:rPr>
        <w:t>标准</w:t>
      </w:r>
      <w:r>
        <w:rPr>
          <w:rFonts w:hint="eastAsia" w:ascii="宋体" w:hAnsi="宋体" w:eastAsia="宋体" w:cs="宋体"/>
          <w:color w:val="auto"/>
          <w:sz w:val="24"/>
          <w:szCs w:val="24"/>
          <w:highlight w:val="none"/>
        </w:rPr>
        <w:t>，并作为履约验收的内容，必要时甲方可以要求乙方在履约验收环节出具检测报告。</w:t>
      </w:r>
    </w:p>
    <w:p w14:paraId="6D1178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7.5 </w:t>
      </w:r>
      <w:r>
        <w:rPr>
          <w:rFonts w:hint="eastAsia" w:ascii="宋体" w:hAnsi="宋体" w:eastAsia="宋体" w:cs="宋体"/>
          <w:color w:val="auto"/>
          <w:sz w:val="24"/>
          <w:szCs w:val="24"/>
          <w:highlight w:val="none"/>
        </w:rPr>
        <w:t>乙方在运输到达之前</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提前通知</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，并提示货物运输装卸的注意事项</w:t>
      </w:r>
      <w:r>
        <w:rPr>
          <w:rFonts w:hint="eastAsia" w:ascii="宋体" w:hAnsi="宋体" w:eastAsia="宋体" w:cs="宋体"/>
          <w:color w:val="auto"/>
          <w:sz w:val="24"/>
          <w:szCs w:val="24"/>
          <w:highlight w:val="none"/>
          <w:lang w:eastAsia="zh-CN"/>
        </w:rPr>
        <w:t>，甲方配合乙方做好货物的接收工作。</w:t>
      </w:r>
    </w:p>
    <w:p w14:paraId="754A4C6C">
      <w:pPr>
        <w:pStyle w:val="59"/>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rPr>
        <w:t xml:space="preserve">7.6 </w:t>
      </w:r>
      <w:r>
        <w:rPr>
          <w:rFonts w:hint="eastAsia" w:ascii="宋体" w:hAnsi="宋体" w:eastAsia="宋体" w:cs="宋体"/>
          <w:color w:val="auto"/>
          <w:kern w:val="2"/>
          <w:sz w:val="24"/>
          <w:szCs w:val="24"/>
          <w:highlight w:val="none"/>
        </w:rPr>
        <w:t>如因包装</w:t>
      </w:r>
      <w:r>
        <w:rPr>
          <w:rFonts w:hint="eastAsia" w:ascii="宋体" w:hAnsi="宋体" w:eastAsia="宋体" w:cs="宋体"/>
          <w:color w:val="auto"/>
          <w:kern w:val="2"/>
          <w:sz w:val="24"/>
          <w:szCs w:val="24"/>
          <w:highlight w:val="none"/>
          <w:lang w:eastAsia="zh-CN"/>
        </w:rPr>
        <w:t>、运输</w:t>
      </w:r>
      <w:r>
        <w:rPr>
          <w:rFonts w:hint="eastAsia" w:ascii="宋体" w:hAnsi="宋体" w:eastAsia="宋体" w:cs="宋体"/>
          <w:color w:val="auto"/>
          <w:kern w:val="2"/>
          <w:sz w:val="24"/>
          <w:szCs w:val="24"/>
          <w:highlight w:val="none"/>
        </w:rPr>
        <w:t>问题导致货物</w:t>
      </w:r>
      <w:r>
        <w:rPr>
          <w:rFonts w:hint="eastAsia" w:ascii="宋体" w:hAnsi="宋体" w:eastAsia="宋体" w:cs="宋体"/>
          <w:color w:val="auto"/>
          <w:kern w:val="2"/>
          <w:sz w:val="24"/>
          <w:szCs w:val="24"/>
          <w:highlight w:val="none"/>
          <w:lang w:eastAsia="zh-CN"/>
        </w:rPr>
        <w:t>损毁、丢失</w:t>
      </w:r>
      <w:r>
        <w:rPr>
          <w:rFonts w:hint="eastAsia" w:ascii="宋体" w:hAnsi="宋体" w:eastAsia="宋体" w:cs="宋体"/>
          <w:color w:val="auto"/>
          <w:kern w:val="2"/>
          <w:sz w:val="24"/>
          <w:szCs w:val="24"/>
          <w:highlight w:val="none"/>
        </w:rPr>
        <w:t>或者品质下降，</w:t>
      </w:r>
      <w:r>
        <w:rPr>
          <w:rFonts w:hint="eastAsia" w:ascii="宋体" w:hAnsi="宋体" w:eastAsia="宋体" w:cs="宋体"/>
          <w:color w:val="auto"/>
          <w:kern w:val="2"/>
          <w:sz w:val="24"/>
          <w:szCs w:val="24"/>
          <w:highlight w:val="none"/>
          <w:lang w:eastAsia="zh-CN"/>
        </w:rPr>
        <w:t>甲方</w:t>
      </w:r>
      <w:r>
        <w:rPr>
          <w:rFonts w:hint="eastAsia" w:ascii="宋体" w:hAnsi="宋体" w:eastAsia="宋体" w:cs="宋体"/>
          <w:color w:val="auto"/>
          <w:kern w:val="2"/>
          <w:sz w:val="24"/>
          <w:szCs w:val="24"/>
          <w:highlight w:val="none"/>
        </w:rPr>
        <w:t>有权要求降价、换货、拒收部分或整批货物，由此</w:t>
      </w:r>
      <w:r>
        <w:rPr>
          <w:rFonts w:hint="eastAsia" w:ascii="宋体" w:hAnsi="宋体" w:eastAsia="宋体" w:cs="宋体"/>
          <w:color w:val="auto"/>
          <w:kern w:val="2"/>
          <w:sz w:val="24"/>
          <w:szCs w:val="24"/>
          <w:highlight w:val="none"/>
          <w:lang w:eastAsia="zh-CN"/>
        </w:rPr>
        <w:t>产生</w:t>
      </w:r>
      <w:r>
        <w:rPr>
          <w:rFonts w:hint="eastAsia" w:ascii="宋体" w:hAnsi="宋体" w:eastAsia="宋体" w:cs="宋体"/>
          <w:color w:val="auto"/>
          <w:kern w:val="2"/>
          <w:sz w:val="24"/>
          <w:szCs w:val="24"/>
          <w:highlight w:val="none"/>
        </w:rPr>
        <w:t>的费用和损失，均由</w:t>
      </w:r>
      <w:r>
        <w:rPr>
          <w:rFonts w:hint="eastAsia" w:ascii="宋体" w:hAnsi="宋体" w:eastAsia="宋体" w:cs="宋体"/>
          <w:color w:val="auto"/>
          <w:kern w:val="2"/>
          <w:sz w:val="24"/>
          <w:szCs w:val="24"/>
          <w:highlight w:val="none"/>
          <w:lang w:eastAsia="zh-CN"/>
        </w:rPr>
        <w:t>乙方</w:t>
      </w:r>
      <w:r>
        <w:rPr>
          <w:rFonts w:hint="eastAsia" w:ascii="宋体" w:hAnsi="宋体" w:eastAsia="宋体" w:cs="宋体"/>
          <w:color w:val="auto"/>
          <w:kern w:val="2"/>
          <w:sz w:val="24"/>
          <w:szCs w:val="24"/>
          <w:highlight w:val="none"/>
        </w:rPr>
        <w:t>承担。</w:t>
      </w:r>
    </w:p>
    <w:p w14:paraId="031C60C5">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8</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质量标准和保证</w:t>
      </w:r>
    </w:p>
    <w:p w14:paraId="610FD084">
      <w:pPr>
        <w:pStyle w:val="11"/>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.1 质量标准</w:t>
      </w:r>
    </w:p>
    <w:p w14:paraId="4811CC4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（1）本合同下</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w:t>
      </w:r>
      <w:r>
        <w:rPr>
          <w:rFonts w:hint="eastAsia" w:ascii="宋体" w:hAnsi="宋体" w:eastAsia="宋体" w:cs="宋体"/>
          <w:color w:val="auto"/>
          <w:sz w:val="24"/>
          <w:szCs w:val="24"/>
          <w:highlight w:val="none"/>
          <w:lang w:eastAsia="zh-CN"/>
        </w:rPr>
        <w:t>合同约</w:t>
      </w:r>
      <w:r>
        <w:rPr>
          <w:rFonts w:hint="eastAsia" w:ascii="宋体" w:hAnsi="宋体" w:eastAsia="宋体" w:cs="宋体"/>
          <w:color w:val="auto"/>
          <w:sz w:val="24"/>
          <w:szCs w:val="24"/>
          <w:highlight w:val="none"/>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4"/>
          <w:szCs w:val="24"/>
          <w:highlight w:val="none"/>
          <w:lang w:eastAsia="zh-CN"/>
        </w:rPr>
        <w:t>。</w:t>
      </w:r>
    </w:p>
    <w:p w14:paraId="4738D356">
      <w:pPr>
        <w:pStyle w:val="11"/>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（2）采用中华人民共和国法定计量单位。</w:t>
      </w:r>
    </w:p>
    <w:p w14:paraId="2529048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的货物应符合国家有关安全、环保、卫生</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规定。</w:t>
      </w:r>
    </w:p>
    <w:p w14:paraId="697E850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（4）乙方应向甲方提交所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货物的技术文件，包括相应的中文技术文件，如：产品目录、图纸、操作手册、使用说明、维护手册或服务指南</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上述</w:t>
      </w:r>
      <w:r>
        <w:rPr>
          <w:rFonts w:hint="eastAsia" w:ascii="宋体" w:hAnsi="宋体" w:eastAsia="宋体" w:cs="宋体"/>
          <w:color w:val="auto"/>
          <w:sz w:val="24"/>
          <w:szCs w:val="24"/>
          <w:highlight w:val="none"/>
        </w:rPr>
        <w:t>文件应包装好随货物一同发运。</w:t>
      </w:r>
    </w:p>
    <w:p w14:paraId="39E947C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.2 保证</w:t>
      </w:r>
    </w:p>
    <w:p w14:paraId="2D06C9B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w:t>
      </w:r>
      <w:r>
        <w:rPr>
          <w:rFonts w:hint="eastAsia" w:ascii="宋体" w:hAnsi="宋体" w:eastAsia="宋体" w:cs="宋体"/>
          <w:color w:val="auto"/>
          <w:sz w:val="24"/>
          <w:szCs w:val="24"/>
          <w:highlight w:val="none"/>
          <w:lang w:eastAsia="zh-CN"/>
        </w:rPr>
        <w:t>提供的货物</w:t>
      </w:r>
      <w:r>
        <w:rPr>
          <w:rFonts w:hint="eastAsia" w:ascii="宋体" w:hAnsi="宋体" w:eastAsia="宋体" w:cs="宋体"/>
          <w:color w:val="auto"/>
          <w:sz w:val="24"/>
          <w:szCs w:val="24"/>
          <w:highlight w:val="none"/>
        </w:rPr>
        <w:t>完全符合合同规定的质量、规格和性能要求。乙方应保证货物在正确安装、正常使用和保养条件下，在其使用寿命期内具</w:t>
      </w:r>
      <w:r>
        <w:rPr>
          <w:rFonts w:hint="eastAsia" w:ascii="宋体" w:hAnsi="宋体" w:eastAsia="宋体" w:cs="宋体"/>
          <w:color w:val="auto"/>
          <w:sz w:val="24"/>
          <w:szCs w:val="24"/>
          <w:highlight w:val="none"/>
          <w:lang w:eastAsia="zh-CN"/>
        </w:rPr>
        <w:t>备合同约定</w:t>
      </w:r>
      <w:r>
        <w:rPr>
          <w:rFonts w:hint="eastAsia" w:ascii="宋体" w:hAnsi="宋体" w:eastAsia="宋体" w:cs="宋体"/>
          <w:color w:val="auto"/>
          <w:sz w:val="24"/>
          <w:szCs w:val="24"/>
          <w:highlight w:val="none"/>
        </w:rPr>
        <w:t>的性能。</w:t>
      </w:r>
      <w:r>
        <w:rPr>
          <w:rFonts w:hint="eastAsia" w:ascii="宋体" w:hAnsi="宋体" w:eastAsia="宋体" w:cs="宋体"/>
          <w:color w:val="auto"/>
          <w:sz w:val="24"/>
          <w:szCs w:val="24"/>
          <w:highlight w:val="none"/>
          <w:lang w:eastAsia="zh-CN"/>
        </w:rPr>
        <w:t>存在</w:t>
      </w:r>
      <w:r>
        <w:rPr>
          <w:rFonts w:hint="eastAsia" w:ascii="宋体" w:hAnsi="宋体" w:eastAsia="宋体" w:cs="宋体"/>
          <w:color w:val="auto"/>
          <w:sz w:val="24"/>
          <w:szCs w:val="24"/>
          <w:highlight w:val="none"/>
        </w:rPr>
        <w:t>质量保证期的，货物最终交付验收</w:t>
      </w:r>
      <w:r>
        <w:rPr>
          <w:rFonts w:hint="eastAsia" w:ascii="宋体" w:hAnsi="宋体" w:eastAsia="宋体" w:cs="宋体"/>
          <w:color w:val="auto"/>
          <w:sz w:val="24"/>
          <w:szCs w:val="24"/>
          <w:highlight w:val="none"/>
          <w:lang w:eastAsia="zh-CN"/>
        </w:rPr>
        <w:t>合格</w:t>
      </w:r>
      <w:r>
        <w:rPr>
          <w:rFonts w:hint="eastAsia" w:ascii="宋体" w:hAnsi="宋体" w:eastAsia="宋体" w:cs="宋体"/>
          <w:color w:val="auto"/>
          <w:sz w:val="24"/>
          <w:szCs w:val="24"/>
          <w:highlight w:val="none"/>
        </w:rPr>
        <w:t>后</w:t>
      </w:r>
      <w:r>
        <w:rPr>
          <w:rFonts w:hint="eastAsia" w:ascii="宋体" w:hAnsi="宋体" w:eastAsia="宋体" w:cs="宋体"/>
          <w:color w:val="auto"/>
          <w:sz w:val="24"/>
          <w:szCs w:val="24"/>
          <w:highlight w:val="none"/>
          <w:lang w:eastAsia="zh-CN"/>
        </w:rPr>
        <w:t>在</w:t>
      </w:r>
      <w:r>
        <w:rPr>
          <w:rFonts w:hint="eastAsia" w:ascii="宋体" w:hAnsi="宋体" w:eastAsia="宋体" w:cs="宋体"/>
          <w:b/>
          <w:color w:val="auto"/>
          <w:sz w:val="24"/>
          <w:szCs w:val="24"/>
          <w:highlight w:val="none"/>
        </w:rPr>
        <w:t>【采购合同专用条款】</w:t>
      </w:r>
      <w:r>
        <w:rPr>
          <w:rFonts w:hint="eastAsia" w:ascii="宋体" w:hAnsi="宋体" w:eastAsia="宋体" w:cs="宋体"/>
          <w:color w:val="auto"/>
          <w:sz w:val="24"/>
          <w:szCs w:val="24"/>
          <w:highlight w:val="none"/>
        </w:rPr>
        <w:t>规定或乙方</w:t>
      </w:r>
      <w:r>
        <w:rPr>
          <w:rFonts w:hint="eastAsia" w:ascii="宋体" w:hAnsi="宋体" w:eastAsia="宋体" w:cs="宋体"/>
          <w:color w:val="auto"/>
          <w:sz w:val="24"/>
          <w:szCs w:val="24"/>
          <w:highlight w:val="none"/>
          <w:lang w:eastAsia="zh-CN"/>
        </w:rPr>
        <w:t>书面</w:t>
      </w:r>
      <w:r>
        <w:rPr>
          <w:rFonts w:hint="eastAsia" w:ascii="宋体" w:hAnsi="宋体" w:eastAsia="宋体" w:cs="宋体"/>
          <w:color w:val="auto"/>
          <w:sz w:val="24"/>
          <w:szCs w:val="24"/>
          <w:highlight w:val="none"/>
        </w:rPr>
        <w:t>承诺（两者以较长的为准）的质量保证期内，本保证保持有效。</w:t>
      </w:r>
    </w:p>
    <w:p w14:paraId="7864247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（2）在质量保证期内所发现的缺陷，甲方应尽快以书面形式通知乙方。</w:t>
      </w:r>
    </w:p>
    <w:p w14:paraId="16909D9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（3）乙方收到通知后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应在</w:t>
      </w:r>
      <w:r>
        <w:rPr>
          <w:rFonts w:hint="eastAsia" w:ascii="宋体" w:hAnsi="宋体" w:eastAsia="宋体" w:cs="宋体"/>
          <w:b/>
          <w:color w:val="auto"/>
          <w:sz w:val="24"/>
          <w:szCs w:val="24"/>
          <w:highlight w:val="none"/>
        </w:rPr>
        <w:t>【采购合同专用条款】</w:t>
      </w:r>
      <w:r>
        <w:rPr>
          <w:rFonts w:hint="eastAsia" w:ascii="宋体" w:hAnsi="宋体" w:eastAsia="宋体" w:cs="宋体"/>
          <w:color w:val="auto"/>
          <w:sz w:val="24"/>
          <w:szCs w:val="24"/>
          <w:highlight w:val="none"/>
        </w:rPr>
        <w:t>规定的响应时间内以合理的速度免费维修或更换有缺陷的货物或部件。</w:t>
      </w:r>
    </w:p>
    <w:p w14:paraId="196606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.1条规定以书面形式</w:t>
      </w:r>
      <w:r>
        <w:rPr>
          <w:rFonts w:hint="eastAsia" w:ascii="宋体" w:hAnsi="宋体" w:eastAsia="宋体" w:cs="宋体"/>
          <w:color w:val="auto"/>
          <w:sz w:val="24"/>
          <w:szCs w:val="24"/>
          <w:highlight w:val="none"/>
          <w:lang w:eastAsia="zh-CN"/>
        </w:rPr>
        <w:t>追究</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的违约责任</w:t>
      </w:r>
      <w:r>
        <w:rPr>
          <w:rFonts w:hint="eastAsia" w:ascii="宋体" w:hAnsi="宋体" w:eastAsia="宋体" w:cs="宋体"/>
          <w:color w:val="auto"/>
          <w:sz w:val="24"/>
          <w:szCs w:val="24"/>
          <w:highlight w:val="none"/>
        </w:rPr>
        <w:t>。</w:t>
      </w:r>
    </w:p>
    <w:p w14:paraId="2A4F63C3">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对乙方行使的其他权利不受影响。</w:t>
      </w:r>
    </w:p>
    <w:p w14:paraId="1E2C413E">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9</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权利瑕疵担保</w:t>
      </w:r>
    </w:p>
    <w:p w14:paraId="0A8837E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.1 乙方保证对其出售的货物享有合法的权利。</w:t>
      </w:r>
    </w:p>
    <w:p w14:paraId="5AF4EC1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.2 乙方保证在交付的货物上不存在抵押权等担保物权。</w:t>
      </w:r>
    </w:p>
    <w:p w14:paraId="5A209C1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.3 如甲方使用</w:t>
      </w:r>
      <w:r>
        <w:rPr>
          <w:rFonts w:hint="eastAsia" w:ascii="宋体" w:hAnsi="宋体" w:eastAsia="宋体" w:cs="宋体"/>
          <w:color w:val="auto"/>
          <w:sz w:val="24"/>
          <w:szCs w:val="24"/>
          <w:highlight w:val="none"/>
          <w:lang w:val="en-US" w:eastAsia="zh-CN"/>
        </w:rPr>
        <w:t>上述</w:t>
      </w:r>
      <w:r>
        <w:rPr>
          <w:rFonts w:hint="eastAsia" w:ascii="宋体" w:hAnsi="宋体" w:eastAsia="宋体" w:cs="宋体"/>
          <w:color w:val="auto"/>
          <w:sz w:val="24"/>
          <w:szCs w:val="24"/>
          <w:highlight w:val="none"/>
        </w:rPr>
        <w:t>货物构成</w:t>
      </w:r>
      <w:r>
        <w:rPr>
          <w:rFonts w:hint="eastAsia" w:ascii="宋体" w:hAnsi="宋体" w:eastAsia="宋体" w:cs="宋体"/>
          <w:color w:val="auto"/>
          <w:sz w:val="24"/>
          <w:szCs w:val="24"/>
          <w:highlight w:val="none"/>
          <w:lang w:val="en-US" w:eastAsia="zh-CN"/>
        </w:rPr>
        <w:t>对第三人</w:t>
      </w:r>
      <w:r>
        <w:rPr>
          <w:rFonts w:hint="eastAsia" w:ascii="宋体" w:hAnsi="宋体" w:eastAsia="宋体" w:cs="宋体"/>
          <w:color w:val="auto"/>
          <w:sz w:val="24"/>
          <w:szCs w:val="24"/>
          <w:highlight w:val="none"/>
        </w:rPr>
        <w:t>侵权的，则由乙方承担全部责任。</w:t>
      </w:r>
    </w:p>
    <w:p w14:paraId="61B8F36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0</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知识产权保护</w:t>
      </w:r>
    </w:p>
    <w:p w14:paraId="1E8BCD8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0</w:t>
      </w:r>
      <w:r>
        <w:rPr>
          <w:rFonts w:hint="eastAsia" w:ascii="宋体" w:hAnsi="宋体" w:eastAsia="宋体" w:cs="宋体"/>
          <w:color w:val="auto"/>
          <w:sz w:val="24"/>
          <w:szCs w:val="24"/>
          <w:highlight w:val="none"/>
        </w:rPr>
        <w:t>.1 乙方对其所销售的货物应当享有知识产权或经权利人合法授权，保证没有侵犯任何第三人的知识产权等权利。</w:t>
      </w:r>
      <w:bookmarkStart w:id="49" w:name="_Hlk163047038"/>
      <w:r>
        <w:rPr>
          <w:rFonts w:hint="eastAsia" w:ascii="宋体" w:hAnsi="宋体" w:eastAsia="宋体" w:cs="宋体"/>
          <w:color w:val="auto"/>
          <w:sz w:val="24"/>
          <w:szCs w:val="24"/>
          <w:highlight w:val="none"/>
        </w:rPr>
        <w:t>因违反前述约定对第三人构成侵权的，应当由乙方向第三人承担法律责任；甲方依法向第三人赔偿后，有权向乙方追偿。甲方有其他损失的，乙方应当赔偿</w:t>
      </w:r>
      <w:bookmarkEnd w:id="49"/>
      <w:r>
        <w:rPr>
          <w:rFonts w:hint="eastAsia" w:ascii="宋体" w:hAnsi="宋体" w:eastAsia="宋体" w:cs="宋体"/>
          <w:color w:val="auto"/>
          <w:sz w:val="24"/>
          <w:szCs w:val="24"/>
          <w:highlight w:val="none"/>
        </w:rPr>
        <w:t>。</w:t>
      </w:r>
    </w:p>
    <w:p w14:paraId="02879CDB">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保密义务</w:t>
      </w:r>
    </w:p>
    <w:p w14:paraId="47E400B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11.1 </w:t>
      </w:r>
      <w:r>
        <w:rPr>
          <w:rFonts w:hint="eastAsia" w:ascii="宋体" w:hAnsi="宋体" w:eastAsia="宋体" w:cs="宋体"/>
          <w:color w:val="auto"/>
          <w:sz w:val="24"/>
          <w:szCs w:val="24"/>
          <w:highlight w:val="none"/>
        </w:rPr>
        <w:t>甲、乙双方</w:t>
      </w:r>
      <w:r>
        <w:rPr>
          <w:rFonts w:hint="eastAsia" w:ascii="宋体" w:hAnsi="宋体" w:eastAsia="宋体" w:cs="宋体"/>
          <w:color w:val="auto"/>
          <w:sz w:val="24"/>
          <w:szCs w:val="24"/>
          <w:highlight w:val="none"/>
          <w:lang w:eastAsia="zh-CN"/>
        </w:rPr>
        <w:t>对</w:t>
      </w:r>
      <w:r>
        <w:rPr>
          <w:rFonts w:hint="eastAsia" w:ascii="宋体" w:hAnsi="宋体" w:eastAsia="宋体" w:cs="宋体"/>
          <w:color w:val="auto"/>
          <w:sz w:val="24"/>
          <w:szCs w:val="24"/>
          <w:highlight w:val="none"/>
        </w:rPr>
        <w:t>采购和合同履行过程中所获悉的</w:t>
      </w:r>
      <w:r>
        <w:rPr>
          <w:rFonts w:hint="eastAsia" w:ascii="宋体" w:hAnsi="宋体" w:eastAsia="宋体" w:cs="宋体"/>
          <w:color w:val="auto"/>
          <w:sz w:val="24"/>
          <w:szCs w:val="24"/>
          <w:highlight w:val="none"/>
          <w:lang w:eastAsia="zh-CN"/>
        </w:rPr>
        <w:t>国家秘密、工作秘密、</w:t>
      </w:r>
      <w:r>
        <w:rPr>
          <w:rFonts w:hint="eastAsia" w:ascii="宋体" w:hAnsi="宋体" w:eastAsia="宋体" w:cs="宋体"/>
          <w:color w:val="auto"/>
          <w:sz w:val="24"/>
          <w:szCs w:val="24"/>
          <w:highlight w:val="none"/>
        </w:rPr>
        <w:t>商业秘密或者其他应当保密的信息，均有保密义务</w:t>
      </w:r>
      <w:r>
        <w:rPr>
          <w:rFonts w:hint="eastAsia" w:ascii="宋体" w:hAnsi="宋体" w:eastAsia="宋体" w:cs="宋体"/>
          <w:color w:val="auto"/>
          <w:sz w:val="24"/>
          <w:szCs w:val="24"/>
          <w:highlight w:val="none"/>
          <w:lang w:eastAsia="zh-CN"/>
        </w:rPr>
        <w:t>且不受合同有效期所限，直至该信息成为公开信息</w:t>
      </w:r>
      <w:r>
        <w:rPr>
          <w:rFonts w:hint="eastAsia" w:ascii="宋体" w:hAnsi="宋体" w:eastAsia="宋体" w:cs="宋体"/>
          <w:color w:val="auto"/>
          <w:sz w:val="24"/>
          <w:szCs w:val="24"/>
          <w:highlight w:val="none"/>
        </w:rPr>
        <w:t>。泄露、不正当地使用</w:t>
      </w:r>
      <w:r>
        <w:rPr>
          <w:rFonts w:hint="eastAsia" w:ascii="宋体" w:hAnsi="宋体" w:eastAsia="宋体" w:cs="宋体"/>
          <w:color w:val="auto"/>
          <w:sz w:val="24"/>
          <w:szCs w:val="24"/>
          <w:highlight w:val="none"/>
          <w:lang w:eastAsia="zh-CN"/>
        </w:rPr>
        <w:t>国家秘密、工作秘密、</w:t>
      </w:r>
      <w:r>
        <w:rPr>
          <w:rFonts w:hint="eastAsia" w:ascii="宋体" w:hAnsi="宋体" w:eastAsia="宋体" w:cs="宋体"/>
          <w:color w:val="auto"/>
          <w:sz w:val="24"/>
          <w:szCs w:val="24"/>
          <w:highlight w:val="none"/>
        </w:rPr>
        <w:t>商业秘密或者</w:t>
      </w:r>
      <w:r>
        <w:rPr>
          <w:rFonts w:hint="eastAsia" w:ascii="宋体" w:hAnsi="宋体" w:eastAsia="宋体" w:cs="宋体"/>
          <w:color w:val="auto"/>
          <w:sz w:val="24"/>
          <w:szCs w:val="24"/>
          <w:highlight w:val="none"/>
          <w:lang w:eastAsia="zh-CN"/>
        </w:rPr>
        <w:t>其他应当保密的</w:t>
      </w:r>
      <w:r>
        <w:rPr>
          <w:rFonts w:hint="eastAsia" w:ascii="宋体" w:hAnsi="宋体" w:eastAsia="宋体" w:cs="宋体"/>
          <w:color w:val="auto"/>
          <w:sz w:val="24"/>
          <w:szCs w:val="24"/>
          <w:highlight w:val="none"/>
        </w:rPr>
        <w:t>信息，应当承担</w:t>
      </w:r>
      <w:r>
        <w:rPr>
          <w:rFonts w:hint="eastAsia" w:ascii="宋体" w:hAnsi="宋体" w:eastAsia="宋体" w:cs="宋体"/>
          <w:color w:val="auto"/>
          <w:sz w:val="24"/>
          <w:szCs w:val="24"/>
          <w:highlight w:val="none"/>
          <w:lang w:eastAsia="zh-CN"/>
        </w:rPr>
        <w:t>相应</w:t>
      </w:r>
      <w:r>
        <w:rPr>
          <w:rFonts w:hint="eastAsia" w:ascii="宋体" w:hAnsi="宋体" w:eastAsia="宋体" w:cs="宋体"/>
          <w:color w:val="auto"/>
          <w:sz w:val="24"/>
          <w:szCs w:val="24"/>
          <w:highlight w:val="none"/>
        </w:rPr>
        <w:t>责任。其他应当保密的信息由双方在</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rPr>
        <w:t>中约定。</w:t>
      </w:r>
    </w:p>
    <w:p w14:paraId="2C81245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合同价款支付</w:t>
      </w:r>
    </w:p>
    <w:p w14:paraId="1E57F75B">
      <w:pPr>
        <w:pageBreakBefore w:val="0"/>
        <w:kinsoku/>
        <w:wordWrap/>
        <w:overflowPunct/>
        <w:topLinePunct w:val="0"/>
        <w:autoSpaceDE/>
        <w:autoSpaceDN/>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lang w:eastAsia="zh-CN"/>
        </w:rPr>
        <w:t>合同价款支付</w:t>
      </w:r>
      <w:r>
        <w:rPr>
          <w:rFonts w:hint="eastAsia" w:ascii="宋体" w:hAnsi="宋体" w:eastAsia="宋体" w:cs="宋体"/>
          <w:color w:val="auto"/>
          <w:sz w:val="24"/>
          <w:szCs w:val="24"/>
          <w:highlight w:val="none"/>
        </w:rPr>
        <w:t>按照国库集中支付</w:t>
      </w:r>
      <w:r>
        <w:rPr>
          <w:rFonts w:hint="eastAsia" w:ascii="宋体" w:hAnsi="宋体" w:eastAsia="宋体" w:cs="宋体"/>
          <w:color w:val="auto"/>
          <w:sz w:val="24"/>
          <w:szCs w:val="24"/>
          <w:highlight w:val="none"/>
          <w:lang w:eastAsia="zh-CN"/>
        </w:rPr>
        <w:t>制度及财政管理相关</w:t>
      </w:r>
      <w:r>
        <w:rPr>
          <w:rFonts w:hint="eastAsia" w:ascii="宋体" w:hAnsi="宋体" w:eastAsia="宋体" w:cs="宋体"/>
          <w:color w:val="auto"/>
          <w:sz w:val="24"/>
          <w:szCs w:val="24"/>
          <w:highlight w:val="none"/>
        </w:rPr>
        <w:t>规定执行。</w:t>
      </w:r>
    </w:p>
    <w:p w14:paraId="32A5940B">
      <w:pPr>
        <w:pStyle w:val="2"/>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 xml:space="preserve">12.2 </w:t>
      </w:r>
      <w:r>
        <w:rPr>
          <w:rFonts w:hint="eastAsia" w:ascii="宋体" w:hAnsi="宋体" w:eastAsia="宋体" w:cs="宋体"/>
          <w:b w:val="0"/>
          <w:bCs w:val="0"/>
          <w:color w:val="auto"/>
          <w:kern w:val="2"/>
          <w:sz w:val="24"/>
          <w:szCs w:val="24"/>
          <w:highlight w:val="none"/>
        </w:rPr>
        <w:t>对于满足合同约定支付条件的，</w:t>
      </w:r>
      <w:r>
        <w:rPr>
          <w:rFonts w:hint="eastAsia" w:ascii="宋体" w:hAnsi="宋体" w:eastAsia="宋体" w:cs="宋体"/>
          <w:b w:val="0"/>
          <w:bCs w:val="0"/>
          <w:color w:val="auto"/>
          <w:kern w:val="2"/>
          <w:sz w:val="24"/>
          <w:szCs w:val="24"/>
          <w:highlight w:val="none"/>
          <w:lang w:val="en-US" w:eastAsia="zh-CN"/>
        </w:rPr>
        <w:t>甲方</w:t>
      </w:r>
      <w:r>
        <w:rPr>
          <w:rFonts w:hint="eastAsia" w:ascii="宋体" w:hAnsi="宋体" w:eastAsia="宋体" w:cs="宋体"/>
          <w:b w:val="0"/>
          <w:bCs w:val="0"/>
          <w:i w:val="0"/>
          <w:iCs w:val="0"/>
          <w:caps w:val="0"/>
          <w:color w:val="auto"/>
          <w:spacing w:val="0"/>
          <w:sz w:val="24"/>
          <w:szCs w:val="24"/>
          <w:highlight w:val="none"/>
          <w:shd w:val="clear"/>
          <w:vertAlign w:val="baseline"/>
        </w:rPr>
        <w:t>原则上应当自收到发票后</w:t>
      </w:r>
      <w:r>
        <w:rPr>
          <w:rFonts w:hint="eastAsia" w:ascii="宋体" w:hAnsi="宋体" w:eastAsia="宋体" w:cs="宋体"/>
          <w:b w:val="0"/>
          <w:bCs w:val="0"/>
          <w:i w:val="0"/>
          <w:iCs w:val="0"/>
          <w:caps w:val="0"/>
          <w:color w:val="auto"/>
          <w:spacing w:val="0"/>
          <w:sz w:val="24"/>
          <w:szCs w:val="24"/>
          <w:highlight w:val="none"/>
          <w:shd w:val="clear"/>
          <w:vertAlign w:val="baseline"/>
          <w:lang w:val="en-US" w:eastAsia="zh-CN"/>
        </w:rPr>
        <w:t>7</w:t>
      </w:r>
      <w:r>
        <w:rPr>
          <w:rFonts w:hint="eastAsia" w:ascii="宋体" w:hAnsi="宋体" w:eastAsia="宋体" w:cs="宋体"/>
          <w:b w:val="0"/>
          <w:bCs w:val="0"/>
          <w:i w:val="0"/>
          <w:iCs w:val="0"/>
          <w:caps w:val="0"/>
          <w:color w:val="auto"/>
          <w:spacing w:val="0"/>
          <w:sz w:val="24"/>
          <w:szCs w:val="24"/>
          <w:highlight w:val="none"/>
          <w:shd w:val="clear"/>
          <w:vertAlign w:val="baseline"/>
        </w:rPr>
        <w:t>个工作日内</w:t>
      </w:r>
      <w:r>
        <w:rPr>
          <w:rFonts w:hint="eastAsia" w:ascii="宋体" w:hAnsi="宋体" w:eastAsia="宋体" w:cs="宋体"/>
          <w:b w:val="0"/>
          <w:bCs w:val="0"/>
          <w:color w:val="auto"/>
          <w:kern w:val="2"/>
          <w:sz w:val="24"/>
          <w:szCs w:val="24"/>
          <w:highlight w:val="none"/>
        </w:rPr>
        <w:t>将资金支付到合同约定的</w:t>
      </w:r>
      <w:r>
        <w:rPr>
          <w:rFonts w:hint="eastAsia" w:ascii="宋体" w:hAnsi="宋体" w:eastAsia="宋体" w:cs="宋体"/>
          <w:b w:val="0"/>
          <w:bCs w:val="0"/>
          <w:color w:val="auto"/>
          <w:kern w:val="2"/>
          <w:sz w:val="24"/>
          <w:szCs w:val="24"/>
          <w:highlight w:val="none"/>
          <w:lang w:eastAsia="zh-CN"/>
        </w:rPr>
        <w:t>乙方</w:t>
      </w:r>
      <w:r>
        <w:rPr>
          <w:rFonts w:hint="eastAsia" w:ascii="宋体" w:hAnsi="宋体" w:eastAsia="宋体" w:cs="宋体"/>
          <w:b w:val="0"/>
          <w:bCs w:val="0"/>
          <w:color w:val="auto"/>
          <w:kern w:val="2"/>
          <w:sz w:val="24"/>
          <w:szCs w:val="24"/>
          <w:highlight w:val="none"/>
        </w:rPr>
        <w:t>账户，不得以机构变动、人员更替、政策调整等为由迟延付款，不得将采购文件和合同中未规定的义务作为向</w:t>
      </w:r>
      <w:r>
        <w:rPr>
          <w:rFonts w:hint="eastAsia" w:ascii="宋体" w:hAnsi="宋体" w:eastAsia="宋体" w:cs="宋体"/>
          <w:b w:val="0"/>
          <w:bCs w:val="0"/>
          <w:color w:val="auto"/>
          <w:kern w:val="2"/>
          <w:sz w:val="24"/>
          <w:szCs w:val="24"/>
          <w:highlight w:val="none"/>
          <w:lang w:val="en-US" w:eastAsia="zh-CN"/>
        </w:rPr>
        <w:t>乙方</w:t>
      </w:r>
      <w:r>
        <w:rPr>
          <w:rFonts w:hint="eastAsia" w:ascii="宋体" w:hAnsi="宋体" w:eastAsia="宋体" w:cs="宋体"/>
          <w:b w:val="0"/>
          <w:bCs w:val="0"/>
          <w:color w:val="auto"/>
          <w:kern w:val="2"/>
          <w:sz w:val="24"/>
          <w:szCs w:val="24"/>
          <w:highlight w:val="none"/>
        </w:rPr>
        <w:t>付款的条件。具体合同价款支付时间在【</w:t>
      </w:r>
      <w:r>
        <w:rPr>
          <w:rFonts w:hint="eastAsia" w:ascii="宋体" w:hAnsi="宋体" w:eastAsia="宋体" w:cs="宋体"/>
          <w:b/>
          <w:bCs/>
          <w:color w:val="auto"/>
          <w:kern w:val="2"/>
          <w:sz w:val="24"/>
          <w:szCs w:val="24"/>
          <w:highlight w:val="none"/>
        </w:rPr>
        <w:t>采购合同专用条款</w:t>
      </w:r>
      <w:r>
        <w:rPr>
          <w:rFonts w:hint="eastAsia" w:ascii="宋体" w:hAnsi="宋体" w:eastAsia="宋体" w:cs="宋体"/>
          <w:b w:val="0"/>
          <w:bCs w:val="0"/>
          <w:color w:val="auto"/>
          <w:kern w:val="2"/>
          <w:sz w:val="24"/>
          <w:szCs w:val="24"/>
          <w:highlight w:val="none"/>
        </w:rPr>
        <w:t>】中</w:t>
      </w:r>
      <w:r>
        <w:rPr>
          <w:rFonts w:hint="eastAsia" w:ascii="宋体" w:hAnsi="宋体" w:eastAsia="宋体" w:cs="宋体"/>
          <w:b w:val="0"/>
          <w:bCs w:val="0"/>
          <w:color w:val="auto"/>
          <w:kern w:val="2"/>
          <w:sz w:val="24"/>
          <w:szCs w:val="24"/>
          <w:highlight w:val="none"/>
          <w:lang w:eastAsia="zh-CN"/>
        </w:rPr>
        <w:t>约</w:t>
      </w:r>
      <w:r>
        <w:rPr>
          <w:rFonts w:hint="eastAsia" w:ascii="宋体" w:hAnsi="宋体" w:eastAsia="宋体" w:cs="宋体"/>
          <w:b w:val="0"/>
          <w:bCs w:val="0"/>
          <w:color w:val="auto"/>
          <w:kern w:val="2"/>
          <w:sz w:val="24"/>
          <w:szCs w:val="24"/>
          <w:highlight w:val="none"/>
        </w:rPr>
        <w:t>定。</w:t>
      </w:r>
    </w:p>
    <w:p w14:paraId="59BC7762">
      <w:pPr>
        <w:pStyle w:val="8"/>
        <w:pageBreakBefore w:val="0"/>
        <w:kinsoku/>
        <w:wordWrap/>
        <w:overflowPunct/>
        <w:topLinePunct w:val="0"/>
        <w:bidi w:val="0"/>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履约保证金</w:t>
      </w:r>
    </w:p>
    <w:p w14:paraId="23B0F6A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.1 乙方应当以支票、汇票、本票或者金融机构、担保机构出具的保函等非现金形式提交。</w:t>
      </w:r>
    </w:p>
    <w:p w14:paraId="6F57372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.2 如果乙方</w:t>
      </w:r>
      <w:r>
        <w:rPr>
          <w:rFonts w:hint="eastAsia" w:ascii="宋体" w:hAnsi="宋体" w:eastAsia="宋体" w:cs="宋体"/>
          <w:color w:val="auto"/>
          <w:sz w:val="24"/>
          <w:szCs w:val="24"/>
          <w:highlight w:val="none"/>
          <w:lang w:eastAsia="zh-CN"/>
        </w:rPr>
        <w:t>出现</w:t>
      </w:r>
      <w:r>
        <w:rPr>
          <w:rFonts w:hint="eastAsia" w:ascii="宋体" w:hAnsi="宋体" w:eastAsia="宋体" w:cs="宋体"/>
          <w:b/>
          <w:bCs/>
          <w:color w:val="auto"/>
          <w:sz w:val="24"/>
          <w:szCs w:val="24"/>
          <w:highlight w:val="none"/>
        </w:rPr>
        <w:t>【采购合同专用条款】</w:t>
      </w:r>
      <w:r>
        <w:rPr>
          <w:rFonts w:hint="eastAsia" w:ascii="宋体" w:hAnsi="宋体" w:eastAsia="宋体" w:cs="宋体"/>
          <w:b w:val="0"/>
          <w:bCs w:val="0"/>
          <w:color w:val="auto"/>
          <w:sz w:val="24"/>
          <w:szCs w:val="24"/>
          <w:highlight w:val="none"/>
          <w:lang w:eastAsia="zh-CN"/>
        </w:rPr>
        <w:t>约定情形的</w:t>
      </w:r>
      <w:r>
        <w:rPr>
          <w:rFonts w:hint="eastAsia" w:ascii="宋体" w:hAnsi="宋体" w:eastAsia="宋体" w:cs="宋体"/>
          <w:color w:val="auto"/>
          <w:sz w:val="24"/>
          <w:szCs w:val="24"/>
          <w:highlight w:val="none"/>
        </w:rPr>
        <w:t>，履约保证金不予退还；如果乙方未能按合同约定全面履行义务，甲方有权从履约保证金中取得补偿或赔偿，</w:t>
      </w:r>
      <w:r>
        <w:rPr>
          <w:rFonts w:hint="eastAsia" w:ascii="宋体" w:hAnsi="宋体" w:eastAsia="宋体" w:cs="宋体"/>
          <w:color w:val="auto"/>
          <w:sz w:val="24"/>
          <w:szCs w:val="24"/>
          <w:highlight w:val="none"/>
          <w:lang w:eastAsia="zh-CN"/>
        </w:rPr>
        <w:t>且</w:t>
      </w:r>
      <w:r>
        <w:rPr>
          <w:rFonts w:hint="eastAsia" w:ascii="宋体" w:hAnsi="宋体" w:eastAsia="宋体" w:cs="宋体"/>
          <w:color w:val="auto"/>
          <w:sz w:val="24"/>
          <w:szCs w:val="24"/>
          <w:highlight w:val="none"/>
        </w:rPr>
        <w:t>不影响甲方要求乙方承担合同约定的超过履约保证金的违约责任的权利。</w:t>
      </w:r>
    </w:p>
    <w:p w14:paraId="049634C8">
      <w:pPr>
        <w:pageBreakBefore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.3 甲方在项目通过验收后按照</w:t>
      </w:r>
      <w:r>
        <w:rPr>
          <w:rFonts w:hint="eastAsia" w:ascii="宋体" w:hAnsi="宋体" w:eastAsia="宋体" w:cs="宋体"/>
          <w:b/>
          <w:color w:val="auto"/>
          <w:sz w:val="24"/>
          <w:szCs w:val="24"/>
          <w:highlight w:val="none"/>
        </w:rPr>
        <w:t>【采购合同专用条款】</w:t>
      </w:r>
      <w:r>
        <w:rPr>
          <w:rFonts w:hint="eastAsia" w:ascii="宋体" w:hAnsi="宋体" w:eastAsia="宋体" w:cs="宋体"/>
          <w:color w:val="auto"/>
          <w:sz w:val="24"/>
          <w:szCs w:val="24"/>
          <w:highlight w:val="none"/>
        </w:rPr>
        <w:t>规定的时间内将履约保证金退还乙方；逾期退还的，乙方可要求甲方支付违约金，违约金按照</w:t>
      </w:r>
      <w:r>
        <w:rPr>
          <w:rFonts w:hint="eastAsia" w:ascii="宋体" w:hAnsi="宋体" w:eastAsia="宋体" w:cs="宋体"/>
          <w:b/>
          <w:color w:val="auto"/>
          <w:sz w:val="24"/>
          <w:szCs w:val="24"/>
          <w:highlight w:val="none"/>
        </w:rPr>
        <w:t>【采购合同专用条款】</w:t>
      </w:r>
      <w:r>
        <w:rPr>
          <w:rFonts w:hint="eastAsia" w:ascii="宋体" w:hAnsi="宋体" w:eastAsia="宋体" w:cs="宋体"/>
          <w:color w:val="auto"/>
          <w:sz w:val="24"/>
          <w:szCs w:val="24"/>
          <w:highlight w:val="none"/>
        </w:rPr>
        <w:t>规定支付。</w:t>
      </w:r>
    </w:p>
    <w:p w14:paraId="5F0CB35B">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color w:val="auto"/>
          <w:sz w:val="24"/>
          <w:szCs w:val="24"/>
          <w:highlight w:val="none"/>
        </w:rPr>
        <w:t>售后服务</w:t>
      </w:r>
    </w:p>
    <w:p w14:paraId="3B0285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除项目不涉及或采购活动中明确约定无须承担外，乙方还应提供下列服务：</w:t>
      </w:r>
    </w:p>
    <w:p w14:paraId="25EF9D5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（1）货物的现场移动、安装、调试、启动监督及技术支持；</w:t>
      </w:r>
    </w:p>
    <w:p w14:paraId="77AFDD7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（2）提供货物组装和维修所需的专用工具和辅助材料；</w:t>
      </w:r>
    </w:p>
    <w:p w14:paraId="7EA024A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的期限内对所有的货物实施运行监督、维修，但前提条件是该服务并不能免除乙方在质量保证期内所承担的义务；</w:t>
      </w:r>
    </w:p>
    <w:p w14:paraId="46111C3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（4）在制造商</w:t>
      </w:r>
      <w:r>
        <w:rPr>
          <w:rFonts w:hint="eastAsia" w:ascii="宋体" w:hAnsi="宋体" w:eastAsia="宋体" w:cs="宋体"/>
          <w:color w:val="auto"/>
          <w:sz w:val="24"/>
          <w:szCs w:val="24"/>
          <w:highlight w:val="none"/>
          <w:lang w:eastAsia="zh-CN"/>
        </w:rPr>
        <w:t>所在地</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eastAsia="zh-CN"/>
        </w:rPr>
        <w:t>指定</w:t>
      </w:r>
      <w:r>
        <w:rPr>
          <w:rFonts w:hint="eastAsia" w:ascii="宋体" w:hAnsi="宋体" w:eastAsia="宋体" w:cs="宋体"/>
          <w:color w:val="auto"/>
          <w:sz w:val="24"/>
          <w:szCs w:val="24"/>
          <w:highlight w:val="none"/>
        </w:rPr>
        <w:t>现场就货物的安装、启动、运营、维护</w:t>
      </w:r>
      <w:r>
        <w:rPr>
          <w:rFonts w:hint="eastAsia" w:ascii="宋体" w:hAnsi="宋体" w:eastAsia="宋体" w:cs="宋体"/>
          <w:color w:val="auto"/>
          <w:sz w:val="24"/>
          <w:szCs w:val="24"/>
          <w:highlight w:val="none"/>
          <w:lang w:eastAsia="zh-CN"/>
        </w:rPr>
        <w:t>、废弃处置等</w:t>
      </w:r>
      <w:r>
        <w:rPr>
          <w:rFonts w:hint="eastAsia" w:ascii="宋体" w:hAnsi="宋体" w:eastAsia="宋体" w:cs="宋体"/>
          <w:color w:val="auto"/>
          <w:sz w:val="24"/>
          <w:szCs w:val="24"/>
          <w:highlight w:val="none"/>
        </w:rPr>
        <w:t>对甲方操作人员进行培训</w:t>
      </w:r>
      <w:r>
        <w:rPr>
          <w:rFonts w:hint="eastAsia" w:ascii="宋体" w:hAnsi="宋体" w:eastAsia="宋体" w:cs="宋体"/>
          <w:color w:val="auto"/>
          <w:sz w:val="24"/>
          <w:szCs w:val="24"/>
          <w:highlight w:val="none"/>
          <w:lang w:eastAsia="zh-CN"/>
        </w:rPr>
        <w:t>；</w:t>
      </w:r>
    </w:p>
    <w:p w14:paraId="594C4B0D">
      <w:pPr>
        <w:pStyle w:val="59"/>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（5）依照法律、行政法规的规定或者按照</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rPr>
        <w:t>约定，货物在有效使用年限届满后应予回收的，乙方负有自行或者委托第三人对货物予以回收的义务；</w:t>
      </w:r>
    </w:p>
    <w:p w14:paraId="73A5030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【采购合同专用条款】</w:t>
      </w:r>
      <w:r>
        <w:rPr>
          <w:rFonts w:hint="eastAsia" w:ascii="宋体" w:hAnsi="宋体" w:eastAsia="宋体" w:cs="宋体"/>
          <w:color w:val="auto"/>
          <w:sz w:val="24"/>
          <w:szCs w:val="24"/>
          <w:highlight w:val="none"/>
        </w:rPr>
        <w:t>规定由乙方提供的其他服务。</w:t>
      </w:r>
    </w:p>
    <w:p w14:paraId="51431BC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乙方提供的</w:t>
      </w:r>
      <w:r>
        <w:rPr>
          <w:rFonts w:hint="eastAsia" w:ascii="宋体" w:hAnsi="宋体" w:eastAsia="宋体" w:cs="宋体"/>
          <w:color w:val="auto"/>
          <w:sz w:val="24"/>
          <w:szCs w:val="24"/>
          <w:highlight w:val="none"/>
          <w:lang w:eastAsia="zh-CN"/>
        </w:rPr>
        <w:t>售后</w:t>
      </w:r>
      <w:r>
        <w:rPr>
          <w:rFonts w:hint="eastAsia" w:ascii="宋体" w:hAnsi="宋体" w:eastAsia="宋体" w:cs="宋体"/>
          <w:color w:val="auto"/>
          <w:sz w:val="24"/>
          <w:szCs w:val="24"/>
          <w:highlight w:val="none"/>
        </w:rPr>
        <w:t>服务的费用</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包含在合同价款中，甲方不再另行支付。</w:t>
      </w:r>
    </w:p>
    <w:p w14:paraId="516EAD82">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违约责任</w:t>
      </w:r>
    </w:p>
    <w:p w14:paraId="4D057FDE">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.1质量瑕疵的</w:t>
      </w:r>
      <w:r>
        <w:rPr>
          <w:rFonts w:hint="eastAsia" w:ascii="宋体" w:hAnsi="宋体" w:eastAsia="宋体" w:cs="宋体"/>
          <w:bCs/>
          <w:color w:val="auto"/>
          <w:sz w:val="24"/>
          <w:szCs w:val="24"/>
          <w:highlight w:val="none"/>
          <w:lang w:eastAsia="zh-CN"/>
        </w:rPr>
        <w:t>违约责任</w:t>
      </w:r>
    </w:p>
    <w:p w14:paraId="1DE96CE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的产品不符合</w:t>
      </w:r>
      <w:r>
        <w:rPr>
          <w:rFonts w:hint="eastAsia" w:ascii="宋体" w:hAnsi="宋体" w:eastAsia="宋体" w:cs="宋体"/>
          <w:color w:val="auto"/>
          <w:sz w:val="24"/>
          <w:szCs w:val="24"/>
          <w:highlight w:val="none"/>
          <w:lang w:eastAsia="zh-CN"/>
        </w:rPr>
        <w:t>合同约定的</w:t>
      </w:r>
      <w:r>
        <w:rPr>
          <w:rFonts w:hint="eastAsia" w:ascii="宋体" w:hAnsi="宋体" w:eastAsia="宋体" w:cs="宋体"/>
          <w:color w:val="auto"/>
          <w:sz w:val="24"/>
          <w:szCs w:val="24"/>
          <w:highlight w:val="none"/>
        </w:rPr>
        <w:t>质量标准或存在产品质量缺陷，</w:t>
      </w:r>
      <w:r>
        <w:rPr>
          <w:rFonts w:hint="eastAsia" w:ascii="宋体" w:hAnsi="宋体" w:eastAsia="宋体" w:cs="宋体"/>
          <w:color w:val="auto"/>
          <w:sz w:val="24"/>
          <w:szCs w:val="24"/>
          <w:highlight w:val="none"/>
          <w:lang w:eastAsia="zh-CN"/>
        </w:rPr>
        <w:t>甲方有权要求乙方根据</w:t>
      </w:r>
      <w:r>
        <w:rPr>
          <w:rFonts w:hint="eastAsia" w:ascii="宋体" w:hAnsi="宋体" w:eastAsia="宋体" w:cs="宋体"/>
          <w:b/>
          <w:color w:val="auto"/>
          <w:sz w:val="24"/>
          <w:szCs w:val="24"/>
          <w:highlight w:val="none"/>
        </w:rPr>
        <w:t>【采购合同专用条款】</w:t>
      </w:r>
      <w:r>
        <w:rPr>
          <w:rFonts w:hint="eastAsia" w:ascii="宋体" w:hAnsi="宋体" w:eastAsia="宋体" w:cs="宋体"/>
          <w:b w:val="0"/>
          <w:bCs/>
          <w:color w:val="auto"/>
          <w:sz w:val="24"/>
          <w:szCs w:val="24"/>
          <w:highlight w:val="none"/>
          <w:lang w:eastAsia="zh-CN"/>
        </w:rPr>
        <w:t>要求</w:t>
      </w:r>
      <w:r>
        <w:rPr>
          <w:rFonts w:hint="eastAsia" w:ascii="宋体" w:hAnsi="宋体" w:eastAsia="宋体" w:cs="宋体"/>
          <w:color w:val="auto"/>
          <w:sz w:val="24"/>
          <w:szCs w:val="24"/>
          <w:highlight w:val="none"/>
          <w:lang w:eastAsia="zh-CN"/>
        </w:rPr>
        <w:t>及时修理、重作、更换，并承担由此给甲</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lang w:eastAsia="zh-CN"/>
        </w:rPr>
        <w:t>造成的损失</w:t>
      </w:r>
      <w:r>
        <w:rPr>
          <w:rFonts w:hint="eastAsia" w:ascii="宋体" w:hAnsi="宋体" w:eastAsia="宋体" w:cs="宋体"/>
          <w:color w:val="auto"/>
          <w:sz w:val="24"/>
          <w:szCs w:val="24"/>
          <w:highlight w:val="none"/>
        </w:rPr>
        <w:t>。</w:t>
      </w:r>
    </w:p>
    <w:p w14:paraId="5FD663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.2 迟延交货的违约责任</w:t>
      </w:r>
    </w:p>
    <w:p w14:paraId="136C913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（1）乙方应按照本合同规定的时间、地点交货和提供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服务。在履行合同过程中，如果乙方遇到可能</w:t>
      </w:r>
      <w:r>
        <w:rPr>
          <w:rFonts w:hint="eastAsia" w:ascii="宋体" w:hAnsi="宋体" w:eastAsia="宋体" w:cs="宋体"/>
          <w:color w:val="auto"/>
          <w:sz w:val="24"/>
          <w:szCs w:val="24"/>
          <w:highlight w:val="none"/>
          <w:lang w:eastAsia="zh-CN"/>
        </w:rPr>
        <w:t>影响</w:t>
      </w:r>
      <w:r>
        <w:rPr>
          <w:rFonts w:hint="eastAsia" w:ascii="宋体" w:hAnsi="宋体" w:eastAsia="宋体" w:cs="宋体"/>
          <w:color w:val="auto"/>
          <w:sz w:val="24"/>
          <w:szCs w:val="24"/>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4"/>
          <w:szCs w:val="24"/>
          <w:highlight w:val="none"/>
          <w:lang w:eastAsia="zh-CN"/>
        </w:rPr>
        <w:t>长</w:t>
      </w:r>
      <w:r>
        <w:rPr>
          <w:rFonts w:hint="eastAsia" w:ascii="宋体" w:hAnsi="宋体" w:eastAsia="宋体" w:cs="宋体"/>
          <w:color w:val="auto"/>
          <w:sz w:val="24"/>
          <w:szCs w:val="24"/>
          <w:highlight w:val="none"/>
        </w:rPr>
        <w:t>交货时间或延期提供服务。</w:t>
      </w:r>
    </w:p>
    <w:p w14:paraId="14EB2F7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（2）如果乙方没有按照合同规定的时间交货和提供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服务，甲方有权从货款中扣除误期赔偿费而不影响合同项下的其他补救方法，赔偿费按</w:t>
      </w:r>
      <w:r>
        <w:rPr>
          <w:rFonts w:hint="eastAsia" w:ascii="宋体" w:hAnsi="宋体" w:eastAsia="宋体" w:cs="宋体"/>
          <w:b/>
          <w:color w:val="auto"/>
          <w:sz w:val="24"/>
          <w:szCs w:val="24"/>
          <w:highlight w:val="none"/>
        </w:rPr>
        <w:t>【采购合同专用条款】</w:t>
      </w:r>
      <w:r>
        <w:rPr>
          <w:rFonts w:hint="eastAsia" w:ascii="宋体" w:hAnsi="宋体" w:eastAsia="宋体" w:cs="宋体"/>
          <w:color w:val="auto"/>
          <w:sz w:val="24"/>
          <w:szCs w:val="24"/>
          <w:highlight w:val="none"/>
        </w:rPr>
        <w:t>规定执行。如果涉及公共利益，且赔偿金额无法弥补公共利益损失，</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可要求继续履行或者</w:t>
      </w:r>
      <w:r>
        <w:rPr>
          <w:rFonts w:hint="eastAsia" w:ascii="宋体" w:hAnsi="宋体" w:eastAsia="宋体" w:cs="宋体"/>
          <w:color w:val="auto"/>
          <w:sz w:val="24"/>
          <w:szCs w:val="24"/>
          <w:highlight w:val="none"/>
          <w:lang w:eastAsia="zh-CN"/>
        </w:rPr>
        <w:t>采取其他补救措施</w:t>
      </w:r>
      <w:r>
        <w:rPr>
          <w:rFonts w:hint="eastAsia" w:ascii="宋体" w:hAnsi="宋体" w:eastAsia="宋体" w:cs="宋体"/>
          <w:color w:val="auto"/>
          <w:sz w:val="24"/>
          <w:szCs w:val="24"/>
          <w:highlight w:val="none"/>
        </w:rPr>
        <w:t>。</w:t>
      </w:r>
    </w:p>
    <w:p w14:paraId="78E3C74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 迟延支付的违约责任</w:t>
      </w:r>
    </w:p>
    <w:p w14:paraId="2ED2B71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甲方存在迟延支付乙方合同款项的，应当承担</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rPr>
        <w:t>规定的逾期付款利息。</w:t>
      </w:r>
    </w:p>
    <w:p w14:paraId="41358989">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.4其他违约责任根据项目实际需要按</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rPr>
        <w:t>规定执行。</w:t>
      </w:r>
    </w:p>
    <w:p w14:paraId="766B1A08">
      <w:pPr>
        <w:pageBreakBefore w:val="0"/>
        <w:numPr>
          <w:ilvl w:val="0"/>
          <w:numId w:val="7"/>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合同变更</w:t>
      </w:r>
      <w:r>
        <w:rPr>
          <w:rFonts w:hint="eastAsia" w:ascii="宋体" w:hAnsi="宋体" w:eastAsia="宋体" w:cs="宋体"/>
          <w:b/>
          <w:color w:val="auto"/>
          <w:sz w:val="24"/>
          <w:szCs w:val="24"/>
          <w:highlight w:val="none"/>
          <w:lang w:eastAsia="zh-CN"/>
        </w:rPr>
        <w:t>、中止与终止</w:t>
      </w:r>
    </w:p>
    <w:p w14:paraId="440876DC">
      <w:pPr>
        <w:pageBreakBefore w:val="0"/>
        <w:kinsoku/>
        <w:wordWrap/>
        <w:overflowPunct/>
        <w:topLinePunct w:val="0"/>
        <w:autoSpaceDE/>
        <w:autoSpaceDN/>
        <w:bidi w:val="0"/>
        <w:adjustRightInd w:val="0"/>
        <w:snapToGrid w:val="0"/>
        <w:spacing w:before="0"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.1合同的</w:t>
      </w:r>
      <w:r>
        <w:rPr>
          <w:rFonts w:hint="eastAsia" w:ascii="宋体" w:hAnsi="宋体" w:eastAsia="宋体" w:cs="宋体"/>
          <w:color w:val="auto"/>
          <w:sz w:val="24"/>
          <w:szCs w:val="24"/>
          <w:highlight w:val="none"/>
          <w:lang w:eastAsia="zh-CN"/>
        </w:rPr>
        <w:t>变更</w:t>
      </w:r>
    </w:p>
    <w:p w14:paraId="3516806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采购合同履行中，</w:t>
      </w:r>
      <w:r>
        <w:rPr>
          <w:rFonts w:hint="eastAsia" w:ascii="宋体" w:hAnsi="宋体" w:eastAsia="宋体" w:cs="宋体"/>
          <w:color w:val="auto"/>
          <w:sz w:val="24"/>
          <w:szCs w:val="24"/>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4"/>
          <w:szCs w:val="24"/>
          <w:highlight w:val="none"/>
          <w:lang w:eastAsia="zh-CN"/>
        </w:rPr>
        <w:t>一致后</w:t>
      </w:r>
      <w:r>
        <w:rPr>
          <w:rFonts w:hint="eastAsia" w:ascii="宋体" w:hAnsi="宋体" w:eastAsia="宋体" w:cs="宋体"/>
          <w:color w:val="auto"/>
          <w:sz w:val="24"/>
          <w:szCs w:val="24"/>
          <w:highlight w:val="none"/>
        </w:rPr>
        <w:t>签订补充协议。</w:t>
      </w:r>
    </w:p>
    <w:p w14:paraId="00EAF56E">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合同的中止</w:t>
      </w:r>
    </w:p>
    <w:p w14:paraId="64D60D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（1）合同履行过程中因供应商就采购文件、采购过程或结果提起投诉的，甲方认为有必要的，</w:t>
      </w:r>
      <w:r>
        <w:rPr>
          <w:rFonts w:hint="eastAsia" w:ascii="宋体" w:hAnsi="宋体" w:eastAsia="宋体" w:cs="宋体"/>
          <w:color w:val="auto"/>
          <w:sz w:val="24"/>
          <w:szCs w:val="24"/>
          <w:highlight w:val="none"/>
          <w:lang w:eastAsia="zh-CN"/>
        </w:rPr>
        <w:t>可以</w:t>
      </w:r>
      <w:r>
        <w:rPr>
          <w:rFonts w:hint="eastAsia" w:ascii="宋体" w:hAnsi="宋体" w:eastAsia="宋体" w:cs="宋体"/>
          <w:color w:val="auto"/>
          <w:sz w:val="24"/>
          <w:szCs w:val="24"/>
          <w:highlight w:val="none"/>
        </w:rPr>
        <w:t>中止合同的履行。</w:t>
      </w:r>
    </w:p>
    <w:p w14:paraId="7E8293A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合同履行过程中，</w:t>
      </w:r>
      <w:r>
        <w:rPr>
          <w:rFonts w:hint="eastAsia" w:ascii="宋体" w:hAnsi="宋体" w:eastAsia="宋体" w:cs="宋体"/>
          <w:color w:val="auto"/>
          <w:sz w:val="24"/>
          <w:szCs w:val="24"/>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4"/>
          <w:szCs w:val="24"/>
          <w:highlight w:val="none"/>
          <w:lang w:eastAsia="zh-CN"/>
        </w:rPr>
        <w:t>，乙方有义务及时告知甲方</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以书面形式通知乙方中止合同</w:t>
      </w:r>
      <w:r>
        <w:rPr>
          <w:rFonts w:hint="eastAsia" w:ascii="宋体" w:hAnsi="宋体" w:eastAsia="宋体" w:cs="宋体"/>
          <w:color w:val="auto"/>
          <w:sz w:val="24"/>
          <w:szCs w:val="24"/>
          <w:highlight w:val="none"/>
          <w:lang w:eastAsia="zh-CN"/>
        </w:rPr>
        <w:t>并要求乙方在合理期限内消除相关情形或者提供适当担保。</w:t>
      </w:r>
      <w:r>
        <w:rPr>
          <w:rFonts w:hint="eastAsia" w:ascii="宋体" w:hAnsi="宋体" w:eastAsia="宋体" w:cs="宋体"/>
          <w:color w:val="auto"/>
          <w:sz w:val="24"/>
          <w:szCs w:val="24"/>
          <w:highlight w:val="none"/>
        </w:rPr>
        <w:t>乙方提供适当担保的，</w:t>
      </w:r>
      <w:r>
        <w:rPr>
          <w:rFonts w:hint="eastAsia" w:ascii="宋体" w:hAnsi="宋体" w:eastAsia="宋体" w:cs="宋体"/>
          <w:color w:val="auto"/>
          <w:sz w:val="24"/>
          <w:szCs w:val="24"/>
          <w:highlight w:val="none"/>
          <w:lang w:eastAsia="zh-CN"/>
        </w:rPr>
        <w:t>合同继续</w:t>
      </w:r>
      <w:r>
        <w:rPr>
          <w:rFonts w:hint="eastAsia" w:ascii="宋体" w:hAnsi="宋体" w:eastAsia="宋体" w:cs="宋体"/>
          <w:color w:val="auto"/>
          <w:sz w:val="24"/>
          <w:szCs w:val="24"/>
          <w:highlight w:val="none"/>
        </w:rPr>
        <w:t>履行</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方在合理期限内未恢复履约能力且未提供适当担保的，视为拒绝</w:t>
      </w:r>
      <w:r>
        <w:rPr>
          <w:rFonts w:hint="eastAsia" w:ascii="宋体" w:hAnsi="宋体" w:eastAsia="宋体" w:cs="宋体"/>
          <w:color w:val="auto"/>
          <w:sz w:val="24"/>
          <w:szCs w:val="24"/>
          <w:highlight w:val="none"/>
          <w:lang w:eastAsia="zh-CN"/>
        </w:rPr>
        <w:t>继续</w:t>
      </w:r>
      <w:r>
        <w:rPr>
          <w:rFonts w:hint="eastAsia" w:ascii="宋体" w:hAnsi="宋体" w:eastAsia="宋体" w:cs="宋体"/>
          <w:color w:val="auto"/>
          <w:sz w:val="24"/>
          <w:szCs w:val="24"/>
          <w:highlight w:val="none"/>
        </w:rPr>
        <w:t>履约，甲方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解除合同并要求乙方承担</w:t>
      </w:r>
      <w:r>
        <w:rPr>
          <w:rFonts w:hint="eastAsia" w:ascii="宋体" w:hAnsi="宋体" w:eastAsia="宋体" w:cs="宋体"/>
          <w:color w:val="auto"/>
          <w:sz w:val="24"/>
          <w:szCs w:val="24"/>
          <w:highlight w:val="none"/>
          <w:lang w:eastAsia="zh-CN"/>
        </w:rPr>
        <w:t>由此给甲方造成的损失</w:t>
      </w:r>
      <w:r>
        <w:rPr>
          <w:rFonts w:hint="eastAsia" w:ascii="宋体" w:hAnsi="宋体" w:eastAsia="宋体" w:cs="宋体"/>
          <w:color w:val="auto"/>
          <w:sz w:val="24"/>
          <w:szCs w:val="24"/>
          <w:highlight w:val="none"/>
        </w:rPr>
        <w:t>。</w:t>
      </w:r>
    </w:p>
    <w:p w14:paraId="29CE4C1C">
      <w:pPr>
        <w:pStyle w:val="59"/>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（3）乙方分立、合并或者变更住所的，应当及时以书面形式告知甲方。乙方没有</w:t>
      </w:r>
      <w:r>
        <w:rPr>
          <w:rFonts w:hint="eastAsia" w:ascii="宋体" w:hAnsi="宋体" w:eastAsia="宋体" w:cs="宋体"/>
          <w:color w:val="auto"/>
          <w:sz w:val="24"/>
          <w:szCs w:val="24"/>
          <w:highlight w:val="none"/>
          <w:lang w:eastAsia="zh-CN"/>
        </w:rPr>
        <w:t>及时告知</w:t>
      </w:r>
      <w:r>
        <w:rPr>
          <w:rFonts w:hint="eastAsia" w:ascii="宋体" w:hAnsi="宋体" w:eastAsia="宋体" w:cs="宋体"/>
          <w:color w:val="auto"/>
          <w:sz w:val="24"/>
          <w:szCs w:val="24"/>
          <w:highlight w:val="none"/>
        </w:rPr>
        <w:t>甲方，致使</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auto"/>
          <w:sz w:val="24"/>
          <w:szCs w:val="24"/>
          <w:highlight w:val="none"/>
        </w:rPr>
        <w:t>履行发生困难的，甲方可以中止合同履行并要求乙方承担由此给甲方造成的损失。</w:t>
      </w:r>
    </w:p>
    <w:p w14:paraId="557939F8">
      <w:pPr>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）甲方不得以行政区划调整、政府换届、机构或者职能调整以及相关责任人更替为由中止合同。</w:t>
      </w:r>
    </w:p>
    <w:p w14:paraId="5D4DBD7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合同的终止</w:t>
      </w:r>
    </w:p>
    <w:p w14:paraId="7EBFDDF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（1）合同因有效期限届满而终止；</w:t>
      </w:r>
    </w:p>
    <w:p w14:paraId="37CF92A7">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（2）乙方未</w:t>
      </w:r>
      <w:r>
        <w:rPr>
          <w:rFonts w:hint="eastAsia" w:ascii="宋体" w:hAnsi="宋体" w:eastAsia="宋体" w:cs="宋体"/>
          <w:color w:val="auto"/>
          <w:sz w:val="24"/>
          <w:szCs w:val="24"/>
          <w:highlight w:val="none"/>
          <w:lang w:eastAsia="zh-CN"/>
        </w:rPr>
        <w:t>按</w:t>
      </w:r>
      <w:r>
        <w:rPr>
          <w:rFonts w:hint="eastAsia" w:ascii="宋体" w:hAnsi="宋体" w:eastAsia="宋体" w:cs="宋体"/>
          <w:color w:val="auto"/>
          <w:sz w:val="24"/>
          <w:szCs w:val="24"/>
          <w:highlight w:val="none"/>
        </w:rPr>
        <w:t>合同约定履行，构成根本性违约的，甲方有权终止合同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并追究乙方的违约责</w:t>
      </w:r>
      <w:r>
        <w:rPr>
          <w:rFonts w:hint="eastAsia" w:ascii="宋体" w:hAnsi="宋体" w:eastAsia="宋体" w:cs="宋体"/>
          <w:color w:val="auto"/>
          <w:sz w:val="24"/>
          <w:szCs w:val="24"/>
          <w:highlight w:val="none"/>
          <w:lang w:val="en-US" w:eastAsia="zh-CN"/>
        </w:rPr>
        <w:t>任</w:t>
      </w:r>
      <w:r>
        <w:rPr>
          <w:rFonts w:hint="eastAsia" w:ascii="宋体" w:hAnsi="宋体" w:eastAsia="宋体" w:cs="宋体"/>
          <w:color w:val="auto"/>
          <w:sz w:val="24"/>
          <w:szCs w:val="24"/>
          <w:highlight w:val="none"/>
        </w:rPr>
        <w:t>。</w:t>
      </w:r>
    </w:p>
    <w:p w14:paraId="4813795D">
      <w:pPr>
        <w:pStyle w:val="59"/>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16.4 </w:t>
      </w:r>
      <w:r>
        <w:rPr>
          <w:rFonts w:hint="eastAsia" w:ascii="宋体" w:hAnsi="宋体" w:eastAsia="宋体" w:cs="宋体"/>
          <w:color w:val="auto"/>
          <w:kern w:val="2"/>
          <w:sz w:val="24"/>
          <w:szCs w:val="24"/>
          <w:highlight w:val="none"/>
          <w:lang w:val="en-US" w:eastAsia="zh-CN"/>
        </w:rPr>
        <w:t>涉及国家利益、社会公共利益的情形</w:t>
      </w:r>
    </w:p>
    <w:p w14:paraId="11202C94">
      <w:pPr>
        <w:pStyle w:val="59"/>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采购合同继续履行将损害国家利益和社会公共利益的，双方当事人</w:t>
      </w:r>
      <w:r>
        <w:rPr>
          <w:rFonts w:hint="eastAsia" w:ascii="宋体" w:hAnsi="宋体" w:eastAsia="宋体" w:cs="宋体"/>
          <w:color w:val="auto"/>
          <w:sz w:val="24"/>
          <w:szCs w:val="24"/>
          <w:highlight w:val="none"/>
          <w:lang w:val="en-US" w:eastAsia="zh-CN"/>
        </w:rPr>
        <w:t>应当变更、</w:t>
      </w:r>
      <w:r>
        <w:rPr>
          <w:rFonts w:hint="eastAsia" w:ascii="宋体" w:hAnsi="宋体" w:eastAsia="宋体" w:cs="宋体"/>
          <w:color w:val="auto"/>
          <w:sz w:val="24"/>
          <w:szCs w:val="24"/>
          <w:highlight w:val="none"/>
        </w:rPr>
        <w:t>中止</w:t>
      </w:r>
      <w:r>
        <w:rPr>
          <w:rFonts w:hint="eastAsia" w:ascii="宋体" w:hAnsi="宋体" w:eastAsia="宋体" w:cs="宋体"/>
          <w:color w:val="auto"/>
          <w:sz w:val="24"/>
          <w:szCs w:val="24"/>
          <w:highlight w:val="none"/>
          <w:lang w:eastAsia="zh-CN"/>
        </w:rPr>
        <w:t>或者终止</w:t>
      </w:r>
      <w:r>
        <w:rPr>
          <w:rFonts w:hint="eastAsia" w:ascii="宋体" w:hAnsi="宋体" w:eastAsia="宋体" w:cs="宋体"/>
          <w:color w:val="auto"/>
          <w:sz w:val="24"/>
          <w:szCs w:val="24"/>
          <w:highlight w:val="none"/>
        </w:rPr>
        <w:t>合同。有过错的一方应当承担赔偿责任，双方都有过错的，各自承担相应的责任。</w:t>
      </w:r>
    </w:p>
    <w:p w14:paraId="67AB613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合同分包</w:t>
      </w:r>
    </w:p>
    <w:p w14:paraId="37A4C48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 乙方不得</w:t>
      </w:r>
      <w:r>
        <w:rPr>
          <w:rFonts w:hint="eastAsia" w:ascii="宋体" w:hAnsi="宋体" w:eastAsia="宋体" w:cs="宋体"/>
          <w:color w:val="auto"/>
          <w:sz w:val="24"/>
          <w:szCs w:val="24"/>
          <w:highlight w:val="none"/>
          <w:lang w:eastAsia="zh-CN"/>
        </w:rPr>
        <w:t>将合同转包给其他供应商。涉及合同分包的，乙方</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lang w:eastAsia="zh-CN"/>
        </w:rPr>
        <w:t>根据采购文件和投标（响应）文件规定进行</w:t>
      </w:r>
      <w:r>
        <w:rPr>
          <w:rFonts w:hint="eastAsia" w:ascii="宋体" w:hAnsi="宋体" w:eastAsia="宋体" w:cs="宋体"/>
          <w:color w:val="auto"/>
          <w:sz w:val="24"/>
          <w:szCs w:val="24"/>
          <w:highlight w:val="none"/>
        </w:rPr>
        <w:t>合同分包。</w:t>
      </w:r>
    </w:p>
    <w:p w14:paraId="5FCE3A7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不可抗力</w:t>
      </w:r>
    </w:p>
    <w:p w14:paraId="396878B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 不可抗力是指合同双方不能预见、不能避免且不能克服的客观情况。</w:t>
      </w:r>
    </w:p>
    <w:p w14:paraId="6DF2372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 任何一方对由于不可抗力造成的部分或全部不能履行合同不承担违约责任。但迟延履行后发生不可抗力的，不能免除责任。</w:t>
      </w:r>
    </w:p>
    <w:p w14:paraId="0D33D71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 遇有不可抗力的一方，应及时将事件情况以书面形式</w:t>
      </w:r>
      <w:r>
        <w:rPr>
          <w:rFonts w:hint="eastAsia" w:ascii="宋体" w:hAnsi="宋体" w:eastAsia="宋体" w:cs="宋体"/>
          <w:color w:val="auto"/>
          <w:sz w:val="24"/>
          <w:szCs w:val="24"/>
          <w:highlight w:val="none"/>
          <w:lang w:eastAsia="zh-CN"/>
        </w:rPr>
        <w:t>告</w:t>
      </w:r>
      <w:r>
        <w:rPr>
          <w:rFonts w:hint="eastAsia" w:ascii="宋体" w:hAnsi="宋体" w:eastAsia="宋体" w:cs="宋体"/>
          <w:color w:val="auto"/>
          <w:sz w:val="24"/>
          <w:szCs w:val="24"/>
          <w:highlight w:val="none"/>
        </w:rPr>
        <w:t>知另一方，并在事件发生后及时向另一方提交合同不能履行或部分不能履行或需要延期履行</w:t>
      </w:r>
      <w:r>
        <w:rPr>
          <w:rFonts w:hint="eastAsia" w:ascii="宋体" w:hAnsi="宋体" w:eastAsia="宋体" w:cs="宋体"/>
          <w:color w:val="auto"/>
          <w:sz w:val="24"/>
          <w:szCs w:val="24"/>
          <w:highlight w:val="none"/>
          <w:lang w:eastAsia="zh-CN"/>
        </w:rPr>
        <w:t>的详细</w:t>
      </w:r>
      <w:r>
        <w:rPr>
          <w:rFonts w:hint="eastAsia" w:ascii="宋体" w:hAnsi="宋体" w:eastAsia="宋体" w:cs="宋体"/>
          <w:color w:val="auto"/>
          <w:sz w:val="24"/>
          <w:szCs w:val="24"/>
          <w:highlight w:val="none"/>
        </w:rPr>
        <w:t>报告</w:t>
      </w:r>
      <w:r>
        <w:rPr>
          <w:rFonts w:hint="eastAsia" w:ascii="宋体" w:hAnsi="宋体" w:eastAsia="宋体" w:cs="宋体"/>
          <w:color w:val="auto"/>
          <w:sz w:val="24"/>
          <w:szCs w:val="24"/>
          <w:highlight w:val="none"/>
          <w:lang w:eastAsia="zh-CN"/>
        </w:rPr>
        <w:t>，以</w:t>
      </w:r>
      <w:r>
        <w:rPr>
          <w:rFonts w:hint="eastAsia" w:ascii="宋体" w:hAnsi="宋体" w:eastAsia="宋体" w:cs="宋体"/>
          <w:color w:val="auto"/>
          <w:sz w:val="24"/>
          <w:szCs w:val="24"/>
          <w:highlight w:val="none"/>
          <w:lang w:val="en-US" w:eastAsia="zh-CN"/>
        </w:rPr>
        <w:t>及证明不可抗力发生及其持续时间的证据</w:t>
      </w:r>
      <w:r>
        <w:rPr>
          <w:rFonts w:hint="eastAsia" w:ascii="宋体" w:hAnsi="宋体" w:eastAsia="宋体" w:cs="宋体"/>
          <w:color w:val="auto"/>
          <w:sz w:val="24"/>
          <w:szCs w:val="24"/>
          <w:highlight w:val="none"/>
        </w:rPr>
        <w:t>。</w:t>
      </w:r>
    </w:p>
    <w:p w14:paraId="797E71B0">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19</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解决争议的方法</w:t>
      </w:r>
    </w:p>
    <w:p w14:paraId="062CC2F2">
      <w:pPr>
        <w:pStyle w:val="59"/>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.1 因本合同及合同有关事项发生的争议，由</w:t>
      </w:r>
      <w:r>
        <w:rPr>
          <w:rFonts w:hint="eastAsia" w:ascii="宋体" w:hAnsi="宋体" w:eastAsia="宋体" w:cs="宋体"/>
          <w:color w:val="auto"/>
          <w:sz w:val="24"/>
          <w:szCs w:val="24"/>
          <w:highlight w:val="none"/>
          <w:lang w:eastAsia="zh-CN"/>
        </w:rPr>
        <w:t>甲乙双</w:t>
      </w:r>
      <w:r>
        <w:rPr>
          <w:rFonts w:hint="eastAsia" w:ascii="宋体" w:hAnsi="宋体" w:eastAsia="宋体" w:cs="宋体"/>
          <w:color w:val="auto"/>
          <w:sz w:val="24"/>
          <w:szCs w:val="24"/>
          <w:highlight w:val="none"/>
        </w:rPr>
        <w:t>方友好协商解决。协商不成时，可以</w:t>
      </w:r>
      <w:r>
        <w:rPr>
          <w:rFonts w:hint="eastAsia" w:ascii="宋体" w:hAnsi="宋体" w:eastAsia="宋体" w:cs="宋体"/>
          <w:color w:val="auto"/>
          <w:sz w:val="24"/>
          <w:szCs w:val="24"/>
          <w:highlight w:val="none"/>
          <w:lang w:eastAsia="zh-CN"/>
        </w:rPr>
        <w:t>向有关组织申请</w:t>
      </w:r>
      <w:r>
        <w:rPr>
          <w:rFonts w:hint="eastAsia" w:ascii="宋体" w:hAnsi="宋体" w:eastAsia="宋体" w:cs="宋体"/>
          <w:color w:val="auto"/>
          <w:sz w:val="24"/>
          <w:szCs w:val="24"/>
          <w:highlight w:val="none"/>
        </w:rPr>
        <w:t>调解。合同一方或</w:t>
      </w:r>
      <w:r>
        <w:rPr>
          <w:rFonts w:hint="eastAsia" w:ascii="宋体" w:hAnsi="宋体" w:eastAsia="宋体" w:cs="宋体"/>
          <w:color w:val="auto"/>
          <w:sz w:val="24"/>
          <w:szCs w:val="24"/>
          <w:highlight w:val="none"/>
          <w:lang w:eastAsia="zh-CN"/>
        </w:rPr>
        <w:t>双</w:t>
      </w:r>
      <w:r>
        <w:rPr>
          <w:rFonts w:hint="eastAsia" w:ascii="宋体" w:hAnsi="宋体" w:eastAsia="宋体" w:cs="宋体"/>
          <w:color w:val="auto"/>
          <w:sz w:val="24"/>
          <w:szCs w:val="24"/>
          <w:highlight w:val="none"/>
        </w:rPr>
        <w:t>方不愿调解或调解不成的，可以通过仲裁或诉讼的方式解决争议。</w:t>
      </w:r>
    </w:p>
    <w:p w14:paraId="6A2A3AEA">
      <w:pPr>
        <w:pStyle w:val="59"/>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.2 选择仲裁的，应在</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rPr>
        <w:t>中明确仲裁机构及仲裁地；通过诉讼方式解决的，可以在</w:t>
      </w:r>
      <w:r>
        <w:rPr>
          <w:rFonts w:hint="eastAsia" w:ascii="宋体" w:hAnsi="宋体" w:eastAsia="宋体" w:cs="宋体"/>
          <w:b/>
          <w:bCs/>
          <w:color w:val="auto"/>
          <w:sz w:val="24"/>
          <w:szCs w:val="24"/>
          <w:highlight w:val="none"/>
        </w:rPr>
        <w:t>【采购合同专用条款】</w:t>
      </w:r>
      <w:r>
        <w:rPr>
          <w:rFonts w:hint="eastAsia" w:ascii="宋体" w:hAnsi="宋体" w:eastAsia="宋体" w:cs="宋体"/>
          <w:color w:val="auto"/>
          <w:sz w:val="24"/>
          <w:szCs w:val="24"/>
          <w:highlight w:val="none"/>
        </w:rPr>
        <w:t>中进一步约定选择与争议有实际联系的地点的人民法院管辖，但管辖法院的约定不得违反级别管辖和专属管辖的规定。</w:t>
      </w:r>
    </w:p>
    <w:p w14:paraId="2A1B1022">
      <w:pPr>
        <w:pStyle w:val="59"/>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.3 如</w:t>
      </w:r>
      <w:r>
        <w:rPr>
          <w:rFonts w:hint="eastAsia" w:ascii="宋体" w:hAnsi="宋体" w:eastAsia="宋体" w:cs="宋体"/>
          <w:color w:val="auto"/>
          <w:sz w:val="24"/>
          <w:szCs w:val="24"/>
          <w:highlight w:val="none"/>
          <w:lang w:eastAsia="zh-CN"/>
        </w:rPr>
        <w:t>甲乙双方</w:t>
      </w:r>
      <w:r>
        <w:rPr>
          <w:rFonts w:hint="eastAsia" w:ascii="宋体" w:hAnsi="宋体" w:eastAsia="宋体" w:cs="宋体"/>
          <w:color w:val="auto"/>
          <w:sz w:val="24"/>
          <w:szCs w:val="24"/>
          <w:highlight w:val="none"/>
        </w:rPr>
        <w:t>有争议的事项不影响合同其他部分的履行，在争议解决期间，合同其他部分应</w:t>
      </w:r>
      <w:r>
        <w:rPr>
          <w:rFonts w:hint="eastAsia" w:ascii="宋体" w:hAnsi="宋体" w:eastAsia="宋体" w:cs="宋体"/>
          <w:color w:val="auto"/>
          <w:sz w:val="24"/>
          <w:szCs w:val="24"/>
          <w:highlight w:val="none"/>
          <w:lang w:eastAsia="zh-CN"/>
        </w:rPr>
        <w:t>当</w:t>
      </w:r>
      <w:r>
        <w:rPr>
          <w:rFonts w:hint="eastAsia" w:ascii="宋体" w:hAnsi="宋体" w:eastAsia="宋体" w:cs="宋体"/>
          <w:color w:val="auto"/>
          <w:sz w:val="24"/>
          <w:szCs w:val="24"/>
          <w:highlight w:val="none"/>
        </w:rPr>
        <w:t>继续履行。</w:t>
      </w:r>
    </w:p>
    <w:p w14:paraId="3BEE2A07">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采购政策</w:t>
      </w:r>
    </w:p>
    <w:p w14:paraId="4F3C7FD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20.1 </w:t>
      </w:r>
      <w:r>
        <w:rPr>
          <w:rFonts w:hint="eastAsia" w:ascii="宋体" w:hAnsi="宋体" w:eastAsia="宋体" w:cs="宋体"/>
          <w:color w:val="auto"/>
          <w:sz w:val="24"/>
          <w:szCs w:val="24"/>
          <w:highlight w:val="none"/>
          <w:lang w:val="en-GB"/>
        </w:rPr>
        <w:t>本合同应当按照规定执行采购政策。</w:t>
      </w:r>
    </w:p>
    <w:p w14:paraId="43936D0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本合同依法执行采购政策的方式和内容，属于合同履约验收的范围。</w:t>
      </w:r>
      <w:r>
        <w:rPr>
          <w:rFonts w:hint="eastAsia" w:ascii="宋体" w:hAnsi="宋体" w:eastAsia="宋体" w:cs="宋体"/>
          <w:color w:val="auto"/>
          <w:sz w:val="24"/>
          <w:szCs w:val="24"/>
          <w:highlight w:val="none"/>
          <w:lang w:eastAsia="zh-CN"/>
        </w:rPr>
        <w:t>甲乙双方</w:t>
      </w:r>
      <w:r>
        <w:rPr>
          <w:rFonts w:hint="eastAsia" w:ascii="宋体" w:hAnsi="宋体" w:eastAsia="宋体" w:cs="宋体"/>
          <w:color w:val="auto"/>
          <w:sz w:val="24"/>
          <w:szCs w:val="24"/>
          <w:highlight w:val="none"/>
          <w:lang w:val="en-GB"/>
        </w:rPr>
        <w:t>未按规定要求执行采购政策造成损失的</w:t>
      </w:r>
      <w:r>
        <w:rPr>
          <w:rFonts w:hint="eastAsia" w:ascii="宋体" w:hAnsi="宋体" w:eastAsia="宋体" w:cs="宋体"/>
          <w:color w:val="auto"/>
          <w:sz w:val="24"/>
          <w:szCs w:val="24"/>
          <w:highlight w:val="none"/>
        </w:rPr>
        <w:t>，有过错的一方应当承担赔偿责任，双方都有过错的，各自承担相应的责任。</w:t>
      </w:r>
    </w:p>
    <w:p w14:paraId="388856D8">
      <w:pPr>
        <w:pStyle w:val="8"/>
        <w:pageBreakBefore w:val="0"/>
        <w:kinsoku/>
        <w:wordWrap/>
        <w:overflowPunct/>
        <w:topLinePunct w:val="0"/>
        <w:bidi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对于</w:t>
      </w:r>
      <w:r>
        <w:rPr>
          <w:rFonts w:hint="eastAsia" w:ascii="宋体" w:hAnsi="宋体" w:eastAsia="宋体" w:cs="宋体"/>
          <w:color w:val="auto"/>
          <w:sz w:val="24"/>
          <w:szCs w:val="24"/>
          <w:highlight w:val="none"/>
          <w:lang w:eastAsia="zh-CN"/>
        </w:rPr>
        <w:t>为落实中小企业支持政策，</w:t>
      </w:r>
      <w:r>
        <w:rPr>
          <w:rFonts w:hint="eastAsia" w:ascii="宋体" w:hAnsi="宋体" w:eastAsia="宋体" w:cs="宋体"/>
          <w:color w:val="auto"/>
          <w:sz w:val="24"/>
          <w:szCs w:val="24"/>
          <w:highlight w:val="none"/>
        </w:rPr>
        <w:t>通过采购项目</w:t>
      </w:r>
      <w:r>
        <w:rPr>
          <w:rFonts w:hint="eastAsia" w:ascii="宋体" w:hAnsi="宋体" w:eastAsia="宋体" w:cs="宋体"/>
          <w:color w:val="auto"/>
          <w:sz w:val="24"/>
          <w:szCs w:val="24"/>
          <w:highlight w:val="none"/>
          <w:lang w:eastAsia="zh-CN"/>
        </w:rPr>
        <w:t>整体</w:t>
      </w:r>
      <w:r>
        <w:rPr>
          <w:rFonts w:hint="eastAsia" w:ascii="宋体" w:hAnsi="宋体" w:eastAsia="宋体" w:cs="宋体"/>
          <w:color w:val="auto"/>
          <w:sz w:val="24"/>
          <w:szCs w:val="24"/>
          <w:highlight w:val="none"/>
        </w:rPr>
        <w:t>预留、</w:t>
      </w:r>
      <w:r>
        <w:rPr>
          <w:rFonts w:hint="eastAsia" w:ascii="宋体" w:hAnsi="宋体" w:eastAsia="宋体" w:cs="宋体"/>
          <w:color w:val="auto"/>
          <w:sz w:val="24"/>
          <w:szCs w:val="24"/>
          <w:highlight w:val="none"/>
          <w:lang w:eastAsia="zh-CN"/>
        </w:rPr>
        <w:t>设置</w:t>
      </w:r>
      <w:r>
        <w:rPr>
          <w:rFonts w:hint="eastAsia" w:ascii="宋体" w:hAnsi="宋体" w:eastAsia="宋体" w:cs="宋体"/>
          <w:color w:val="auto"/>
          <w:sz w:val="24"/>
          <w:szCs w:val="24"/>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162CEC1">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法律适用</w:t>
      </w:r>
    </w:p>
    <w:p w14:paraId="5EB3A14F">
      <w:pPr>
        <w:pStyle w:val="59"/>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 本合同的订立、生效、解释、履行及与本合同有关的争议解决，均适用法律、行政法规。</w:t>
      </w:r>
    </w:p>
    <w:p w14:paraId="1C0077CD">
      <w:pPr>
        <w:pStyle w:val="59"/>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 本合同条款与法律、行政法规的强制性规定不一致的，双方当事人应按照法律、行政法规的强制性规定修改本合同的相关条款。</w:t>
      </w:r>
    </w:p>
    <w:p w14:paraId="14FB2268">
      <w:pPr>
        <w:pageBreakBefore w:val="0"/>
        <w:numPr>
          <w:ilvl w:val="-1"/>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 xml:space="preserve">22. </w:t>
      </w:r>
      <w:r>
        <w:rPr>
          <w:rFonts w:hint="eastAsia" w:ascii="宋体" w:hAnsi="宋体" w:eastAsia="宋体" w:cs="宋体"/>
          <w:b/>
          <w:color w:val="auto"/>
          <w:sz w:val="24"/>
          <w:szCs w:val="24"/>
          <w:highlight w:val="none"/>
        </w:rPr>
        <w:t>通知</w:t>
      </w:r>
    </w:p>
    <w:p w14:paraId="00537406">
      <w:pPr>
        <w:pStyle w:val="59"/>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本合同任何一方向对方发出的通知、信件、数据电文等，应当发送至本合同第一部分《采购合同协议书》所约定的通讯地址、联系人、联系电话或电子邮箱。</w:t>
      </w:r>
    </w:p>
    <w:p w14:paraId="26F8F1BA">
      <w:pPr>
        <w:pStyle w:val="59"/>
        <w:pageBreakBefore w:val="0"/>
        <w:kinsoku/>
        <w:wordWrap/>
        <w:overflowPunct/>
        <w:topLinePunct w:val="0"/>
        <w:bidi w:val="0"/>
        <w:spacing w:line="360" w:lineRule="auto"/>
        <w:ind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一方当事人变更名称、</w:t>
      </w:r>
      <w:r>
        <w:rPr>
          <w:rFonts w:hint="eastAsia" w:ascii="宋体" w:hAnsi="宋体" w:eastAsia="宋体" w:cs="宋体"/>
          <w:color w:val="auto"/>
          <w:sz w:val="24"/>
          <w:szCs w:val="24"/>
          <w:highlight w:val="none"/>
          <w:lang w:eastAsia="zh-CN"/>
        </w:rPr>
        <w:t>住所</w:t>
      </w:r>
      <w:r>
        <w:rPr>
          <w:rFonts w:hint="eastAsia" w:ascii="宋体" w:hAnsi="宋体" w:eastAsia="宋体" w:cs="宋体"/>
          <w:color w:val="auto"/>
          <w:sz w:val="24"/>
          <w:szCs w:val="24"/>
          <w:highlight w:val="none"/>
        </w:rPr>
        <w:t>、联系人、联系电话或电子邮箱</w:t>
      </w:r>
      <w:r>
        <w:rPr>
          <w:rFonts w:hint="eastAsia" w:ascii="宋体" w:hAnsi="宋体" w:eastAsia="宋体" w:cs="宋体"/>
          <w:color w:val="auto"/>
          <w:sz w:val="24"/>
          <w:szCs w:val="24"/>
          <w:highlight w:val="none"/>
          <w:lang w:eastAsia="zh-CN"/>
        </w:rPr>
        <w:t>等信息</w:t>
      </w:r>
      <w:r>
        <w:rPr>
          <w:rFonts w:hint="eastAsia" w:ascii="宋体" w:hAnsi="宋体" w:eastAsia="宋体" w:cs="宋体"/>
          <w:color w:val="auto"/>
          <w:sz w:val="24"/>
          <w:szCs w:val="24"/>
          <w:highlight w:val="none"/>
        </w:rPr>
        <w:t>的，应当在变更后3日内及时书面通知对方，对方实际收到变更通知前的送达仍为有效送达。</w:t>
      </w:r>
    </w:p>
    <w:p w14:paraId="59A2FD8F">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本合同一方给另一方的通知均应采用书面形式，传真或快递送到本合同中规定的对方的地址和办理签收手续。</w:t>
      </w:r>
    </w:p>
    <w:p w14:paraId="61F7683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通知以送达之日或通知书中规定的生效之日起生效，两者中以较迟之日为准。</w:t>
      </w:r>
    </w:p>
    <w:p w14:paraId="7C6E0983">
      <w:pPr>
        <w:pageBreakBefore w:val="0"/>
        <w:numPr>
          <w:ilvl w:val="0"/>
          <w:numId w:val="8"/>
        </w:numPr>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合同未尽事项</w:t>
      </w:r>
    </w:p>
    <w:p w14:paraId="2E9532E9">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.1合同未尽事项见</w:t>
      </w:r>
      <w:r>
        <w:rPr>
          <w:rFonts w:hint="eastAsia" w:ascii="宋体" w:hAnsi="宋体" w:eastAsia="宋体" w:cs="宋体"/>
          <w:b/>
          <w:color w:val="auto"/>
          <w:sz w:val="24"/>
          <w:szCs w:val="24"/>
          <w:highlight w:val="none"/>
        </w:rPr>
        <w:t>【采购合同专用条款】</w:t>
      </w:r>
      <w:r>
        <w:rPr>
          <w:rFonts w:hint="eastAsia" w:ascii="宋体" w:hAnsi="宋体" w:eastAsia="宋体" w:cs="宋体"/>
          <w:bCs/>
          <w:color w:val="auto"/>
          <w:sz w:val="24"/>
          <w:szCs w:val="24"/>
          <w:highlight w:val="none"/>
        </w:rPr>
        <w:t>。</w:t>
      </w:r>
    </w:p>
    <w:p w14:paraId="0E4AB5CB">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 xml:space="preserve">    23.2 合同附件与合同正文具有同等的法律效力。</w:t>
      </w:r>
      <w:bookmarkStart w:id="50" w:name="_Toc20313"/>
    </w:p>
    <w:p w14:paraId="4BA328E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br w:type="page"/>
      </w:r>
    </w:p>
    <w:p w14:paraId="4AC815C8">
      <w:pPr>
        <w:pStyle w:val="2"/>
        <w:pageBreakBefore w:val="0"/>
        <w:kinsoku/>
        <w:wordWrap/>
        <w:overflowPunct/>
        <w:topLinePunct w:val="0"/>
        <w:bidi w:val="0"/>
        <w:adjustRightInd w:val="0"/>
        <w:snapToGrid w:val="0"/>
        <w:spacing w:before="156" w:beforeLines="50" w:line="360" w:lineRule="auto"/>
        <w:jc w:val="center"/>
        <w:textAlignment w:val="auto"/>
        <w:rPr>
          <w:rFonts w:hint="eastAsia" w:cs="@仿宋_GB2312" w:asciiTheme="minorEastAsia" w:hAnsiTheme="minorEastAsia" w:eastAsiaTheme="minorEastAsia"/>
          <w:b/>
          <w:bCs w:val="0"/>
          <w:color w:val="auto"/>
          <w:kern w:val="2"/>
          <w:sz w:val="24"/>
          <w:szCs w:val="20"/>
          <w:highlight w:val="none"/>
          <w:lang w:val="en-US" w:eastAsia="zh-CN" w:bidi="ar-SA"/>
        </w:rPr>
      </w:pPr>
      <w:r>
        <w:rPr>
          <w:rFonts w:hint="eastAsia" w:cs="@仿宋_GB2312" w:asciiTheme="minorEastAsia" w:hAnsiTheme="minorEastAsia" w:eastAsiaTheme="minorEastAsia"/>
          <w:b/>
          <w:bCs w:val="0"/>
          <w:color w:val="auto"/>
          <w:kern w:val="2"/>
          <w:sz w:val="24"/>
          <w:szCs w:val="20"/>
          <w:highlight w:val="none"/>
          <w:lang w:val="en-US" w:eastAsia="zh-CN" w:bidi="ar-SA"/>
        </w:rPr>
        <w:t>第三节 采购合同专用条款</w:t>
      </w:r>
      <w:bookmarkEnd w:id="50"/>
    </w:p>
    <w:tbl>
      <w:tblPr>
        <w:tblStyle w:val="2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0DFFF5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AE3C6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1A4E2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）项</w:t>
            </w:r>
          </w:p>
        </w:tc>
        <w:tc>
          <w:tcPr>
            <w:tcW w:w="1742" w:type="dxa"/>
            <w:vAlign w:val="center"/>
          </w:tcPr>
          <w:p w14:paraId="5AFA91B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联合体具体要求</w:t>
            </w:r>
          </w:p>
        </w:tc>
        <w:tc>
          <w:tcPr>
            <w:tcW w:w="5170" w:type="dxa"/>
            <w:vAlign w:val="center"/>
          </w:tcPr>
          <w:p w14:paraId="54A01E0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325113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0417742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30F78D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第1.2（</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）项</w:t>
            </w:r>
          </w:p>
        </w:tc>
        <w:tc>
          <w:tcPr>
            <w:tcW w:w="1742" w:type="dxa"/>
            <w:vAlign w:val="center"/>
          </w:tcPr>
          <w:p w14:paraId="5E6C7A5C">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其他术语解释</w:t>
            </w:r>
          </w:p>
        </w:tc>
        <w:tc>
          <w:tcPr>
            <w:tcW w:w="5170" w:type="dxa"/>
            <w:vAlign w:val="center"/>
          </w:tcPr>
          <w:p w14:paraId="04813E7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18E015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114495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48E033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4.4款</w:t>
            </w:r>
          </w:p>
        </w:tc>
        <w:tc>
          <w:tcPr>
            <w:tcW w:w="1742" w:type="dxa"/>
            <w:vAlign w:val="center"/>
          </w:tcPr>
          <w:p w14:paraId="31EBB3A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履约验收中甲方提出异议或作出说明的期限</w:t>
            </w:r>
          </w:p>
        </w:tc>
        <w:tc>
          <w:tcPr>
            <w:tcW w:w="5170" w:type="dxa"/>
            <w:vAlign w:val="center"/>
          </w:tcPr>
          <w:p w14:paraId="73CC3AB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4D50D7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D3F34C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37700E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4.6款</w:t>
            </w:r>
          </w:p>
        </w:tc>
        <w:tc>
          <w:tcPr>
            <w:tcW w:w="1742" w:type="dxa"/>
            <w:vAlign w:val="center"/>
          </w:tcPr>
          <w:p w14:paraId="00A9DA4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约定甲方承担的其他义务和责任</w:t>
            </w:r>
          </w:p>
        </w:tc>
        <w:tc>
          <w:tcPr>
            <w:tcW w:w="5170" w:type="dxa"/>
            <w:vAlign w:val="center"/>
          </w:tcPr>
          <w:p w14:paraId="76137CB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5937FF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60561B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第二节</w:t>
            </w:r>
          </w:p>
          <w:p w14:paraId="15BC60E8">
            <w:pPr>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5.4款</w:t>
            </w:r>
          </w:p>
        </w:tc>
        <w:tc>
          <w:tcPr>
            <w:tcW w:w="1742" w:type="dxa"/>
            <w:vAlign w:val="center"/>
          </w:tcPr>
          <w:p w14:paraId="445A0451">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约定乙方承担的其他义务和责任</w:t>
            </w:r>
          </w:p>
        </w:tc>
        <w:tc>
          <w:tcPr>
            <w:tcW w:w="5170" w:type="dxa"/>
            <w:vAlign w:val="center"/>
          </w:tcPr>
          <w:p w14:paraId="2325937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7D479F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6D23D5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第二节</w:t>
            </w:r>
          </w:p>
          <w:p w14:paraId="18F55897">
            <w:pPr>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6.1款</w:t>
            </w:r>
          </w:p>
        </w:tc>
        <w:tc>
          <w:tcPr>
            <w:tcW w:w="1742" w:type="dxa"/>
            <w:vAlign w:val="center"/>
          </w:tcPr>
          <w:p w14:paraId="68FE36A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履行合同义务的顺序</w:t>
            </w:r>
          </w:p>
        </w:tc>
        <w:tc>
          <w:tcPr>
            <w:tcW w:w="5170" w:type="dxa"/>
            <w:vAlign w:val="center"/>
          </w:tcPr>
          <w:p w14:paraId="5806151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7B1D15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6F600AE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2454B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款</w:t>
            </w:r>
          </w:p>
        </w:tc>
        <w:tc>
          <w:tcPr>
            <w:tcW w:w="1742" w:type="dxa"/>
            <w:vAlign w:val="center"/>
          </w:tcPr>
          <w:p w14:paraId="2D643C24">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包装</w:t>
            </w:r>
            <w:r>
              <w:rPr>
                <w:rFonts w:hint="eastAsia" w:ascii="宋体" w:hAnsi="宋体" w:eastAsia="宋体" w:cs="宋体"/>
                <w:color w:val="auto"/>
                <w:sz w:val="24"/>
                <w:szCs w:val="24"/>
                <w:highlight w:val="none"/>
                <w:lang w:eastAsia="zh-CN"/>
              </w:rPr>
              <w:t>特殊要求</w:t>
            </w:r>
          </w:p>
        </w:tc>
        <w:tc>
          <w:tcPr>
            <w:tcW w:w="5170" w:type="dxa"/>
            <w:vAlign w:val="center"/>
          </w:tcPr>
          <w:p w14:paraId="59217776">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r>
      <w:tr w14:paraId="65BB9D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1A85FE2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742" w:type="dxa"/>
            <w:vAlign w:val="center"/>
          </w:tcPr>
          <w:p w14:paraId="4237896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指定现场</w:t>
            </w:r>
          </w:p>
        </w:tc>
        <w:tc>
          <w:tcPr>
            <w:tcW w:w="5170" w:type="dxa"/>
            <w:vAlign w:val="center"/>
          </w:tcPr>
          <w:p w14:paraId="58B256F3">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r>
      <w:tr w14:paraId="4311BF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1D5FB2A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D2EC15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款</w:t>
            </w:r>
          </w:p>
        </w:tc>
        <w:tc>
          <w:tcPr>
            <w:tcW w:w="1742" w:type="dxa"/>
            <w:vAlign w:val="center"/>
          </w:tcPr>
          <w:p w14:paraId="04FFEF0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运输特殊要求</w:t>
            </w:r>
          </w:p>
        </w:tc>
        <w:tc>
          <w:tcPr>
            <w:tcW w:w="5170" w:type="dxa"/>
            <w:vAlign w:val="center"/>
          </w:tcPr>
          <w:p w14:paraId="6E5D806C">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r>
      <w:tr w14:paraId="2164C8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2101226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53C8B2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款</w:t>
            </w:r>
          </w:p>
        </w:tc>
        <w:tc>
          <w:tcPr>
            <w:tcW w:w="1742" w:type="dxa"/>
            <w:vAlign w:val="center"/>
          </w:tcPr>
          <w:p w14:paraId="5848239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保险要求</w:t>
            </w:r>
          </w:p>
        </w:tc>
        <w:tc>
          <w:tcPr>
            <w:tcW w:w="5170" w:type="dxa"/>
            <w:vAlign w:val="center"/>
          </w:tcPr>
          <w:p w14:paraId="7AA07E7B">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r>
      <w:tr w14:paraId="766879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90BA30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B31F9E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.2（1）项</w:t>
            </w:r>
          </w:p>
        </w:tc>
        <w:tc>
          <w:tcPr>
            <w:tcW w:w="1742" w:type="dxa"/>
            <w:vAlign w:val="center"/>
          </w:tcPr>
          <w:p w14:paraId="059F45C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质量保证期</w:t>
            </w:r>
          </w:p>
        </w:tc>
        <w:tc>
          <w:tcPr>
            <w:tcW w:w="5170" w:type="dxa"/>
            <w:vAlign w:val="center"/>
          </w:tcPr>
          <w:p w14:paraId="7CC299AB">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p>
        </w:tc>
      </w:tr>
      <w:tr w14:paraId="23EEE2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A16529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73EF0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.2（3）项</w:t>
            </w:r>
          </w:p>
        </w:tc>
        <w:tc>
          <w:tcPr>
            <w:tcW w:w="1742" w:type="dxa"/>
            <w:vAlign w:val="center"/>
          </w:tcPr>
          <w:p w14:paraId="5233DB7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货物质量缺陷</w:t>
            </w:r>
          </w:p>
          <w:p w14:paraId="71A10EF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响应时间</w:t>
            </w:r>
          </w:p>
        </w:tc>
        <w:tc>
          <w:tcPr>
            <w:tcW w:w="5170" w:type="dxa"/>
            <w:vAlign w:val="center"/>
          </w:tcPr>
          <w:p w14:paraId="1D29BB0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1D82F7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9EBABF8">
            <w:pPr>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第二节</w:t>
            </w:r>
          </w:p>
          <w:p w14:paraId="3C670734">
            <w:pPr>
              <w:pStyle w:val="59"/>
              <w:pageBreakBefore w:val="0"/>
              <w:kinsoku/>
              <w:wordWrap/>
              <w:overflowPunct/>
              <w:topLinePunct w:val="0"/>
              <w:bidi w:val="0"/>
              <w:spacing w:line="360"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第11.1款</w:t>
            </w:r>
          </w:p>
        </w:tc>
        <w:tc>
          <w:tcPr>
            <w:tcW w:w="1742" w:type="dxa"/>
            <w:vAlign w:val="center"/>
          </w:tcPr>
          <w:p w14:paraId="1D76EECF">
            <w:pPr>
              <w:pageBreakBefore w:val="0"/>
              <w:kinsoku/>
              <w:wordWrap/>
              <w:overflowPunct/>
              <w:topLinePunct w:val="0"/>
              <w:bidi w:val="0"/>
              <w:adjustRightInd w:val="0"/>
              <w:snapToGrid w:val="0"/>
              <w:spacing w:line="360" w:lineRule="auto"/>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其他应当保密的信息</w:t>
            </w:r>
          </w:p>
        </w:tc>
        <w:tc>
          <w:tcPr>
            <w:tcW w:w="5170" w:type="dxa"/>
            <w:vAlign w:val="center"/>
          </w:tcPr>
          <w:p w14:paraId="016407E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425042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676A958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D6109A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.2款</w:t>
            </w:r>
          </w:p>
        </w:tc>
        <w:tc>
          <w:tcPr>
            <w:tcW w:w="1742" w:type="dxa"/>
            <w:vAlign w:val="center"/>
          </w:tcPr>
          <w:p w14:paraId="0CEABBE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合同价款支付</w:t>
            </w:r>
            <w:r>
              <w:rPr>
                <w:rFonts w:hint="eastAsia" w:ascii="宋体" w:hAnsi="宋体" w:eastAsia="宋体" w:cs="宋体"/>
                <w:color w:val="auto"/>
                <w:sz w:val="24"/>
                <w:szCs w:val="24"/>
                <w:highlight w:val="none"/>
                <w:lang w:eastAsia="zh-CN"/>
              </w:rPr>
              <w:t>时间</w:t>
            </w:r>
          </w:p>
        </w:tc>
        <w:tc>
          <w:tcPr>
            <w:tcW w:w="5170" w:type="dxa"/>
            <w:vAlign w:val="center"/>
          </w:tcPr>
          <w:p w14:paraId="2A0C6B0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4F8C27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4DA16E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AD99FE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13.2</w:t>
            </w:r>
            <w:r>
              <w:rPr>
                <w:rFonts w:hint="eastAsia" w:ascii="宋体" w:hAnsi="宋体" w:eastAsia="宋体" w:cs="宋体"/>
                <w:color w:val="auto"/>
                <w:sz w:val="24"/>
                <w:szCs w:val="24"/>
                <w:highlight w:val="none"/>
              </w:rPr>
              <w:t>款</w:t>
            </w:r>
          </w:p>
        </w:tc>
        <w:tc>
          <w:tcPr>
            <w:tcW w:w="1742" w:type="dxa"/>
            <w:vAlign w:val="center"/>
          </w:tcPr>
          <w:p w14:paraId="69FF917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履约保证金不予退还的情形</w:t>
            </w:r>
          </w:p>
        </w:tc>
        <w:tc>
          <w:tcPr>
            <w:tcW w:w="5170" w:type="dxa"/>
            <w:vAlign w:val="center"/>
          </w:tcPr>
          <w:p w14:paraId="539D43B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361580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441464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3B3D67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13.3</w:t>
            </w:r>
            <w:r>
              <w:rPr>
                <w:rFonts w:hint="eastAsia" w:ascii="宋体" w:hAnsi="宋体" w:eastAsia="宋体" w:cs="宋体"/>
                <w:color w:val="auto"/>
                <w:sz w:val="24"/>
                <w:szCs w:val="24"/>
                <w:highlight w:val="none"/>
              </w:rPr>
              <w:t>款</w:t>
            </w:r>
          </w:p>
        </w:tc>
        <w:tc>
          <w:tcPr>
            <w:tcW w:w="1742" w:type="dxa"/>
            <w:vAlign w:val="center"/>
          </w:tcPr>
          <w:p w14:paraId="7D193AB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履约保证金退还时间及</w:t>
            </w:r>
            <w:r>
              <w:rPr>
                <w:rFonts w:hint="eastAsia" w:ascii="宋体" w:hAnsi="宋体" w:eastAsia="宋体" w:cs="宋体"/>
                <w:color w:val="auto"/>
                <w:sz w:val="24"/>
                <w:szCs w:val="24"/>
                <w:highlight w:val="none"/>
                <w:lang w:eastAsia="zh-CN"/>
              </w:rPr>
              <w:t>逾期退还的</w:t>
            </w:r>
            <w:r>
              <w:rPr>
                <w:rFonts w:hint="eastAsia" w:ascii="宋体" w:hAnsi="宋体" w:eastAsia="宋体" w:cs="宋体"/>
                <w:color w:val="auto"/>
                <w:sz w:val="24"/>
                <w:szCs w:val="24"/>
                <w:highlight w:val="none"/>
              </w:rPr>
              <w:t>违约金</w:t>
            </w:r>
          </w:p>
        </w:tc>
        <w:tc>
          <w:tcPr>
            <w:tcW w:w="5170" w:type="dxa"/>
            <w:vAlign w:val="center"/>
          </w:tcPr>
          <w:p w14:paraId="33E0AEE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0C8F94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2968B08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2F86224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）项</w:t>
            </w:r>
          </w:p>
        </w:tc>
        <w:tc>
          <w:tcPr>
            <w:tcW w:w="1742" w:type="dxa"/>
            <w:vAlign w:val="center"/>
          </w:tcPr>
          <w:p w14:paraId="0FA4F825">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运行监督、维修期限</w:t>
            </w:r>
          </w:p>
        </w:tc>
        <w:tc>
          <w:tcPr>
            <w:tcW w:w="5170" w:type="dxa"/>
            <w:vAlign w:val="center"/>
          </w:tcPr>
          <w:p w14:paraId="066F2AF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0AFF5C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0451BAB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C7F4C3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）项</w:t>
            </w:r>
          </w:p>
        </w:tc>
        <w:tc>
          <w:tcPr>
            <w:tcW w:w="1742" w:type="dxa"/>
            <w:vAlign w:val="center"/>
          </w:tcPr>
          <w:p w14:paraId="0D17EC0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货物回收的约定</w:t>
            </w:r>
          </w:p>
        </w:tc>
        <w:tc>
          <w:tcPr>
            <w:tcW w:w="5170" w:type="dxa"/>
            <w:vAlign w:val="center"/>
          </w:tcPr>
          <w:p w14:paraId="43C13EA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1D2B45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10445B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7F27C9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）项</w:t>
            </w:r>
          </w:p>
        </w:tc>
        <w:tc>
          <w:tcPr>
            <w:tcW w:w="1742" w:type="dxa"/>
            <w:vAlign w:val="center"/>
          </w:tcPr>
          <w:p w14:paraId="3500E3A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乙方提供的其他服务</w:t>
            </w:r>
          </w:p>
        </w:tc>
        <w:tc>
          <w:tcPr>
            <w:tcW w:w="5170" w:type="dxa"/>
            <w:vAlign w:val="center"/>
          </w:tcPr>
          <w:p w14:paraId="13194CD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3E9B2E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4E34CE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619A0A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1款</w:t>
            </w:r>
          </w:p>
        </w:tc>
        <w:tc>
          <w:tcPr>
            <w:tcW w:w="1742" w:type="dxa"/>
            <w:vAlign w:val="center"/>
          </w:tcPr>
          <w:p w14:paraId="668BB69F">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修理、重作、更换相关具体规定</w:t>
            </w:r>
          </w:p>
        </w:tc>
        <w:tc>
          <w:tcPr>
            <w:tcW w:w="5170" w:type="dxa"/>
            <w:vAlign w:val="center"/>
          </w:tcPr>
          <w:p w14:paraId="1513F09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771A2A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6ED1E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2C4AD2F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.2（2）项</w:t>
            </w:r>
          </w:p>
        </w:tc>
        <w:tc>
          <w:tcPr>
            <w:tcW w:w="1742" w:type="dxa"/>
            <w:vAlign w:val="center"/>
          </w:tcPr>
          <w:p w14:paraId="692039F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迟延交货赔偿费</w:t>
            </w:r>
          </w:p>
        </w:tc>
        <w:tc>
          <w:tcPr>
            <w:tcW w:w="5170" w:type="dxa"/>
            <w:vAlign w:val="center"/>
          </w:tcPr>
          <w:p w14:paraId="28507A7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如果中标供应商没有按照合同规定的时间提供</w:t>
            </w:r>
            <w:r>
              <w:rPr>
                <w:rFonts w:hint="eastAsia" w:ascii="宋体" w:hAnsi="宋体" w:eastAsia="宋体" w:cs="宋体"/>
                <w:color w:val="auto"/>
                <w:sz w:val="24"/>
                <w:szCs w:val="24"/>
                <w:highlight w:val="none"/>
                <w:lang w:val="en-US" w:eastAsia="zh-CN"/>
              </w:rPr>
              <w:t>货物或</w:t>
            </w:r>
            <w:r>
              <w:rPr>
                <w:rFonts w:hint="eastAsia" w:ascii="宋体" w:hAnsi="宋体" w:eastAsia="宋体" w:cs="宋体"/>
                <w:color w:val="auto"/>
                <w:sz w:val="24"/>
                <w:szCs w:val="24"/>
                <w:highlight w:val="none"/>
              </w:rPr>
              <w:t>服务，中标供应商应向采购人支付违约金。违约金按每周未提供货物和服务总费用的0.5%计收，如未提供货物和服务时间超过4周，则按合同总价的20%计收违约金。一周按7天计算，不足7天按一周计算。如未提供货物和服务时间超过4周，采购人可以终止合同。</w:t>
            </w:r>
          </w:p>
        </w:tc>
      </w:tr>
      <w:tr w14:paraId="2E098E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D3191B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0B8942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3款</w:t>
            </w:r>
          </w:p>
        </w:tc>
        <w:tc>
          <w:tcPr>
            <w:tcW w:w="1742" w:type="dxa"/>
            <w:vAlign w:val="center"/>
          </w:tcPr>
          <w:p w14:paraId="0B0B1C2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逾期付款利息</w:t>
            </w:r>
          </w:p>
        </w:tc>
        <w:tc>
          <w:tcPr>
            <w:tcW w:w="5170" w:type="dxa"/>
            <w:vAlign w:val="center"/>
          </w:tcPr>
          <w:p w14:paraId="38F3C75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u w:val="single"/>
              </w:rPr>
            </w:pPr>
          </w:p>
        </w:tc>
      </w:tr>
      <w:tr w14:paraId="47B2F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588A5D8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93EC5A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款</w:t>
            </w:r>
          </w:p>
        </w:tc>
        <w:tc>
          <w:tcPr>
            <w:tcW w:w="1742" w:type="dxa"/>
            <w:tcBorders>
              <w:left w:val="single" w:color="auto" w:sz="2" w:space="0"/>
              <w:bottom w:val="single" w:color="auto" w:sz="2" w:space="0"/>
              <w:right w:val="single" w:color="auto" w:sz="2" w:space="0"/>
            </w:tcBorders>
            <w:vAlign w:val="center"/>
          </w:tcPr>
          <w:p w14:paraId="68364ED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其他违约责任</w:t>
            </w:r>
          </w:p>
        </w:tc>
        <w:tc>
          <w:tcPr>
            <w:tcW w:w="5170" w:type="dxa"/>
            <w:tcBorders>
              <w:left w:val="single" w:color="auto" w:sz="2" w:space="0"/>
              <w:bottom w:val="single" w:color="auto" w:sz="2" w:space="0"/>
            </w:tcBorders>
            <w:vAlign w:val="center"/>
          </w:tcPr>
          <w:p w14:paraId="39CD55A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因采购人原因导致延期返还履约保证金、延期支付合同款项，变更、中止或终止合同的，因政策变化等原因不能签订合同，造成企业合法利益受损的情形，采购人应与供应商充分协商，按照货物或提供服务合同价</w:t>
            </w:r>
            <w:r>
              <w:rPr>
                <w:rFonts w:hint="eastAsia" w:ascii="宋体" w:hAnsi="宋体" w:eastAsia="宋体" w:cs="宋体"/>
                <w:color w:val="auto"/>
                <w:sz w:val="24"/>
                <w:szCs w:val="24"/>
                <w:highlight w:val="none"/>
                <w:u w:val="single"/>
                <w:lang w:val="en-US" w:eastAsia="zh-CN"/>
              </w:rPr>
              <w:t xml:space="preserve">  0.1  </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给予合理赔偿或者补偿</w:t>
            </w:r>
            <w:r>
              <w:rPr>
                <w:rFonts w:hint="eastAsia" w:ascii="宋体" w:hAnsi="宋体" w:eastAsia="宋体" w:cs="宋体"/>
                <w:color w:val="auto"/>
                <w:sz w:val="24"/>
                <w:szCs w:val="24"/>
                <w:highlight w:val="none"/>
                <w:lang w:eastAsia="zh-CN"/>
              </w:rPr>
              <w:t>。</w:t>
            </w:r>
          </w:p>
        </w:tc>
      </w:tr>
      <w:tr w14:paraId="387207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7986A87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633A7C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款</w:t>
            </w:r>
          </w:p>
        </w:tc>
        <w:tc>
          <w:tcPr>
            <w:tcW w:w="1742" w:type="dxa"/>
            <w:tcBorders>
              <w:top w:val="single" w:color="auto" w:sz="2" w:space="0"/>
              <w:left w:val="single" w:color="auto" w:sz="2" w:space="0"/>
              <w:right w:val="single" w:color="auto" w:sz="2" w:space="0"/>
            </w:tcBorders>
            <w:vAlign w:val="center"/>
          </w:tcPr>
          <w:p w14:paraId="1B9F436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解决争议的方法</w:t>
            </w:r>
          </w:p>
        </w:tc>
        <w:tc>
          <w:tcPr>
            <w:tcW w:w="5170" w:type="dxa"/>
            <w:tcBorders>
              <w:top w:val="single" w:color="auto" w:sz="2" w:space="0"/>
              <w:left w:val="single" w:color="auto" w:sz="2" w:space="0"/>
            </w:tcBorders>
            <w:vAlign w:val="center"/>
          </w:tcPr>
          <w:p w14:paraId="003C7A27">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color w:val="auto"/>
                <w:sz w:val="24"/>
                <w:szCs w:val="24"/>
                <w:highlight w:val="none"/>
              </w:rPr>
            </w:pPr>
            <w:r>
              <w:rPr>
                <w:rFonts w:hint="eastAsia" w:ascii="宋体" w:hAnsi="宋体" w:eastAsia="宋体" w:cs="宋体"/>
                <w:b w:val="0"/>
                <w:bCs w:val="0"/>
                <w:iCs/>
                <w:color w:val="auto"/>
                <w:sz w:val="24"/>
                <w:szCs w:val="24"/>
                <w:highlight w:val="none"/>
              </w:rPr>
              <w:t>因本合同及合同有关事项发生的争议，按下列第</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rPr>
              <w:t>种方式解决：</w:t>
            </w:r>
          </w:p>
          <w:p w14:paraId="12A82147">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color w:val="auto"/>
                <w:sz w:val="24"/>
                <w:szCs w:val="24"/>
                <w:highlight w:val="none"/>
              </w:rPr>
            </w:pPr>
            <w:r>
              <w:rPr>
                <w:rFonts w:hint="eastAsia" w:ascii="宋体" w:hAnsi="宋体" w:eastAsia="宋体" w:cs="宋体"/>
                <w:b w:val="0"/>
                <w:bCs w:val="0"/>
                <w:iCs/>
                <w:color w:val="auto"/>
                <w:sz w:val="24"/>
                <w:szCs w:val="24"/>
                <w:highlight w:val="none"/>
              </w:rPr>
              <w:t>（1）向</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rPr>
              <w:t>仲裁委员会申请仲裁，仲裁地点为</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rPr>
              <w:t>；</w:t>
            </w:r>
          </w:p>
          <w:p w14:paraId="1C064E38">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b w:val="0"/>
                <w:bCs w:val="0"/>
                <w:iCs/>
                <w:color w:val="auto"/>
                <w:sz w:val="24"/>
                <w:szCs w:val="24"/>
                <w:highlight w:val="none"/>
              </w:rPr>
              <w:t>（2）向</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rPr>
              <w:t>人民法院起诉。</w:t>
            </w:r>
          </w:p>
        </w:tc>
      </w:tr>
      <w:tr w14:paraId="13467B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50F3576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FA4F25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第2</w:t>
            </w:r>
            <w:r>
              <w:rPr>
                <w:rFonts w:hint="eastAsia" w:ascii="宋体" w:hAnsi="宋体" w:eastAsia="宋体" w:cs="宋体"/>
                <w:color w:val="auto"/>
                <w:sz w:val="24"/>
                <w:szCs w:val="24"/>
                <w:highlight w:val="none"/>
                <w:lang w:val="en-US" w:eastAsia="zh-CN"/>
              </w:rPr>
              <w:t>3.1</w:t>
            </w:r>
            <w:r>
              <w:rPr>
                <w:rFonts w:hint="eastAsia" w:ascii="宋体" w:hAnsi="宋体" w:eastAsia="宋体" w:cs="宋体"/>
                <w:color w:val="auto"/>
                <w:sz w:val="24"/>
                <w:szCs w:val="24"/>
                <w:highlight w:val="none"/>
                <w:lang w:eastAsia="zh-CN"/>
              </w:rPr>
              <w:t>款</w:t>
            </w:r>
          </w:p>
        </w:tc>
        <w:tc>
          <w:tcPr>
            <w:tcW w:w="1742" w:type="dxa"/>
            <w:vAlign w:val="center"/>
          </w:tcPr>
          <w:p w14:paraId="187F7FD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eastAsia="zh-CN"/>
              </w:rPr>
              <w:t>其他专用条款</w:t>
            </w:r>
          </w:p>
        </w:tc>
        <w:tc>
          <w:tcPr>
            <w:tcW w:w="5170" w:type="dxa"/>
            <w:vAlign w:val="center"/>
          </w:tcPr>
          <w:p w14:paraId="2F917DD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p>
        </w:tc>
      </w:tr>
    </w:tbl>
    <w:p w14:paraId="29092542">
      <w:pPr>
        <w:rPr>
          <w:rFonts w:hint="eastAsia" w:ascii="宋体" w:hAnsi="宋体" w:eastAsia="宋体" w:cs="宋体"/>
          <w:color w:val="auto"/>
          <w:sz w:val="24"/>
          <w:szCs w:val="24"/>
          <w:highlight w:val="none"/>
        </w:rPr>
      </w:pPr>
    </w:p>
    <w:p w14:paraId="0E6D9201">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682D4B74">
      <w:pPr>
        <w:spacing w:line="360" w:lineRule="auto"/>
        <w:jc w:val="center"/>
        <w:outlineLvl w:val="0"/>
        <w:rPr>
          <w:rFonts w:asciiTheme="minorEastAsia" w:hAnsiTheme="minorEastAsia" w:eastAsiaTheme="minorEastAsia"/>
          <w:b/>
          <w:color w:val="auto"/>
          <w:sz w:val="28"/>
          <w:highlight w:val="none"/>
        </w:rPr>
      </w:pPr>
      <w:bookmarkStart w:id="51" w:name="_Toc22492"/>
      <w:r>
        <w:rPr>
          <w:rFonts w:hint="eastAsia" w:asciiTheme="minorEastAsia" w:hAnsiTheme="minorEastAsia" w:eastAsiaTheme="minorEastAsia"/>
          <w:b/>
          <w:color w:val="auto"/>
          <w:sz w:val="28"/>
          <w:highlight w:val="none"/>
        </w:rPr>
        <w:t>第六章  投标文件格式</w:t>
      </w:r>
      <w:bookmarkEnd w:id="51"/>
    </w:p>
    <w:p w14:paraId="597E24F1">
      <w:pPr>
        <w:spacing w:line="900" w:lineRule="exact"/>
        <w:jc w:val="center"/>
        <w:rPr>
          <w:rFonts w:asciiTheme="minorEastAsia" w:hAnsiTheme="minorEastAsia" w:eastAsiaTheme="minorEastAsia"/>
          <w:b/>
          <w:color w:val="auto"/>
          <w:sz w:val="72"/>
          <w:highlight w:val="none"/>
        </w:rPr>
      </w:pPr>
    </w:p>
    <w:p w14:paraId="5F1B657B">
      <w:pPr>
        <w:spacing w:line="900" w:lineRule="exact"/>
        <w:jc w:val="center"/>
        <w:outlineLvl w:val="1"/>
        <w:rPr>
          <w:rFonts w:asciiTheme="minorEastAsia" w:hAnsiTheme="minorEastAsia" w:eastAsiaTheme="minorEastAsia"/>
          <w:b/>
          <w:color w:val="auto"/>
          <w:sz w:val="72"/>
          <w:highlight w:val="none"/>
        </w:rPr>
      </w:pPr>
      <w:bookmarkStart w:id="52" w:name="_Toc651"/>
      <w:r>
        <w:rPr>
          <w:rFonts w:hint="eastAsia" w:asciiTheme="minorEastAsia" w:hAnsiTheme="minorEastAsia" w:eastAsiaTheme="minorEastAsia"/>
          <w:b/>
          <w:color w:val="auto"/>
          <w:sz w:val="72"/>
          <w:highlight w:val="none"/>
        </w:rPr>
        <w:t>投</w:t>
      </w:r>
      <w:bookmarkEnd w:id="52"/>
    </w:p>
    <w:p w14:paraId="151E7C31">
      <w:pPr>
        <w:spacing w:line="900" w:lineRule="exact"/>
        <w:jc w:val="center"/>
        <w:rPr>
          <w:rFonts w:asciiTheme="minorEastAsia" w:hAnsiTheme="minorEastAsia" w:eastAsiaTheme="minorEastAsia"/>
          <w:b/>
          <w:color w:val="auto"/>
          <w:sz w:val="72"/>
          <w:highlight w:val="none"/>
        </w:rPr>
      </w:pPr>
    </w:p>
    <w:p w14:paraId="2562A624">
      <w:pPr>
        <w:spacing w:line="900" w:lineRule="exact"/>
        <w:jc w:val="center"/>
        <w:outlineLvl w:val="1"/>
        <w:rPr>
          <w:rFonts w:asciiTheme="minorEastAsia" w:hAnsiTheme="minorEastAsia" w:eastAsiaTheme="minorEastAsia"/>
          <w:b/>
          <w:color w:val="auto"/>
          <w:sz w:val="72"/>
          <w:highlight w:val="none"/>
        </w:rPr>
      </w:pPr>
      <w:bookmarkStart w:id="53" w:name="_Toc6148"/>
      <w:r>
        <w:rPr>
          <w:rFonts w:hint="eastAsia" w:asciiTheme="minorEastAsia" w:hAnsiTheme="minorEastAsia" w:eastAsiaTheme="minorEastAsia"/>
          <w:b/>
          <w:color w:val="auto"/>
          <w:sz w:val="72"/>
          <w:highlight w:val="none"/>
        </w:rPr>
        <w:t>标</w:t>
      </w:r>
      <w:bookmarkEnd w:id="53"/>
    </w:p>
    <w:p w14:paraId="194745C5">
      <w:pPr>
        <w:spacing w:line="900" w:lineRule="exact"/>
        <w:jc w:val="center"/>
        <w:rPr>
          <w:rFonts w:asciiTheme="minorEastAsia" w:hAnsiTheme="minorEastAsia" w:eastAsiaTheme="minorEastAsia"/>
          <w:b/>
          <w:color w:val="auto"/>
          <w:sz w:val="72"/>
          <w:highlight w:val="none"/>
        </w:rPr>
      </w:pPr>
    </w:p>
    <w:p w14:paraId="41E80372">
      <w:pPr>
        <w:spacing w:line="900" w:lineRule="exact"/>
        <w:jc w:val="center"/>
        <w:outlineLvl w:val="1"/>
        <w:rPr>
          <w:rFonts w:asciiTheme="minorEastAsia" w:hAnsiTheme="minorEastAsia" w:eastAsiaTheme="minorEastAsia"/>
          <w:b/>
          <w:color w:val="auto"/>
          <w:sz w:val="72"/>
          <w:highlight w:val="none"/>
        </w:rPr>
      </w:pPr>
      <w:bookmarkStart w:id="54" w:name="_Toc1338"/>
      <w:r>
        <w:rPr>
          <w:rFonts w:hint="eastAsia" w:asciiTheme="minorEastAsia" w:hAnsiTheme="minorEastAsia" w:eastAsiaTheme="minorEastAsia"/>
          <w:b/>
          <w:color w:val="auto"/>
          <w:sz w:val="72"/>
          <w:highlight w:val="none"/>
        </w:rPr>
        <w:t>文</w:t>
      </w:r>
      <w:bookmarkEnd w:id="54"/>
    </w:p>
    <w:p w14:paraId="25463D15">
      <w:pPr>
        <w:spacing w:line="900" w:lineRule="exact"/>
        <w:jc w:val="center"/>
        <w:rPr>
          <w:rFonts w:asciiTheme="minorEastAsia" w:hAnsiTheme="minorEastAsia" w:eastAsiaTheme="minorEastAsia"/>
          <w:b/>
          <w:color w:val="auto"/>
          <w:sz w:val="72"/>
          <w:highlight w:val="none"/>
        </w:rPr>
      </w:pPr>
    </w:p>
    <w:p w14:paraId="10FE9B54">
      <w:pPr>
        <w:jc w:val="center"/>
        <w:outlineLvl w:val="1"/>
        <w:rPr>
          <w:rFonts w:asciiTheme="minorEastAsia" w:hAnsiTheme="minorEastAsia" w:eastAsiaTheme="minorEastAsia"/>
          <w:b/>
          <w:color w:val="auto"/>
          <w:sz w:val="72"/>
          <w:highlight w:val="none"/>
        </w:rPr>
      </w:pPr>
      <w:bookmarkStart w:id="55" w:name="_Toc10796"/>
      <w:r>
        <w:rPr>
          <w:rFonts w:hint="eastAsia" w:asciiTheme="minorEastAsia" w:hAnsiTheme="minorEastAsia" w:eastAsiaTheme="minorEastAsia"/>
          <w:b/>
          <w:color w:val="auto"/>
          <w:sz w:val="72"/>
          <w:highlight w:val="none"/>
        </w:rPr>
        <w:t>件</w:t>
      </w:r>
      <w:bookmarkEnd w:id="55"/>
    </w:p>
    <w:p w14:paraId="100863D2">
      <w:pPr>
        <w:spacing w:after="156" w:afterLines="50"/>
        <w:jc w:val="center"/>
        <w:rPr>
          <w:rFonts w:asciiTheme="minorEastAsia" w:hAnsiTheme="minorEastAsia" w:eastAsiaTheme="minorEastAsia"/>
          <w:b/>
          <w:color w:val="auto"/>
          <w:sz w:val="72"/>
          <w:highlight w:val="none"/>
        </w:rPr>
      </w:pPr>
    </w:p>
    <w:p w14:paraId="7543BA23">
      <w:pPr>
        <w:spacing w:before="156" w:beforeLines="50" w:after="156" w:afterLines="50"/>
        <w:jc w:val="center"/>
        <w:outlineLvl w:val="9"/>
        <w:rPr>
          <w:rFonts w:asciiTheme="minorEastAsia" w:hAnsiTheme="minorEastAsia" w:eastAsiaTheme="minorEastAsia"/>
          <w:b/>
          <w:color w:val="auto"/>
          <w:sz w:val="32"/>
          <w:szCs w:val="32"/>
          <w:highlight w:val="none"/>
        </w:rPr>
      </w:pPr>
    </w:p>
    <w:p w14:paraId="36F96B57">
      <w:pPr>
        <w:spacing w:after="156" w:afterLines="50" w:line="500" w:lineRule="exact"/>
        <w:jc w:val="center"/>
        <w:rPr>
          <w:rFonts w:asciiTheme="minorEastAsia" w:hAnsiTheme="minorEastAsia" w:eastAsiaTheme="minorEastAsia"/>
          <w:b/>
          <w:color w:val="auto"/>
          <w:sz w:val="28"/>
          <w:szCs w:val="28"/>
          <w:highlight w:val="none"/>
        </w:rPr>
      </w:pPr>
    </w:p>
    <w:p w14:paraId="52203803">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B035378">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E81238D">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 xml:space="preserve">投 </w:t>
      </w:r>
      <w:r>
        <w:rPr>
          <w:rFonts w:hint="eastAsia" w:asciiTheme="minorEastAsia" w:hAnsiTheme="minorEastAsia" w:eastAsiaTheme="minorEastAsia"/>
          <w:b/>
          <w:color w:val="auto"/>
          <w:sz w:val="32"/>
          <w:highlight w:val="none"/>
        </w:rPr>
        <w:t>标</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人：</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A1AA654">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56" w:name="_Toc9994"/>
      <w:bookmarkStart w:id="57" w:name="_Toc803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56"/>
      <w:bookmarkEnd w:id="57"/>
    </w:p>
    <w:p w14:paraId="79FBBE57">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2F69E07D">
      <w:pPr>
        <w:spacing w:line="360" w:lineRule="auto"/>
        <w:jc w:val="center"/>
        <w:outlineLvl w:val="1"/>
        <w:rPr>
          <w:rFonts w:asciiTheme="minorEastAsia" w:hAnsiTheme="minorEastAsia" w:eastAsiaTheme="minorEastAsia"/>
          <w:b/>
          <w:color w:val="auto"/>
          <w:sz w:val="24"/>
          <w:highlight w:val="none"/>
        </w:rPr>
      </w:pPr>
      <w:bookmarkStart w:id="58" w:name="_Toc5555"/>
      <w:bookmarkStart w:id="59" w:name="_Toc28960"/>
      <w:r>
        <w:rPr>
          <w:rFonts w:hint="eastAsia" w:asciiTheme="minorEastAsia" w:hAnsiTheme="minorEastAsia" w:eastAsiaTheme="minorEastAsia"/>
          <w:b/>
          <w:color w:val="auto"/>
          <w:sz w:val="24"/>
          <w:highlight w:val="none"/>
        </w:rPr>
        <w:t>一、开标一览表</w:t>
      </w:r>
      <w:bookmarkEnd w:id="58"/>
      <w:bookmarkEnd w:id="59"/>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031E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79199B50">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6565E86D">
            <w:pPr>
              <w:spacing w:line="360" w:lineRule="exact"/>
              <w:jc w:val="center"/>
              <w:rPr>
                <w:rFonts w:asciiTheme="minorEastAsia" w:hAnsiTheme="minorEastAsia" w:eastAsiaTheme="minorEastAsia"/>
                <w:bCs/>
                <w:color w:val="auto"/>
                <w:sz w:val="24"/>
                <w:highlight w:val="none"/>
                <w:u w:val="single"/>
              </w:rPr>
            </w:pPr>
          </w:p>
        </w:tc>
      </w:tr>
      <w:tr w14:paraId="2E94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CDAA623">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520B849E">
            <w:pPr>
              <w:spacing w:line="360" w:lineRule="auto"/>
              <w:rPr>
                <w:rFonts w:asciiTheme="minorEastAsia" w:hAnsiTheme="minorEastAsia" w:eastAsiaTheme="minorEastAsia"/>
                <w:color w:val="auto"/>
                <w:sz w:val="24"/>
                <w:highlight w:val="none"/>
              </w:rPr>
            </w:pPr>
          </w:p>
        </w:tc>
      </w:tr>
      <w:tr w14:paraId="5AD2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DF571CD">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267FB2FE">
            <w:pPr>
              <w:keepNext w:val="0"/>
              <w:keepLines w:val="0"/>
              <w:pageBreakBefore w:val="0"/>
              <w:widowControl/>
              <w:kinsoku/>
              <w:wordWrap/>
              <w:overflowPunct/>
              <w:topLinePunct w:val="0"/>
              <w:autoSpaceDE/>
              <w:autoSpaceDN/>
              <w:bidi w:val="0"/>
              <w:adjustRightInd/>
              <w:spacing w:line="360" w:lineRule="auto"/>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w:t>
            </w:r>
          </w:p>
        </w:tc>
      </w:tr>
      <w:tr w14:paraId="672D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51A72F9E">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6C0B49FE">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0E6BEE16">
            <w:pPr>
              <w:keepNext w:val="0"/>
              <w:keepLines w:val="0"/>
              <w:pageBreakBefore w:val="0"/>
              <w:widowControl w:val="0"/>
              <w:kinsoku/>
              <w:wordWrap/>
              <w:overflowPunct/>
              <w:topLinePunct w:val="0"/>
              <w:autoSpaceDE/>
              <w:autoSpaceDN/>
              <w:bidi w:val="0"/>
              <w:adjustRightInd/>
              <w:spacing w:line="360" w:lineRule="auto"/>
              <w:ind w:right="-670"/>
              <w:textAlignment w:val="auto"/>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60E5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7389F92A">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2C51E346">
            <w:pPr>
              <w:spacing w:line="360" w:lineRule="auto"/>
              <w:jc w:val="left"/>
              <w:rPr>
                <w:rFonts w:asciiTheme="minorEastAsia" w:hAnsiTheme="minorEastAsia" w:eastAsiaTheme="minorEastAsia"/>
                <w:color w:val="auto"/>
                <w:sz w:val="24"/>
                <w:szCs w:val="28"/>
                <w:highlight w:val="none"/>
              </w:rPr>
            </w:pPr>
          </w:p>
        </w:tc>
      </w:tr>
    </w:tbl>
    <w:p w14:paraId="63B8A796">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lang w:val="en-US" w:eastAsia="zh-CN"/>
        </w:rPr>
        <w:t>投标人</w:t>
      </w:r>
      <w:r>
        <w:rPr>
          <w:rFonts w:hint="eastAsia" w:asciiTheme="minorEastAsia" w:hAnsiTheme="minorEastAsia" w:eastAsiaTheme="minorEastAsia"/>
          <w:bCs/>
          <w:color w:val="auto"/>
          <w:sz w:val="24"/>
          <w:highlight w:val="none"/>
        </w:rPr>
        <w:t>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11AFE41F">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1DB3B321">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1AE721FF">
      <w:pPr>
        <w:spacing w:line="360" w:lineRule="auto"/>
        <w:ind w:firstLine="360" w:firstLineChars="150"/>
        <w:rPr>
          <w:rFonts w:asciiTheme="minorEastAsia" w:hAnsiTheme="minorEastAsia" w:eastAsiaTheme="minorEastAsia"/>
          <w:color w:val="auto"/>
          <w:sz w:val="24"/>
          <w:highlight w:val="none"/>
        </w:rPr>
      </w:pPr>
    </w:p>
    <w:p w14:paraId="4FDB0254">
      <w:pPr>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20EF0F3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0CED911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33196BB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1FD95949">
      <w:pPr>
        <w:spacing w:line="360" w:lineRule="auto"/>
        <w:jc w:val="center"/>
        <w:outlineLvl w:val="1"/>
        <w:rPr>
          <w:rFonts w:asciiTheme="minorEastAsia" w:hAnsiTheme="minorEastAsia" w:eastAsiaTheme="minorEastAsia"/>
          <w:b/>
          <w:color w:val="auto"/>
          <w:sz w:val="24"/>
          <w:highlight w:val="none"/>
        </w:rPr>
      </w:pPr>
      <w:bookmarkStart w:id="60" w:name="_Toc6441"/>
      <w:bookmarkStart w:id="61" w:name="_Toc18010"/>
      <w:r>
        <w:rPr>
          <w:rFonts w:hint="eastAsia" w:asciiTheme="minorEastAsia" w:hAnsiTheme="minorEastAsia" w:eastAsiaTheme="minorEastAsia"/>
          <w:b/>
          <w:color w:val="auto"/>
          <w:sz w:val="24"/>
          <w:highlight w:val="none"/>
        </w:rPr>
        <w:t>二、投标函</w:t>
      </w:r>
      <w:bookmarkEnd w:id="60"/>
      <w:bookmarkEnd w:id="61"/>
    </w:p>
    <w:p w14:paraId="5A91387F">
      <w:pPr>
        <w:pStyle w:val="12"/>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75B5979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4CF4E4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F5A932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3DACCE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725820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56CEA0D4">
      <w:pPr>
        <w:spacing w:line="360" w:lineRule="auto"/>
        <w:ind w:firstLine="4800" w:firstLineChars="2000"/>
        <w:rPr>
          <w:rFonts w:ascii="宋体" w:hAnsi="宋体" w:eastAsia="宋体"/>
          <w:color w:val="auto"/>
          <w:sz w:val="24"/>
          <w:highlight w:val="none"/>
        </w:rPr>
      </w:pPr>
    </w:p>
    <w:p w14:paraId="79C1ABB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79A3760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8385054">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78775A16">
      <w:pPr>
        <w:spacing w:line="360" w:lineRule="auto"/>
        <w:jc w:val="center"/>
        <w:outlineLvl w:val="1"/>
        <w:rPr>
          <w:rFonts w:hint="eastAsia" w:asciiTheme="minorEastAsia" w:hAnsiTheme="minorEastAsia" w:eastAsiaTheme="minorEastAsia"/>
          <w:b/>
          <w:color w:val="auto"/>
          <w:sz w:val="24"/>
          <w:highlight w:val="none"/>
        </w:rPr>
      </w:pPr>
      <w:bookmarkStart w:id="62" w:name="_Toc1328"/>
      <w:r>
        <w:rPr>
          <w:rFonts w:hint="eastAsia" w:asciiTheme="minorEastAsia" w:hAnsiTheme="minorEastAsia" w:eastAsiaTheme="minorEastAsia"/>
          <w:b/>
          <w:color w:val="auto"/>
          <w:sz w:val="24"/>
          <w:highlight w:val="none"/>
          <w:lang w:val="en-US" w:eastAsia="zh-CN"/>
        </w:rPr>
        <w:t>三．投标人资格声明书</w:t>
      </w:r>
      <w:bookmarkEnd w:id="62"/>
      <w:r>
        <w:rPr>
          <w:rFonts w:hint="eastAsia" w:asciiTheme="minorEastAsia" w:hAnsiTheme="minorEastAsia" w:eastAsiaTheme="minorEastAsia"/>
          <w:b/>
          <w:color w:val="auto"/>
          <w:sz w:val="24"/>
          <w:highlight w:val="none"/>
          <w:lang w:val="en-US" w:eastAsia="zh-CN"/>
        </w:rPr>
        <w:t xml:space="preserve"> </w:t>
      </w:r>
    </w:p>
    <w:p w14:paraId="71C42E2A">
      <w:pPr>
        <w:pStyle w:val="12"/>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3EA201D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在参与本次项目投标中，我单位承诺：</w:t>
      </w:r>
    </w:p>
    <w:p w14:paraId="55C34CA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7D36F48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3575D45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4EB28A4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7BB800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3A8B2AE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（六）与我单位存在单位负责人为同一人或者存在直接控股、管理关系的其他法人单位信息如下（如有，不论其是否参加同一合同项下的采购活动均须填写）：</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B6B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8095141">
            <w:pPr>
              <w:keepNext w:val="0"/>
              <w:keepLines w:val="0"/>
              <w:pageBreakBefore w:val="0"/>
              <w:widowControl/>
              <w:suppressLineNumbers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7AB1403A">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29A8ACBA">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105D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84D332F">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7A13D496">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19931D3C">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18D2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05F9944">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6476754D">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270D37D4">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605A535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5429414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A7C5B6B">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6EA2097A">
      <w:pPr>
        <w:pStyle w:val="8"/>
        <w:rPr>
          <w:rFonts w:hint="eastAsia" w:asciiTheme="minorEastAsia" w:hAnsiTheme="minorEastAsia" w:eastAsiaTheme="minorEastAsia" w:cstheme="minorEastAsia"/>
          <w:color w:val="auto"/>
          <w:kern w:val="0"/>
          <w:sz w:val="24"/>
          <w:szCs w:val="24"/>
          <w:highlight w:val="none"/>
          <w:lang w:val="en-US" w:eastAsia="zh-CN" w:bidi="ar"/>
        </w:rPr>
      </w:pPr>
    </w:p>
    <w:p w14:paraId="62FACBB4">
      <w:pPr>
        <w:pStyle w:val="8"/>
        <w:rPr>
          <w:rFonts w:hint="eastAsia" w:asciiTheme="minorEastAsia" w:hAnsiTheme="minorEastAsia" w:eastAsiaTheme="minorEastAsia" w:cstheme="minorEastAsia"/>
          <w:color w:val="auto"/>
          <w:kern w:val="0"/>
          <w:sz w:val="24"/>
          <w:szCs w:val="24"/>
          <w:highlight w:val="none"/>
          <w:lang w:val="en-US" w:eastAsia="zh-CN" w:bidi="ar"/>
        </w:rPr>
      </w:pPr>
    </w:p>
    <w:p w14:paraId="29236E8F">
      <w:pPr>
        <w:pStyle w:val="8"/>
        <w:rPr>
          <w:rFonts w:hint="eastAsia" w:asciiTheme="minorEastAsia" w:hAnsiTheme="minorEastAsia" w:eastAsiaTheme="minorEastAsia" w:cstheme="minorEastAsia"/>
          <w:color w:val="auto"/>
          <w:kern w:val="0"/>
          <w:sz w:val="24"/>
          <w:szCs w:val="24"/>
          <w:highlight w:val="none"/>
          <w:lang w:val="en-US" w:eastAsia="zh-CN" w:bidi="ar"/>
        </w:rPr>
      </w:pPr>
    </w:p>
    <w:p w14:paraId="17F618DD">
      <w:pPr>
        <w:rPr>
          <w:rFonts w:hint="eastAsia" w:asciiTheme="minorEastAsia" w:hAnsiTheme="minorEastAsia" w:eastAsiaTheme="minorEastAsia"/>
          <w:b/>
          <w:color w:val="auto"/>
          <w:sz w:val="24"/>
          <w:highlight w:val="none"/>
        </w:rPr>
      </w:pPr>
      <w:bookmarkStart w:id="63" w:name="_Toc11607"/>
      <w:r>
        <w:rPr>
          <w:rFonts w:hint="eastAsia" w:asciiTheme="minorEastAsia" w:hAnsiTheme="minorEastAsia" w:eastAsiaTheme="minorEastAsia"/>
          <w:b/>
          <w:color w:val="auto"/>
          <w:sz w:val="24"/>
          <w:highlight w:val="none"/>
        </w:rPr>
        <w:br w:type="page"/>
      </w:r>
    </w:p>
    <w:p w14:paraId="6C263433">
      <w:pPr>
        <w:spacing w:line="360" w:lineRule="auto"/>
        <w:jc w:val="center"/>
        <w:outlineLvl w:val="1"/>
        <w:rPr>
          <w:rFonts w:asciiTheme="minorEastAsia" w:hAnsiTheme="minorEastAsia" w:eastAsiaTheme="minorEastAsia"/>
          <w:b/>
          <w:color w:val="auto"/>
          <w:sz w:val="24"/>
          <w:highlight w:val="none"/>
        </w:rPr>
      </w:pPr>
      <w:bookmarkStart w:id="64" w:name="_Toc16960"/>
      <w:r>
        <w:rPr>
          <w:rFonts w:hint="eastAsia" w:asciiTheme="minorEastAsia" w:hAnsiTheme="minorEastAsia" w:eastAsiaTheme="minorEastAsia"/>
          <w:b/>
          <w:color w:val="auto"/>
          <w:sz w:val="24"/>
          <w:highlight w:val="none"/>
        </w:rPr>
        <w:t>四、授权书</w:t>
      </w:r>
      <w:bookmarkEnd w:id="63"/>
      <w:bookmarkEnd w:id="64"/>
    </w:p>
    <w:p w14:paraId="08E8CC0E">
      <w:pPr>
        <w:pStyle w:val="11"/>
        <w:snapToGrid w:val="0"/>
        <w:spacing w:line="360" w:lineRule="auto"/>
        <w:ind w:firstLine="480" w:firstLineChars="200"/>
        <w:jc w:val="left"/>
        <w:rPr>
          <w:rFonts w:hAnsi="宋体" w:eastAsia="宋体"/>
          <w:color w:val="auto"/>
          <w:sz w:val="24"/>
          <w:szCs w:val="28"/>
          <w:highlight w:val="none"/>
        </w:rPr>
      </w:pPr>
    </w:p>
    <w:p w14:paraId="5E50A686">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5F3426E3">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10222876">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3EA03D83">
      <w:pPr>
        <w:spacing w:line="360" w:lineRule="auto"/>
        <w:ind w:firstLine="435"/>
        <w:rPr>
          <w:rFonts w:asciiTheme="minorEastAsia" w:hAnsiTheme="minorEastAsia" w:eastAsiaTheme="minorEastAsia"/>
          <w:color w:val="auto"/>
          <w:sz w:val="24"/>
          <w:highlight w:val="none"/>
        </w:rPr>
      </w:pPr>
    </w:p>
    <w:p w14:paraId="53CAB130">
      <w:pPr>
        <w:spacing w:line="360" w:lineRule="auto"/>
        <w:ind w:firstLine="435"/>
        <w:rPr>
          <w:rFonts w:asciiTheme="minorEastAsia" w:hAnsiTheme="minorEastAsia" w:eastAsiaTheme="minorEastAsia"/>
          <w:color w:val="auto"/>
          <w:sz w:val="24"/>
          <w:highlight w:val="none"/>
        </w:rPr>
      </w:pPr>
    </w:p>
    <w:p w14:paraId="2C5C8315">
      <w:pPr>
        <w:spacing w:line="360" w:lineRule="auto"/>
        <w:ind w:firstLine="435"/>
        <w:rPr>
          <w:rFonts w:asciiTheme="minorEastAsia" w:hAnsiTheme="minorEastAsia" w:eastAsiaTheme="minorEastAsia"/>
          <w:color w:val="auto"/>
          <w:sz w:val="24"/>
          <w:highlight w:val="none"/>
        </w:rPr>
      </w:pPr>
    </w:p>
    <w:p w14:paraId="7BA25597">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43814717">
      <w:pPr>
        <w:spacing w:line="360" w:lineRule="auto"/>
        <w:ind w:firstLine="435"/>
        <w:rPr>
          <w:rFonts w:hAnsi="宋体" w:eastAsia="宋体"/>
          <w:color w:val="auto"/>
          <w:sz w:val="24"/>
          <w:szCs w:val="28"/>
          <w:highlight w:val="none"/>
          <w:lang w:val="zh-CN"/>
        </w:rPr>
      </w:pPr>
    </w:p>
    <w:p w14:paraId="1B778D7F">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30DD1F94">
      <w:pPr>
        <w:spacing w:line="360" w:lineRule="auto"/>
        <w:rPr>
          <w:rFonts w:ascii="宋体" w:hAnsi="宋体" w:eastAsia="宋体"/>
          <w:color w:val="auto"/>
          <w:sz w:val="24"/>
          <w:szCs w:val="28"/>
          <w:highlight w:val="none"/>
        </w:rPr>
      </w:pPr>
    </w:p>
    <w:p w14:paraId="13DCB21B">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lang w:val="en-US" w:eastAsia="zh-CN"/>
        </w:rPr>
        <w:t xml:space="preserve">                            </w:t>
      </w:r>
      <w:r>
        <w:rPr>
          <w:rFonts w:hint="eastAsia" w:ascii="宋体" w:hAnsi="宋体" w:eastAsia="宋体"/>
          <w:bCs/>
          <w:color w:val="auto"/>
          <w:sz w:val="24"/>
          <w:szCs w:val="28"/>
          <w:highlight w:val="none"/>
        </w:rPr>
        <w:t>投标人电子签章：</w:t>
      </w:r>
      <w:r>
        <w:rPr>
          <w:rFonts w:hint="eastAsia" w:ascii="宋体" w:hAnsi="宋体" w:eastAsia="宋体"/>
          <w:bCs/>
          <w:color w:val="auto"/>
          <w:sz w:val="24"/>
          <w:szCs w:val="28"/>
          <w:highlight w:val="none"/>
          <w:u w:val="single"/>
        </w:rPr>
        <w:t xml:space="preserve">                    </w:t>
      </w:r>
    </w:p>
    <w:p w14:paraId="3A89123F">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lang w:val="en-US" w:eastAsia="zh-CN"/>
        </w:rPr>
        <w:t xml:space="preserve">                            </w:t>
      </w:r>
      <w:r>
        <w:rPr>
          <w:rFonts w:hint="eastAsia" w:ascii="宋体" w:hAnsi="宋体" w:eastAsia="宋体"/>
          <w:color w:val="auto"/>
          <w:sz w:val="24"/>
          <w:szCs w:val="28"/>
          <w:highlight w:val="none"/>
        </w:rPr>
        <w:t>日          期：</w:t>
      </w:r>
      <w:r>
        <w:rPr>
          <w:rFonts w:hint="eastAsia" w:ascii="宋体" w:hAnsi="宋体" w:eastAsia="宋体"/>
          <w:b/>
          <w:bCs/>
          <w:color w:val="auto"/>
          <w:sz w:val="24"/>
          <w:szCs w:val="28"/>
          <w:highlight w:val="none"/>
          <w:u w:val="single"/>
        </w:rPr>
        <w:t xml:space="preserve">                    </w:t>
      </w:r>
    </w:p>
    <w:p w14:paraId="623A7F90">
      <w:pPr>
        <w:spacing w:line="360" w:lineRule="auto"/>
        <w:ind w:firstLine="435"/>
        <w:rPr>
          <w:rFonts w:asciiTheme="minorEastAsia" w:hAnsiTheme="minorEastAsia" w:eastAsiaTheme="minorEastAsia"/>
          <w:color w:val="auto"/>
          <w:sz w:val="24"/>
          <w:highlight w:val="none"/>
        </w:rPr>
      </w:pPr>
    </w:p>
    <w:p w14:paraId="7A581D12">
      <w:pPr>
        <w:spacing w:line="360" w:lineRule="auto"/>
        <w:ind w:firstLine="435"/>
        <w:rPr>
          <w:rFonts w:asciiTheme="minorEastAsia" w:hAnsiTheme="minorEastAsia" w:eastAsiaTheme="minorEastAsia"/>
          <w:color w:val="auto"/>
          <w:sz w:val="24"/>
          <w:highlight w:val="none"/>
        </w:rPr>
      </w:pPr>
    </w:p>
    <w:p w14:paraId="2A1BBDB9">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327E05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4555FA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2E4221C2">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CECE55C">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65" w:name="_Toc6796"/>
      <w:bookmarkStart w:id="66" w:name="_Toc31991"/>
      <w:r>
        <w:rPr>
          <w:rFonts w:hint="eastAsia" w:asciiTheme="minorEastAsia" w:hAnsiTheme="minorEastAsia" w:eastAsiaTheme="minorEastAsia"/>
          <w:b/>
          <w:color w:val="auto"/>
          <w:sz w:val="24"/>
          <w:highlight w:val="none"/>
        </w:rPr>
        <w:t>五、投标分项报价表</w:t>
      </w:r>
      <w:bookmarkEnd w:id="65"/>
      <w:bookmarkEnd w:id="66"/>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323"/>
        <w:gridCol w:w="1316"/>
        <w:gridCol w:w="1316"/>
        <w:gridCol w:w="672"/>
        <w:gridCol w:w="672"/>
        <w:gridCol w:w="940"/>
        <w:gridCol w:w="940"/>
        <w:gridCol w:w="670"/>
      </w:tblGrid>
      <w:tr w14:paraId="29F8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02EB3403">
            <w:pPr>
              <w:pStyle w:val="31"/>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序号</w:t>
            </w:r>
          </w:p>
        </w:tc>
        <w:tc>
          <w:tcPr>
            <w:tcW w:w="776" w:type="pct"/>
            <w:noWrap w:val="0"/>
            <w:vAlign w:val="center"/>
          </w:tcPr>
          <w:p w14:paraId="73FB9F55">
            <w:pPr>
              <w:jc w:val="center"/>
              <w:rPr>
                <w:rFonts w:ascii="宋体" w:hAnsi="宋体" w:eastAsia="宋体"/>
                <w:b/>
                <w:color w:val="auto"/>
                <w:sz w:val="24"/>
                <w:highlight w:val="none"/>
              </w:rPr>
            </w:pPr>
            <w:r>
              <w:rPr>
                <w:rFonts w:hint="eastAsia" w:ascii="宋体" w:hAnsi="宋体" w:eastAsia="宋体"/>
                <w:b/>
                <w:color w:val="auto"/>
                <w:sz w:val="24"/>
                <w:highlight w:val="none"/>
              </w:rPr>
              <w:t>货物名称</w:t>
            </w:r>
          </w:p>
        </w:tc>
        <w:tc>
          <w:tcPr>
            <w:tcW w:w="772" w:type="pct"/>
            <w:noWrap w:val="0"/>
            <w:vAlign w:val="center"/>
          </w:tcPr>
          <w:p w14:paraId="74F9288A">
            <w:pPr>
              <w:jc w:val="center"/>
              <w:rPr>
                <w:rFonts w:ascii="宋体" w:hAnsi="宋体" w:eastAsia="宋体"/>
                <w:b/>
                <w:color w:val="auto"/>
                <w:sz w:val="24"/>
                <w:highlight w:val="none"/>
              </w:rPr>
            </w:pPr>
            <w:r>
              <w:rPr>
                <w:rFonts w:hint="eastAsia" w:ascii="宋体" w:hAnsi="宋体" w:eastAsia="宋体"/>
                <w:b/>
                <w:color w:val="auto"/>
                <w:sz w:val="24"/>
                <w:highlight w:val="none"/>
              </w:rPr>
              <w:t>品牌、型</w:t>
            </w:r>
          </w:p>
          <w:p w14:paraId="75AB3D77">
            <w:pPr>
              <w:jc w:val="center"/>
              <w:rPr>
                <w:rFonts w:ascii="宋体" w:hAnsi="宋体" w:eastAsia="宋体"/>
                <w:b/>
                <w:color w:val="auto"/>
                <w:sz w:val="24"/>
                <w:highlight w:val="none"/>
              </w:rPr>
            </w:pPr>
            <w:r>
              <w:rPr>
                <w:rFonts w:hint="eastAsia" w:ascii="宋体" w:hAnsi="宋体" w:eastAsia="宋体"/>
                <w:b/>
                <w:color w:val="auto"/>
                <w:sz w:val="24"/>
                <w:highlight w:val="none"/>
              </w:rPr>
              <w:t>号规格</w:t>
            </w:r>
          </w:p>
        </w:tc>
        <w:tc>
          <w:tcPr>
            <w:tcW w:w="772" w:type="pct"/>
            <w:noWrap w:val="0"/>
            <w:vAlign w:val="center"/>
          </w:tcPr>
          <w:p w14:paraId="3FC9B9D4">
            <w:pPr>
              <w:jc w:val="center"/>
              <w:rPr>
                <w:rFonts w:ascii="宋体" w:hAnsi="宋体" w:eastAsia="宋体"/>
                <w:b/>
                <w:color w:val="auto"/>
                <w:sz w:val="24"/>
                <w:highlight w:val="none"/>
              </w:rPr>
            </w:pPr>
            <w:r>
              <w:rPr>
                <w:rFonts w:hint="eastAsia" w:ascii="宋体" w:hAnsi="宋体" w:eastAsia="宋体"/>
                <w:b/>
                <w:color w:val="auto"/>
                <w:sz w:val="24"/>
                <w:highlight w:val="none"/>
              </w:rPr>
              <w:t>原产地及</w:t>
            </w:r>
          </w:p>
          <w:p w14:paraId="69A6F33E">
            <w:pPr>
              <w:jc w:val="center"/>
              <w:rPr>
                <w:rFonts w:ascii="宋体" w:hAnsi="宋体" w:eastAsia="宋体"/>
                <w:b/>
                <w:color w:val="auto"/>
                <w:sz w:val="24"/>
                <w:highlight w:val="none"/>
              </w:rPr>
            </w:pPr>
            <w:r>
              <w:rPr>
                <w:rFonts w:hint="eastAsia" w:ascii="宋体" w:hAnsi="宋体" w:eastAsia="宋体"/>
                <w:b/>
                <w:color w:val="auto"/>
                <w:sz w:val="24"/>
                <w:highlight w:val="none"/>
              </w:rPr>
              <w:t>生产厂商</w:t>
            </w:r>
          </w:p>
        </w:tc>
        <w:tc>
          <w:tcPr>
            <w:tcW w:w="394" w:type="pct"/>
            <w:noWrap w:val="0"/>
            <w:vAlign w:val="center"/>
          </w:tcPr>
          <w:p w14:paraId="5E220F61">
            <w:pPr>
              <w:jc w:val="center"/>
              <w:rPr>
                <w:rFonts w:ascii="宋体" w:hAnsi="宋体" w:eastAsia="宋体"/>
                <w:b/>
                <w:color w:val="auto"/>
                <w:sz w:val="24"/>
                <w:highlight w:val="none"/>
              </w:rPr>
            </w:pPr>
            <w:r>
              <w:rPr>
                <w:rFonts w:hint="eastAsia" w:ascii="宋体" w:hAnsi="宋体" w:eastAsia="宋体"/>
                <w:b/>
                <w:color w:val="auto"/>
                <w:sz w:val="24"/>
                <w:highlight w:val="none"/>
              </w:rPr>
              <w:t>单位</w:t>
            </w:r>
          </w:p>
        </w:tc>
        <w:tc>
          <w:tcPr>
            <w:tcW w:w="394" w:type="pct"/>
            <w:noWrap w:val="0"/>
            <w:vAlign w:val="center"/>
          </w:tcPr>
          <w:p w14:paraId="320CC90F">
            <w:pPr>
              <w:jc w:val="center"/>
              <w:rPr>
                <w:rFonts w:ascii="宋体" w:hAnsi="宋体" w:eastAsia="宋体"/>
                <w:b/>
                <w:color w:val="auto"/>
                <w:sz w:val="24"/>
                <w:highlight w:val="none"/>
              </w:rPr>
            </w:pPr>
            <w:r>
              <w:rPr>
                <w:rFonts w:hint="eastAsia" w:ascii="宋体" w:hAnsi="宋体" w:eastAsia="宋体"/>
                <w:b/>
                <w:color w:val="auto"/>
                <w:sz w:val="24"/>
                <w:highlight w:val="none"/>
              </w:rPr>
              <w:t>数量</w:t>
            </w:r>
          </w:p>
        </w:tc>
        <w:tc>
          <w:tcPr>
            <w:tcW w:w="551" w:type="pct"/>
            <w:noWrap w:val="0"/>
            <w:vAlign w:val="center"/>
          </w:tcPr>
          <w:p w14:paraId="57B37F39">
            <w:pPr>
              <w:jc w:val="center"/>
              <w:rPr>
                <w:rFonts w:ascii="宋体" w:hAnsi="宋体" w:eastAsia="宋体"/>
                <w:b/>
                <w:color w:val="auto"/>
                <w:sz w:val="24"/>
                <w:highlight w:val="none"/>
              </w:rPr>
            </w:pPr>
            <w:r>
              <w:rPr>
                <w:rFonts w:hint="eastAsia" w:ascii="宋体" w:hAnsi="宋体" w:eastAsia="宋体"/>
                <w:b/>
                <w:color w:val="auto"/>
                <w:sz w:val="24"/>
                <w:highlight w:val="none"/>
              </w:rPr>
              <w:t>单价</w:t>
            </w:r>
          </w:p>
          <w:p w14:paraId="39894848">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551" w:type="pct"/>
            <w:noWrap w:val="0"/>
            <w:vAlign w:val="center"/>
          </w:tcPr>
          <w:p w14:paraId="3425285D">
            <w:pPr>
              <w:jc w:val="center"/>
              <w:rPr>
                <w:rFonts w:ascii="宋体" w:hAnsi="宋体" w:eastAsia="宋体"/>
                <w:b/>
                <w:color w:val="auto"/>
                <w:sz w:val="24"/>
                <w:highlight w:val="none"/>
              </w:rPr>
            </w:pPr>
            <w:r>
              <w:rPr>
                <w:rFonts w:hint="eastAsia" w:ascii="宋体" w:hAnsi="宋体" w:eastAsia="宋体"/>
                <w:b/>
                <w:color w:val="auto"/>
                <w:sz w:val="24"/>
                <w:highlight w:val="none"/>
              </w:rPr>
              <w:t>小计</w:t>
            </w:r>
          </w:p>
          <w:p w14:paraId="57010817">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393" w:type="pct"/>
            <w:noWrap w:val="0"/>
            <w:vAlign w:val="center"/>
          </w:tcPr>
          <w:p w14:paraId="47A63804">
            <w:pPr>
              <w:jc w:val="center"/>
              <w:rPr>
                <w:rFonts w:ascii="宋体" w:hAnsi="宋体" w:eastAsia="宋体"/>
                <w:b/>
                <w:color w:val="auto"/>
                <w:sz w:val="24"/>
                <w:highlight w:val="none"/>
              </w:rPr>
            </w:pPr>
            <w:r>
              <w:rPr>
                <w:rFonts w:hint="eastAsia" w:ascii="宋体" w:hAnsi="宋体" w:eastAsia="宋体"/>
                <w:b/>
                <w:color w:val="auto"/>
                <w:sz w:val="24"/>
                <w:highlight w:val="none"/>
              </w:rPr>
              <w:t>备注</w:t>
            </w:r>
          </w:p>
        </w:tc>
      </w:tr>
      <w:tr w14:paraId="7492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noWrap w:val="0"/>
            <w:vAlign w:val="top"/>
          </w:tcPr>
          <w:p w14:paraId="081E0F3E">
            <w:pPr>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776" w:type="pct"/>
            <w:noWrap w:val="0"/>
            <w:vAlign w:val="top"/>
          </w:tcPr>
          <w:p w14:paraId="7761E195">
            <w:pPr>
              <w:rPr>
                <w:rFonts w:ascii="宋体" w:hAnsi="宋体" w:eastAsia="宋体"/>
                <w:color w:val="auto"/>
                <w:sz w:val="24"/>
                <w:highlight w:val="none"/>
              </w:rPr>
            </w:pPr>
          </w:p>
        </w:tc>
        <w:tc>
          <w:tcPr>
            <w:tcW w:w="772" w:type="pct"/>
            <w:noWrap w:val="0"/>
            <w:vAlign w:val="top"/>
          </w:tcPr>
          <w:p w14:paraId="0375DE1C">
            <w:pPr>
              <w:rPr>
                <w:rFonts w:ascii="宋体" w:hAnsi="宋体" w:eastAsia="宋体"/>
                <w:color w:val="auto"/>
                <w:sz w:val="24"/>
                <w:highlight w:val="none"/>
              </w:rPr>
            </w:pPr>
          </w:p>
        </w:tc>
        <w:tc>
          <w:tcPr>
            <w:tcW w:w="772" w:type="pct"/>
            <w:noWrap w:val="0"/>
            <w:vAlign w:val="top"/>
          </w:tcPr>
          <w:p w14:paraId="52FF1C92">
            <w:pPr>
              <w:rPr>
                <w:rFonts w:ascii="宋体" w:hAnsi="宋体" w:eastAsia="宋体"/>
                <w:color w:val="auto"/>
                <w:sz w:val="24"/>
                <w:highlight w:val="none"/>
              </w:rPr>
            </w:pPr>
          </w:p>
        </w:tc>
        <w:tc>
          <w:tcPr>
            <w:tcW w:w="394" w:type="pct"/>
            <w:noWrap w:val="0"/>
            <w:vAlign w:val="top"/>
          </w:tcPr>
          <w:p w14:paraId="7C01FFE9">
            <w:pPr>
              <w:rPr>
                <w:rFonts w:ascii="宋体" w:hAnsi="宋体" w:eastAsia="宋体"/>
                <w:color w:val="auto"/>
                <w:sz w:val="24"/>
                <w:highlight w:val="none"/>
              </w:rPr>
            </w:pPr>
          </w:p>
        </w:tc>
        <w:tc>
          <w:tcPr>
            <w:tcW w:w="394" w:type="pct"/>
            <w:noWrap w:val="0"/>
            <w:vAlign w:val="top"/>
          </w:tcPr>
          <w:p w14:paraId="4DE5AC10">
            <w:pPr>
              <w:rPr>
                <w:rFonts w:ascii="宋体" w:hAnsi="宋体" w:eastAsia="宋体"/>
                <w:color w:val="auto"/>
                <w:sz w:val="24"/>
                <w:highlight w:val="none"/>
              </w:rPr>
            </w:pPr>
          </w:p>
        </w:tc>
        <w:tc>
          <w:tcPr>
            <w:tcW w:w="551" w:type="pct"/>
            <w:noWrap w:val="0"/>
            <w:vAlign w:val="top"/>
          </w:tcPr>
          <w:p w14:paraId="21DA4597">
            <w:pPr>
              <w:rPr>
                <w:rFonts w:ascii="宋体" w:hAnsi="宋体" w:eastAsia="宋体"/>
                <w:color w:val="auto"/>
                <w:sz w:val="24"/>
                <w:highlight w:val="none"/>
              </w:rPr>
            </w:pPr>
          </w:p>
        </w:tc>
        <w:tc>
          <w:tcPr>
            <w:tcW w:w="551" w:type="pct"/>
            <w:noWrap w:val="0"/>
            <w:vAlign w:val="top"/>
          </w:tcPr>
          <w:p w14:paraId="2A9B41D8">
            <w:pPr>
              <w:rPr>
                <w:rFonts w:ascii="宋体" w:hAnsi="宋体" w:eastAsia="宋体"/>
                <w:color w:val="auto"/>
                <w:sz w:val="24"/>
                <w:highlight w:val="none"/>
              </w:rPr>
            </w:pPr>
          </w:p>
        </w:tc>
        <w:tc>
          <w:tcPr>
            <w:tcW w:w="393" w:type="pct"/>
            <w:noWrap w:val="0"/>
            <w:vAlign w:val="top"/>
          </w:tcPr>
          <w:p w14:paraId="2B68B0FE">
            <w:pPr>
              <w:rPr>
                <w:rFonts w:ascii="宋体" w:hAnsi="宋体" w:eastAsia="宋体"/>
                <w:color w:val="auto"/>
                <w:sz w:val="24"/>
                <w:highlight w:val="none"/>
              </w:rPr>
            </w:pPr>
          </w:p>
        </w:tc>
      </w:tr>
      <w:tr w14:paraId="6C4B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top"/>
          </w:tcPr>
          <w:p w14:paraId="01A75D3A">
            <w:pPr>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776" w:type="pct"/>
            <w:noWrap w:val="0"/>
            <w:vAlign w:val="top"/>
          </w:tcPr>
          <w:p w14:paraId="1C5F27B4">
            <w:pPr>
              <w:rPr>
                <w:rFonts w:ascii="宋体" w:hAnsi="宋体" w:eastAsia="宋体"/>
                <w:color w:val="auto"/>
                <w:sz w:val="24"/>
                <w:highlight w:val="none"/>
              </w:rPr>
            </w:pPr>
          </w:p>
        </w:tc>
        <w:tc>
          <w:tcPr>
            <w:tcW w:w="772" w:type="pct"/>
            <w:noWrap w:val="0"/>
            <w:vAlign w:val="top"/>
          </w:tcPr>
          <w:p w14:paraId="439F3115">
            <w:pPr>
              <w:rPr>
                <w:rFonts w:ascii="宋体" w:hAnsi="宋体" w:eastAsia="宋体"/>
                <w:color w:val="auto"/>
                <w:sz w:val="24"/>
                <w:highlight w:val="none"/>
              </w:rPr>
            </w:pPr>
          </w:p>
        </w:tc>
        <w:tc>
          <w:tcPr>
            <w:tcW w:w="772" w:type="pct"/>
            <w:noWrap w:val="0"/>
            <w:vAlign w:val="top"/>
          </w:tcPr>
          <w:p w14:paraId="0B5EF6A2">
            <w:pPr>
              <w:rPr>
                <w:rFonts w:ascii="宋体" w:hAnsi="宋体" w:eastAsia="宋体"/>
                <w:color w:val="auto"/>
                <w:sz w:val="24"/>
                <w:highlight w:val="none"/>
              </w:rPr>
            </w:pPr>
          </w:p>
        </w:tc>
        <w:tc>
          <w:tcPr>
            <w:tcW w:w="394" w:type="pct"/>
            <w:noWrap w:val="0"/>
            <w:vAlign w:val="top"/>
          </w:tcPr>
          <w:p w14:paraId="66BA4716">
            <w:pPr>
              <w:rPr>
                <w:rFonts w:ascii="宋体" w:hAnsi="宋体" w:eastAsia="宋体"/>
                <w:color w:val="auto"/>
                <w:sz w:val="24"/>
                <w:highlight w:val="none"/>
              </w:rPr>
            </w:pPr>
          </w:p>
        </w:tc>
        <w:tc>
          <w:tcPr>
            <w:tcW w:w="394" w:type="pct"/>
            <w:noWrap w:val="0"/>
            <w:vAlign w:val="top"/>
          </w:tcPr>
          <w:p w14:paraId="4981F119">
            <w:pPr>
              <w:rPr>
                <w:rFonts w:ascii="宋体" w:hAnsi="宋体" w:eastAsia="宋体"/>
                <w:color w:val="auto"/>
                <w:sz w:val="24"/>
                <w:highlight w:val="none"/>
              </w:rPr>
            </w:pPr>
          </w:p>
        </w:tc>
        <w:tc>
          <w:tcPr>
            <w:tcW w:w="551" w:type="pct"/>
            <w:noWrap w:val="0"/>
            <w:vAlign w:val="top"/>
          </w:tcPr>
          <w:p w14:paraId="6A08DEBB">
            <w:pPr>
              <w:rPr>
                <w:rFonts w:ascii="宋体" w:hAnsi="宋体" w:eastAsia="宋体"/>
                <w:color w:val="auto"/>
                <w:sz w:val="24"/>
                <w:highlight w:val="none"/>
              </w:rPr>
            </w:pPr>
          </w:p>
        </w:tc>
        <w:tc>
          <w:tcPr>
            <w:tcW w:w="551" w:type="pct"/>
            <w:noWrap w:val="0"/>
            <w:vAlign w:val="top"/>
          </w:tcPr>
          <w:p w14:paraId="21EA39CE">
            <w:pPr>
              <w:rPr>
                <w:rFonts w:ascii="宋体" w:hAnsi="宋体" w:eastAsia="宋体"/>
                <w:color w:val="auto"/>
                <w:sz w:val="24"/>
                <w:highlight w:val="none"/>
              </w:rPr>
            </w:pPr>
          </w:p>
        </w:tc>
        <w:tc>
          <w:tcPr>
            <w:tcW w:w="393" w:type="pct"/>
            <w:noWrap w:val="0"/>
            <w:vAlign w:val="top"/>
          </w:tcPr>
          <w:p w14:paraId="2599FD7C">
            <w:pPr>
              <w:rPr>
                <w:rFonts w:ascii="宋体" w:hAnsi="宋体" w:eastAsia="宋体"/>
                <w:color w:val="auto"/>
                <w:sz w:val="24"/>
                <w:highlight w:val="none"/>
              </w:rPr>
            </w:pPr>
          </w:p>
        </w:tc>
      </w:tr>
      <w:tr w14:paraId="3B9F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3EF7B92A">
            <w:pPr>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776" w:type="pct"/>
            <w:noWrap w:val="0"/>
            <w:vAlign w:val="top"/>
          </w:tcPr>
          <w:p w14:paraId="3F508895">
            <w:pPr>
              <w:rPr>
                <w:rFonts w:ascii="宋体" w:hAnsi="宋体" w:eastAsia="宋体"/>
                <w:color w:val="auto"/>
                <w:sz w:val="24"/>
                <w:highlight w:val="none"/>
              </w:rPr>
            </w:pPr>
          </w:p>
        </w:tc>
        <w:tc>
          <w:tcPr>
            <w:tcW w:w="772" w:type="pct"/>
            <w:noWrap w:val="0"/>
            <w:vAlign w:val="top"/>
          </w:tcPr>
          <w:p w14:paraId="20B310BD">
            <w:pPr>
              <w:rPr>
                <w:rFonts w:ascii="宋体" w:hAnsi="宋体" w:eastAsia="宋体"/>
                <w:color w:val="auto"/>
                <w:sz w:val="24"/>
                <w:highlight w:val="none"/>
              </w:rPr>
            </w:pPr>
          </w:p>
        </w:tc>
        <w:tc>
          <w:tcPr>
            <w:tcW w:w="772" w:type="pct"/>
            <w:noWrap w:val="0"/>
            <w:vAlign w:val="top"/>
          </w:tcPr>
          <w:p w14:paraId="09A7230D">
            <w:pPr>
              <w:rPr>
                <w:rFonts w:ascii="宋体" w:hAnsi="宋体" w:eastAsia="宋体"/>
                <w:color w:val="auto"/>
                <w:sz w:val="24"/>
                <w:highlight w:val="none"/>
              </w:rPr>
            </w:pPr>
          </w:p>
        </w:tc>
        <w:tc>
          <w:tcPr>
            <w:tcW w:w="394" w:type="pct"/>
            <w:noWrap w:val="0"/>
            <w:vAlign w:val="top"/>
          </w:tcPr>
          <w:p w14:paraId="275F91C4">
            <w:pPr>
              <w:rPr>
                <w:rFonts w:ascii="宋体" w:hAnsi="宋体" w:eastAsia="宋体"/>
                <w:color w:val="auto"/>
                <w:sz w:val="24"/>
                <w:highlight w:val="none"/>
              </w:rPr>
            </w:pPr>
          </w:p>
        </w:tc>
        <w:tc>
          <w:tcPr>
            <w:tcW w:w="394" w:type="pct"/>
            <w:noWrap w:val="0"/>
            <w:vAlign w:val="top"/>
          </w:tcPr>
          <w:p w14:paraId="6E9B5D37">
            <w:pPr>
              <w:rPr>
                <w:rFonts w:ascii="宋体" w:hAnsi="宋体" w:eastAsia="宋体"/>
                <w:color w:val="auto"/>
                <w:sz w:val="24"/>
                <w:highlight w:val="none"/>
              </w:rPr>
            </w:pPr>
          </w:p>
        </w:tc>
        <w:tc>
          <w:tcPr>
            <w:tcW w:w="551" w:type="pct"/>
            <w:noWrap w:val="0"/>
            <w:vAlign w:val="top"/>
          </w:tcPr>
          <w:p w14:paraId="7D351FDC">
            <w:pPr>
              <w:rPr>
                <w:rFonts w:ascii="宋体" w:hAnsi="宋体" w:eastAsia="宋体"/>
                <w:color w:val="auto"/>
                <w:sz w:val="24"/>
                <w:highlight w:val="none"/>
              </w:rPr>
            </w:pPr>
          </w:p>
        </w:tc>
        <w:tc>
          <w:tcPr>
            <w:tcW w:w="551" w:type="pct"/>
            <w:noWrap w:val="0"/>
            <w:vAlign w:val="top"/>
          </w:tcPr>
          <w:p w14:paraId="68D6AC0F">
            <w:pPr>
              <w:rPr>
                <w:rFonts w:ascii="宋体" w:hAnsi="宋体" w:eastAsia="宋体"/>
                <w:color w:val="auto"/>
                <w:sz w:val="24"/>
                <w:highlight w:val="none"/>
              </w:rPr>
            </w:pPr>
          </w:p>
        </w:tc>
        <w:tc>
          <w:tcPr>
            <w:tcW w:w="393" w:type="pct"/>
            <w:noWrap w:val="0"/>
            <w:vAlign w:val="top"/>
          </w:tcPr>
          <w:p w14:paraId="2EB92AF3">
            <w:pPr>
              <w:rPr>
                <w:rFonts w:ascii="宋体" w:hAnsi="宋体" w:eastAsia="宋体"/>
                <w:color w:val="auto"/>
                <w:sz w:val="24"/>
                <w:highlight w:val="none"/>
              </w:rPr>
            </w:pPr>
          </w:p>
        </w:tc>
      </w:tr>
      <w:tr w14:paraId="6233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7DD361CA">
            <w:pPr>
              <w:jc w:val="center"/>
              <w:rPr>
                <w:rFonts w:ascii="宋体" w:hAnsi="宋体" w:eastAsia="宋体"/>
                <w:color w:val="auto"/>
                <w:sz w:val="24"/>
                <w:highlight w:val="none"/>
              </w:rPr>
            </w:pPr>
            <w:r>
              <w:rPr>
                <w:rFonts w:hint="eastAsia" w:ascii="宋体" w:hAnsi="宋体" w:eastAsia="宋体"/>
                <w:color w:val="auto"/>
                <w:sz w:val="24"/>
                <w:highlight w:val="none"/>
              </w:rPr>
              <w:t>…</w:t>
            </w:r>
          </w:p>
        </w:tc>
        <w:tc>
          <w:tcPr>
            <w:tcW w:w="776" w:type="pct"/>
            <w:noWrap w:val="0"/>
            <w:vAlign w:val="top"/>
          </w:tcPr>
          <w:p w14:paraId="52FDDD29">
            <w:pPr>
              <w:rPr>
                <w:rFonts w:ascii="宋体" w:hAnsi="宋体" w:eastAsia="宋体"/>
                <w:color w:val="auto"/>
                <w:sz w:val="24"/>
                <w:highlight w:val="none"/>
              </w:rPr>
            </w:pPr>
          </w:p>
        </w:tc>
        <w:tc>
          <w:tcPr>
            <w:tcW w:w="772" w:type="pct"/>
            <w:noWrap w:val="0"/>
            <w:vAlign w:val="top"/>
          </w:tcPr>
          <w:p w14:paraId="0F448206">
            <w:pPr>
              <w:rPr>
                <w:rFonts w:ascii="宋体" w:hAnsi="宋体" w:eastAsia="宋体"/>
                <w:color w:val="auto"/>
                <w:sz w:val="24"/>
                <w:highlight w:val="none"/>
              </w:rPr>
            </w:pPr>
          </w:p>
        </w:tc>
        <w:tc>
          <w:tcPr>
            <w:tcW w:w="772" w:type="pct"/>
            <w:noWrap w:val="0"/>
            <w:vAlign w:val="top"/>
          </w:tcPr>
          <w:p w14:paraId="6F4523F1">
            <w:pPr>
              <w:rPr>
                <w:rFonts w:ascii="宋体" w:hAnsi="宋体" w:eastAsia="宋体"/>
                <w:color w:val="auto"/>
                <w:sz w:val="24"/>
                <w:highlight w:val="none"/>
              </w:rPr>
            </w:pPr>
          </w:p>
        </w:tc>
        <w:tc>
          <w:tcPr>
            <w:tcW w:w="394" w:type="pct"/>
            <w:noWrap w:val="0"/>
            <w:vAlign w:val="top"/>
          </w:tcPr>
          <w:p w14:paraId="5713503A">
            <w:pPr>
              <w:rPr>
                <w:rFonts w:ascii="宋体" w:hAnsi="宋体" w:eastAsia="宋体"/>
                <w:color w:val="auto"/>
                <w:sz w:val="24"/>
                <w:highlight w:val="none"/>
              </w:rPr>
            </w:pPr>
          </w:p>
        </w:tc>
        <w:tc>
          <w:tcPr>
            <w:tcW w:w="394" w:type="pct"/>
            <w:noWrap w:val="0"/>
            <w:vAlign w:val="top"/>
          </w:tcPr>
          <w:p w14:paraId="44B66D33">
            <w:pPr>
              <w:rPr>
                <w:rFonts w:ascii="宋体" w:hAnsi="宋体" w:eastAsia="宋体"/>
                <w:color w:val="auto"/>
                <w:sz w:val="24"/>
                <w:highlight w:val="none"/>
              </w:rPr>
            </w:pPr>
          </w:p>
        </w:tc>
        <w:tc>
          <w:tcPr>
            <w:tcW w:w="551" w:type="pct"/>
            <w:noWrap w:val="0"/>
            <w:vAlign w:val="top"/>
          </w:tcPr>
          <w:p w14:paraId="4D3028A2">
            <w:pPr>
              <w:rPr>
                <w:rFonts w:ascii="宋体" w:hAnsi="宋体" w:eastAsia="宋体"/>
                <w:color w:val="auto"/>
                <w:sz w:val="24"/>
                <w:highlight w:val="none"/>
              </w:rPr>
            </w:pPr>
          </w:p>
        </w:tc>
        <w:tc>
          <w:tcPr>
            <w:tcW w:w="551" w:type="pct"/>
            <w:noWrap w:val="0"/>
            <w:vAlign w:val="top"/>
          </w:tcPr>
          <w:p w14:paraId="1790092E">
            <w:pPr>
              <w:rPr>
                <w:rFonts w:ascii="宋体" w:hAnsi="宋体" w:eastAsia="宋体"/>
                <w:color w:val="auto"/>
                <w:sz w:val="24"/>
                <w:highlight w:val="none"/>
              </w:rPr>
            </w:pPr>
          </w:p>
        </w:tc>
        <w:tc>
          <w:tcPr>
            <w:tcW w:w="393" w:type="pct"/>
            <w:noWrap w:val="0"/>
            <w:vAlign w:val="top"/>
          </w:tcPr>
          <w:p w14:paraId="578F6552">
            <w:pPr>
              <w:rPr>
                <w:rFonts w:ascii="宋体" w:hAnsi="宋体" w:eastAsia="宋体"/>
                <w:color w:val="auto"/>
                <w:sz w:val="24"/>
                <w:highlight w:val="none"/>
              </w:rPr>
            </w:pPr>
          </w:p>
        </w:tc>
      </w:tr>
      <w:tr w14:paraId="388B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4" w:type="pct"/>
            <w:gridSpan w:val="7"/>
            <w:noWrap w:val="0"/>
            <w:vAlign w:val="center"/>
          </w:tcPr>
          <w:p w14:paraId="5461A2A8">
            <w:pPr>
              <w:jc w:val="center"/>
              <w:rPr>
                <w:rFonts w:ascii="宋体" w:hAnsi="宋体" w:eastAsia="宋体"/>
                <w:color w:val="auto"/>
                <w:sz w:val="24"/>
                <w:highlight w:val="none"/>
              </w:rPr>
            </w:pPr>
            <w:r>
              <w:rPr>
                <w:rFonts w:hint="eastAsia" w:ascii="宋体" w:hAnsi="宋体" w:eastAsia="宋体"/>
                <w:b/>
                <w:color w:val="auto"/>
                <w:sz w:val="24"/>
                <w:highlight w:val="none"/>
              </w:rPr>
              <w:t>合计</w:t>
            </w:r>
            <w:r>
              <w:rPr>
                <w:rFonts w:hint="eastAsia" w:ascii="宋体" w:hAnsi="宋体" w:eastAsia="宋体"/>
                <w:b/>
                <w:color w:val="auto"/>
                <w:sz w:val="24"/>
                <w:highlight w:val="none"/>
                <w:lang w:val="en-US" w:eastAsia="zh-CN"/>
              </w:rPr>
              <w:t>金额</w:t>
            </w:r>
            <w:r>
              <w:rPr>
                <w:rFonts w:hint="eastAsia" w:ascii="宋体" w:hAnsi="宋体" w:eastAsia="宋体"/>
                <w:b/>
                <w:color w:val="auto"/>
                <w:sz w:val="24"/>
                <w:highlight w:val="none"/>
              </w:rPr>
              <w:t>（元）</w:t>
            </w:r>
          </w:p>
        </w:tc>
        <w:tc>
          <w:tcPr>
            <w:tcW w:w="945" w:type="pct"/>
            <w:gridSpan w:val="2"/>
            <w:noWrap w:val="0"/>
            <w:vAlign w:val="top"/>
          </w:tcPr>
          <w:p w14:paraId="559957D4">
            <w:pPr>
              <w:rPr>
                <w:rFonts w:ascii="宋体" w:hAnsi="宋体" w:eastAsia="宋体"/>
                <w:color w:val="auto"/>
                <w:sz w:val="24"/>
                <w:highlight w:val="none"/>
              </w:rPr>
            </w:pPr>
          </w:p>
        </w:tc>
      </w:tr>
    </w:tbl>
    <w:p w14:paraId="6AD76037">
      <w:pPr>
        <w:spacing w:line="360" w:lineRule="auto"/>
        <w:ind w:firstLine="435"/>
        <w:jc w:val="right"/>
        <w:rPr>
          <w:rFonts w:hint="eastAsia" w:ascii="宋体" w:hAnsi="宋体" w:eastAsia="宋体"/>
          <w:b/>
          <w:bCs/>
          <w:color w:val="auto"/>
          <w:highlight w:val="none"/>
          <w:lang w:val="en-US" w:eastAsia="zh-CN"/>
        </w:rPr>
      </w:pPr>
      <w:r>
        <w:rPr>
          <w:rFonts w:hint="eastAsia" w:ascii="宋体" w:hAnsi="宋体" w:eastAsia="宋体"/>
          <w:bCs/>
          <w:color w:val="auto"/>
          <w:sz w:val="24"/>
          <w:szCs w:val="28"/>
          <w:highlight w:val="none"/>
          <w:u w:val="single"/>
        </w:rPr>
        <w:t xml:space="preserve">       </w:t>
      </w:r>
    </w:p>
    <w:p w14:paraId="41DF4DBB">
      <w:pPr>
        <w:spacing w:line="360" w:lineRule="auto"/>
        <w:rPr>
          <w:rFonts w:hint="eastAsia" w:ascii="宋体" w:hAnsi="宋体" w:eastAsia="宋体"/>
          <w:b/>
          <w:bCs/>
          <w:color w:val="auto"/>
          <w:sz w:val="21"/>
          <w:szCs w:val="21"/>
          <w:highlight w:val="none"/>
          <w:lang w:eastAsia="zh-CN"/>
        </w:rPr>
      </w:pPr>
    </w:p>
    <w:p w14:paraId="725986D4">
      <w:pPr>
        <w:spacing w:line="360" w:lineRule="auto"/>
        <w:ind w:firstLine="4800" w:firstLineChars="2000"/>
        <w:jc w:val="center"/>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43493136">
      <w:pPr>
        <w:tabs>
          <w:tab w:val="left" w:pos="630"/>
        </w:tabs>
        <w:spacing w:line="360" w:lineRule="auto"/>
        <w:ind w:firstLine="4800" w:firstLineChars="2000"/>
        <w:jc w:val="center"/>
        <w:rPr>
          <w:rFonts w:ascii="宋体" w:hAnsi="宋体" w:eastAsia="宋体"/>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290C4559">
      <w:pPr>
        <w:spacing w:line="360" w:lineRule="auto"/>
        <w:rPr>
          <w:rFonts w:hint="eastAsia"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注：</w:t>
      </w:r>
    </w:p>
    <w:p w14:paraId="0FC5F10B">
      <w:pPr>
        <w:spacing w:line="360" w:lineRule="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1.表</w:t>
      </w:r>
      <w:r>
        <w:rPr>
          <w:rFonts w:hint="eastAsia" w:ascii="宋体" w:hAnsi="宋体" w:eastAsia="宋体"/>
          <w:color w:val="auto"/>
          <w:sz w:val="21"/>
          <w:szCs w:val="21"/>
          <w:highlight w:val="none"/>
        </w:rPr>
        <w:t>中须明确列出所投产品的货物名称、品牌、型号规格、原产地及生产厂商，否则可能导致</w:t>
      </w:r>
      <w:r>
        <w:rPr>
          <w:rFonts w:hint="eastAsia" w:ascii="宋体" w:hAnsi="宋体" w:eastAsia="宋体"/>
          <w:b/>
          <w:bCs/>
          <w:color w:val="auto"/>
          <w:sz w:val="21"/>
          <w:szCs w:val="21"/>
          <w:highlight w:val="none"/>
        </w:rPr>
        <w:t>投标无效</w:t>
      </w:r>
      <w:r>
        <w:rPr>
          <w:rFonts w:hint="eastAsia" w:ascii="宋体" w:hAnsi="宋体" w:eastAsia="宋体"/>
          <w:b/>
          <w:bCs/>
          <w:color w:val="auto"/>
          <w:sz w:val="21"/>
          <w:szCs w:val="21"/>
          <w:highlight w:val="none"/>
          <w:lang w:eastAsia="zh-CN"/>
        </w:rPr>
        <w:t>。</w:t>
      </w:r>
    </w:p>
    <w:p w14:paraId="6F8C7329">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2.上述报价为投标人完成本项目内容的全部费用，</w:t>
      </w:r>
      <w:r>
        <w:rPr>
          <w:rFonts w:hint="eastAsia" w:ascii="宋体" w:hAnsi="宋体" w:eastAsia="宋体"/>
          <w:color w:val="auto"/>
          <w:sz w:val="21"/>
          <w:szCs w:val="21"/>
          <w:highlight w:val="none"/>
        </w:rPr>
        <w:t>如有漏项或缺项，</w:t>
      </w:r>
      <w:r>
        <w:rPr>
          <w:rFonts w:hint="eastAsia" w:ascii="宋体" w:hAnsi="宋体" w:eastAsia="宋体"/>
          <w:color w:val="auto"/>
          <w:sz w:val="21"/>
          <w:szCs w:val="21"/>
          <w:highlight w:val="none"/>
          <w:lang w:val="en-US" w:eastAsia="zh-CN"/>
        </w:rPr>
        <w:t>自行</w:t>
      </w:r>
      <w:r>
        <w:rPr>
          <w:rFonts w:hint="eastAsia" w:ascii="宋体" w:hAnsi="宋体" w:eastAsia="宋体"/>
          <w:color w:val="auto"/>
          <w:sz w:val="21"/>
          <w:szCs w:val="21"/>
          <w:highlight w:val="none"/>
        </w:rPr>
        <w:t>承担全部责任。</w:t>
      </w:r>
    </w:p>
    <w:p w14:paraId="3B885F7A">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6856CEA">
      <w:pPr>
        <w:spacing w:line="360" w:lineRule="auto"/>
        <w:jc w:val="center"/>
        <w:outlineLvl w:val="1"/>
        <w:rPr>
          <w:rFonts w:hint="default" w:asciiTheme="minorEastAsia" w:hAnsiTheme="minorEastAsia" w:eastAsiaTheme="minorEastAsia"/>
          <w:b/>
          <w:color w:val="auto"/>
          <w:sz w:val="24"/>
          <w:highlight w:val="none"/>
          <w:lang w:val="en-US" w:eastAsia="zh-CN"/>
        </w:rPr>
      </w:pPr>
      <w:bookmarkStart w:id="67" w:name="_Toc20329"/>
      <w:bookmarkStart w:id="68" w:name="_Toc11940"/>
      <w:r>
        <w:rPr>
          <w:rFonts w:hint="eastAsia" w:asciiTheme="minorEastAsia" w:hAnsiTheme="minorEastAsia" w:eastAsiaTheme="minorEastAsia"/>
          <w:b/>
          <w:color w:val="auto"/>
          <w:sz w:val="24"/>
          <w:highlight w:val="none"/>
        </w:rPr>
        <w:t>六、投标响应表</w:t>
      </w:r>
      <w:bookmarkEnd w:id="67"/>
      <w:bookmarkEnd w:id="68"/>
    </w:p>
    <w:p w14:paraId="49D3ABA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437"/>
        <w:gridCol w:w="2977"/>
        <w:gridCol w:w="2575"/>
        <w:gridCol w:w="810"/>
      </w:tblGrid>
      <w:tr w14:paraId="3248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6DE5CA5C">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843" w:type="pct"/>
            <w:vAlign w:val="center"/>
          </w:tcPr>
          <w:p w14:paraId="6E5D9937">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746" w:type="pct"/>
            <w:vAlign w:val="center"/>
          </w:tcPr>
          <w:p w14:paraId="5D44F6BE">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11DE3AE5">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61A0A2A3">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6E3C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39F8939">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843" w:type="pct"/>
            <w:vAlign w:val="center"/>
          </w:tcPr>
          <w:p w14:paraId="7C1AF61C">
            <w:pPr>
              <w:pStyle w:val="31"/>
              <w:widowControl w:val="0"/>
              <w:spacing w:before="0" w:beforeAutospacing="0" w:after="0" w:afterAutospacing="0" w:line="360" w:lineRule="auto"/>
              <w:rPr>
                <w:rFonts w:ascii="宋体" w:hAnsi="宋体" w:eastAsia="宋体"/>
                <w:color w:val="auto"/>
                <w:sz w:val="24"/>
                <w:highlight w:val="none"/>
              </w:rPr>
            </w:pPr>
            <w:r>
              <w:rPr>
                <w:rFonts w:hint="eastAsia" w:ascii="宋体" w:hAnsi="宋体" w:eastAsia="宋体"/>
                <w:b w:val="0"/>
                <w:color w:val="auto"/>
                <w:sz w:val="24"/>
                <w:highlight w:val="none"/>
              </w:rPr>
              <w:t>付款方式</w:t>
            </w:r>
          </w:p>
        </w:tc>
        <w:tc>
          <w:tcPr>
            <w:tcW w:w="1746" w:type="pct"/>
            <w:vAlign w:val="center"/>
          </w:tcPr>
          <w:p w14:paraId="09F9664D">
            <w:pPr>
              <w:pStyle w:val="31"/>
              <w:widowControl w:val="0"/>
              <w:spacing w:before="0" w:beforeAutospacing="0" w:after="0" w:afterAutospacing="0" w:line="360" w:lineRule="auto"/>
              <w:jc w:val="left"/>
              <w:rPr>
                <w:rFonts w:asciiTheme="minorEastAsia" w:hAnsiTheme="minorEastAsia" w:eastAsiaTheme="minorEastAsia"/>
                <w:color w:val="auto"/>
                <w:sz w:val="24"/>
                <w:highlight w:val="none"/>
              </w:rPr>
            </w:pPr>
            <w:r>
              <w:rPr>
                <w:rFonts w:hint="eastAsia" w:ascii="宋体" w:hAnsi="宋体" w:eastAsia="宋体"/>
                <w:b w:val="0"/>
                <w:bCs/>
                <w:color w:val="auto"/>
                <w:sz w:val="24"/>
                <w:highlight w:val="none"/>
                <w:u w:val="none"/>
              </w:rPr>
              <w:t>经验收合格后6个月后依照医院付款流程支付。</w:t>
            </w:r>
          </w:p>
        </w:tc>
        <w:tc>
          <w:tcPr>
            <w:tcW w:w="1510" w:type="pct"/>
            <w:vAlign w:val="center"/>
          </w:tcPr>
          <w:p w14:paraId="6ED78673">
            <w:pPr>
              <w:jc w:val="center"/>
              <w:rPr>
                <w:rFonts w:asciiTheme="minorEastAsia" w:hAnsiTheme="minorEastAsia" w:eastAsiaTheme="minorEastAsia"/>
                <w:color w:val="auto"/>
                <w:sz w:val="24"/>
                <w:highlight w:val="none"/>
              </w:rPr>
            </w:pPr>
          </w:p>
        </w:tc>
        <w:tc>
          <w:tcPr>
            <w:tcW w:w="475" w:type="pct"/>
            <w:vAlign w:val="center"/>
          </w:tcPr>
          <w:p w14:paraId="4090BFB7">
            <w:pPr>
              <w:jc w:val="center"/>
              <w:rPr>
                <w:rFonts w:asciiTheme="minorEastAsia" w:hAnsiTheme="minorEastAsia" w:eastAsiaTheme="minorEastAsia"/>
                <w:color w:val="auto"/>
                <w:sz w:val="24"/>
                <w:highlight w:val="none"/>
              </w:rPr>
            </w:pPr>
          </w:p>
        </w:tc>
      </w:tr>
      <w:tr w14:paraId="68DA5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3CFEE9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843" w:type="pct"/>
            <w:vAlign w:val="center"/>
          </w:tcPr>
          <w:p w14:paraId="2380CFC8">
            <w:pPr>
              <w:pStyle w:val="31"/>
              <w:widowControl w:val="0"/>
              <w:spacing w:before="0" w:beforeAutospacing="0" w:after="0" w:afterAutospacing="0" w:line="360" w:lineRule="auto"/>
              <w:rPr>
                <w:rFonts w:ascii="宋体" w:hAnsi="宋体" w:eastAsia="宋体"/>
                <w:color w:val="auto"/>
                <w:sz w:val="24"/>
                <w:highlight w:val="none"/>
              </w:rPr>
            </w:pPr>
            <w:r>
              <w:rPr>
                <w:rFonts w:hint="eastAsia" w:ascii="宋体" w:hAnsi="宋体" w:eastAsia="宋体"/>
                <w:b w:val="0"/>
                <w:color w:val="auto"/>
                <w:sz w:val="24"/>
                <w:highlight w:val="none"/>
              </w:rPr>
              <w:t>供货及安装地点</w:t>
            </w:r>
          </w:p>
        </w:tc>
        <w:tc>
          <w:tcPr>
            <w:tcW w:w="1746" w:type="pct"/>
            <w:vAlign w:val="center"/>
          </w:tcPr>
          <w:p w14:paraId="465346DC">
            <w:pPr>
              <w:pStyle w:val="31"/>
              <w:widowControl w:val="0"/>
              <w:spacing w:before="0" w:beforeAutospacing="0" w:after="0" w:afterAutospacing="0" w:line="360" w:lineRule="auto"/>
              <w:jc w:val="left"/>
              <w:rPr>
                <w:rFonts w:asciiTheme="minorEastAsia" w:hAnsiTheme="minorEastAsia" w:eastAsiaTheme="minorEastAsia"/>
                <w:color w:val="auto"/>
                <w:sz w:val="24"/>
                <w:highlight w:val="none"/>
              </w:rPr>
            </w:pPr>
            <w:r>
              <w:rPr>
                <w:rFonts w:hint="eastAsia" w:ascii="宋体" w:hAnsi="宋体" w:eastAsia="宋体"/>
                <w:b w:val="0"/>
                <w:bCs/>
                <w:color w:val="auto"/>
                <w:sz w:val="24"/>
                <w:highlight w:val="none"/>
                <w:u w:val="none"/>
                <w:lang w:val="en-US" w:eastAsia="zh-CN"/>
              </w:rPr>
              <w:t>宿州市立医院，采购人指定地点</w:t>
            </w:r>
            <w:r>
              <w:rPr>
                <w:rFonts w:hint="eastAsia" w:ascii="宋体" w:hAnsi="宋体" w:eastAsia="宋体"/>
                <w:b w:val="0"/>
                <w:bCs/>
                <w:color w:val="auto"/>
                <w:sz w:val="24"/>
                <w:highlight w:val="none"/>
                <w:u w:val="none"/>
              </w:rPr>
              <w:t xml:space="preserve"> </w:t>
            </w:r>
          </w:p>
        </w:tc>
        <w:tc>
          <w:tcPr>
            <w:tcW w:w="1510" w:type="pct"/>
            <w:vAlign w:val="center"/>
          </w:tcPr>
          <w:p w14:paraId="3451F342">
            <w:pPr>
              <w:jc w:val="center"/>
              <w:rPr>
                <w:rFonts w:asciiTheme="minorEastAsia" w:hAnsiTheme="minorEastAsia" w:eastAsiaTheme="minorEastAsia"/>
                <w:color w:val="auto"/>
                <w:sz w:val="24"/>
                <w:highlight w:val="none"/>
              </w:rPr>
            </w:pPr>
          </w:p>
        </w:tc>
        <w:tc>
          <w:tcPr>
            <w:tcW w:w="475" w:type="pct"/>
            <w:vAlign w:val="center"/>
          </w:tcPr>
          <w:p w14:paraId="4E06C111">
            <w:pPr>
              <w:jc w:val="center"/>
              <w:rPr>
                <w:rFonts w:asciiTheme="minorEastAsia" w:hAnsiTheme="minorEastAsia" w:eastAsiaTheme="minorEastAsia"/>
                <w:color w:val="auto"/>
                <w:sz w:val="24"/>
                <w:highlight w:val="none"/>
              </w:rPr>
            </w:pPr>
          </w:p>
        </w:tc>
      </w:tr>
      <w:tr w14:paraId="6048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D160D9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843" w:type="pct"/>
            <w:vAlign w:val="center"/>
          </w:tcPr>
          <w:p w14:paraId="0BE4F9CA">
            <w:pPr>
              <w:pStyle w:val="31"/>
              <w:widowControl w:val="0"/>
              <w:spacing w:before="0" w:beforeAutospacing="0" w:after="0" w:afterAutospacing="0" w:line="360" w:lineRule="auto"/>
              <w:rPr>
                <w:rFonts w:ascii="宋体" w:hAnsi="宋体" w:eastAsia="宋体"/>
                <w:color w:val="auto"/>
                <w:sz w:val="24"/>
                <w:highlight w:val="none"/>
              </w:rPr>
            </w:pPr>
            <w:r>
              <w:rPr>
                <w:rFonts w:hint="eastAsia" w:ascii="宋体" w:hAnsi="宋体" w:eastAsia="宋体"/>
                <w:b w:val="0"/>
                <w:color w:val="auto"/>
                <w:sz w:val="24"/>
                <w:highlight w:val="none"/>
              </w:rPr>
              <w:t>供货及安装期限</w:t>
            </w:r>
          </w:p>
        </w:tc>
        <w:tc>
          <w:tcPr>
            <w:tcW w:w="1746" w:type="pct"/>
            <w:vAlign w:val="center"/>
          </w:tcPr>
          <w:p w14:paraId="49C10EBC">
            <w:pPr>
              <w:pStyle w:val="31"/>
              <w:widowControl w:val="0"/>
              <w:spacing w:before="0" w:beforeAutospacing="0" w:after="0" w:afterAutospacing="0" w:line="360" w:lineRule="auto"/>
              <w:jc w:val="left"/>
              <w:rPr>
                <w:rFonts w:hint="eastAsia" w:ascii="宋体" w:hAnsi="宋体" w:eastAsia="宋体"/>
                <w:b w:val="0"/>
                <w:bCs/>
                <w:color w:val="auto"/>
                <w:sz w:val="24"/>
                <w:szCs w:val="18"/>
                <w:highlight w:val="none"/>
                <w:u w:val="none"/>
                <w:lang w:val="en-US" w:eastAsia="zh-CN"/>
              </w:rPr>
            </w:pPr>
            <w:r>
              <w:rPr>
                <w:rFonts w:hint="eastAsia" w:ascii="宋体" w:hAnsi="宋体" w:eastAsia="宋体"/>
                <w:b w:val="0"/>
                <w:bCs/>
                <w:color w:val="auto"/>
                <w:sz w:val="24"/>
                <w:szCs w:val="18"/>
                <w:highlight w:val="none"/>
                <w:u w:val="none"/>
              </w:rPr>
              <w:t>合同签订后30日内</w:t>
            </w:r>
            <w:r>
              <w:rPr>
                <w:rFonts w:hint="eastAsia" w:ascii="宋体" w:hAnsi="宋体" w:eastAsia="宋体"/>
                <w:b w:val="0"/>
                <w:bCs/>
                <w:color w:val="auto"/>
                <w:sz w:val="24"/>
                <w:szCs w:val="18"/>
                <w:highlight w:val="none"/>
                <w:u w:val="none"/>
                <w:lang w:val="en-US" w:eastAsia="zh-CN"/>
              </w:rPr>
              <w:t>完成供货、安装及调试</w:t>
            </w:r>
            <w:r>
              <w:rPr>
                <w:rFonts w:hint="eastAsia" w:ascii="宋体" w:hAnsi="宋体" w:eastAsia="宋体"/>
                <w:b w:val="0"/>
                <w:bCs/>
                <w:color w:val="auto"/>
                <w:sz w:val="24"/>
                <w:szCs w:val="18"/>
                <w:highlight w:val="none"/>
                <w:u w:val="none"/>
              </w:rPr>
              <w:t>。</w:t>
            </w:r>
            <w:r>
              <w:rPr>
                <w:rFonts w:hint="eastAsia" w:ascii="宋体" w:hAnsi="宋体" w:eastAsia="宋体"/>
                <w:b w:val="0"/>
                <w:bCs/>
                <w:color w:val="auto"/>
                <w:sz w:val="24"/>
                <w:szCs w:val="18"/>
                <w:highlight w:val="none"/>
                <w:u w:val="none"/>
                <w:lang w:val="en-US" w:eastAsia="zh-CN"/>
              </w:rPr>
              <w:t xml:space="preserve">     </w:t>
            </w:r>
          </w:p>
          <w:p w14:paraId="76360C49">
            <w:pPr>
              <w:pStyle w:val="31"/>
              <w:widowControl w:val="0"/>
              <w:spacing w:before="0" w:beforeAutospacing="0" w:after="0" w:afterAutospacing="0" w:line="360" w:lineRule="auto"/>
              <w:jc w:val="left"/>
              <w:rPr>
                <w:rFonts w:asciiTheme="minorEastAsia" w:hAnsiTheme="minorEastAsia" w:eastAsiaTheme="minorEastAsia"/>
                <w:color w:val="auto"/>
                <w:sz w:val="24"/>
                <w:highlight w:val="none"/>
              </w:rPr>
            </w:pPr>
            <w:r>
              <w:rPr>
                <w:rFonts w:hint="eastAsia" w:ascii="宋体" w:hAnsi="宋体" w:eastAsia="宋体"/>
                <w:b w:val="0"/>
                <w:bCs/>
                <w:color w:val="auto"/>
                <w:sz w:val="24"/>
                <w:highlight w:val="none"/>
                <w:u w:val="none"/>
              </w:rPr>
              <w:t>保修生效期为：设备安装后验收合格后</w:t>
            </w:r>
          </w:p>
        </w:tc>
        <w:tc>
          <w:tcPr>
            <w:tcW w:w="1510" w:type="pct"/>
            <w:vAlign w:val="center"/>
          </w:tcPr>
          <w:p w14:paraId="14884059">
            <w:pPr>
              <w:pStyle w:val="39"/>
              <w:jc w:val="center"/>
              <w:rPr>
                <w:rFonts w:asciiTheme="minorEastAsia" w:hAnsiTheme="minorEastAsia" w:eastAsiaTheme="minorEastAsia"/>
                <w:color w:val="auto"/>
                <w:highlight w:val="none"/>
              </w:rPr>
            </w:pPr>
          </w:p>
        </w:tc>
        <w:tc>
          <w:tcPr>
            <w:tcW w:w="475" w:type="pct"/>
            <w:vAlign w:val="center"/>
          </w:tcPr>
          <w:p w14:paraId="637032A7">
            <w:pPr>
              <w:jc w:val="center"/>
              <w:rPr>
                <w:rFonts w:asciiTheme="minorEastAsia" w:hAnsiTheme="minorEastAsia" w:eastAsiaTheme="minorEastAsia"/>
                <w:color w:val="auto"/>
                <w:sz w:val="24"/>
                <w:highlight w:val="none"/>
              </w:rPr>
            </w:pPr>
          </w:p>
        </w:tc>
      </w:tr>
      <w:tr w14:paraId="56C1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4F9103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437" w:type="dxa"/>
            <w:vAlign w:val="center"/>
          </w:tcPr>
          <w:p w14:paraId="63516FEB">
            <w:pPr>
              <w:pStyle w:val="31"/>
              <w:widowControl w:val="0"/>
              <w:spacing w:before="0" w:beforeAutospacing="0" w:after="0" w:afterAutospacing="0" w:line="360" w:lineRule="auto"/>
              <w:rPr>
                <w:rFonts w:ascii="宋体" w:hAnsi="宋体" w:eastAsia="宋体"/>
                <w:color w:val="auto"/>
                <w:sz w:val="24"/>
                <w:highlight w:val="none"/>
              </w:rPr>
            </w:pPr>
            <w:r>
              <w:rPr>
                <w:rFonts w:hint="eastAsia" w:ascii="宋体" w:hAnsi="宋体" w:eastAsia="宋体"/>
                <w:b w:val="0"/>
                <w:color w:val="auto"/>
                <w:sz w:val="24"/>
                <w:highlight w:val="none"/>
                <w:u w:val="none"/>
              </w:rPr>
              <w:t>免费质保期</w:t>
            </w:r>
          </w:p>
        </w:tc>
        <w:tc>
          <w:tcPr>
            <w:tcW w:w="2977" w:type="dxa"/>
            <w:vAlign w:val="center"/>
          </w:tcPr>
          <w:p w14:paraId="2FE1171C">
            <w:pPr>
              <w:pStyle w:val="31"/>
              <w:widowControl w:val="0"/>
              <w:spacing w:before="0" w:beforeAutospacing="0" w:after="0" w:afterAutospacing="0" w:line="360" w:lineRule="auto"/>
              <w:jc w:val="both"/>
              <w:rPr>
                <w:rFonts w:asciiTheme="minorEastAsia" w:hAnsiTheme="minorEastAsia" w:eastAsiaTheme="minorEastAsia"/>
                <w:color w:val="auto"/>
                <w:sz w:val="24"/>
                <w:highlight w:val="none"/>
              </w:rPr>
            </w:pPr>
            <w:r>
              <w:rPr>
                <w:rFonts w:hint="eastAsia" w:ascii="宋体" w:hAnsi="宋体" w:eastAsia="宋体"/>
                <w:b w:val="0"/>
                <w:color w:val="auto"/>
                <w:sz w:val="24"/>
                <w:highlight w:val="none"/>
                <w:u w:val="none"/>
              </w:rPr>
              <w:t xml:space="preserve"> 整机质保自验收合格之日起不少于3年。 </w:t>
            </w:r>
          </w:p>
        </w:tc>
        <w:tc>
          <w:tcPr>
            <w:tcW w:w="1510" w:type="pct"/>
            <w:vAlign w:val="center"/>
          </w:tcPr>
          <w:p w14:paraId="0E421BCA">
            <w:pPr>
              <w:jc w:val="center"/>
              <w:rPr>
                <w:rFonts w:asciiTheme="minorEastAsia" w:hAnsiTheme="minorEastAsia" w:eastAsiaTheme="minorEastAsia"/>
                <w:color w:val="auto"/>
                <w:sz w:val="24"/>
                <w:highlight w:val="none"/>
              </w:rPr>
            </w:pPr>
          </w:p>
        </w:tc>
        <w:tc>
          <w:tcPr>
            <w:tcW w:w="475" w:type="pct"/>
            <w:vAlign w:val="center"/>
          </w:tcPr>
          <w:p w14:paraId="369EF4EE">
            <w:pPr>
              <w:jc w:val="center"/>
              <w:rPr>
                <w:rFonts w:asciiTheme="minorEastAsia" w:hAnsiTheme="minorEastAsia" w:eastAsiaTheme="minorEastAsia"/>
                <w:color w:val="auto"/>
                <w:sz w:val="24"/>
                <w:highlight w:val="none"/>
              </w:rPr>
            </w:pPr>
          </w:p>
        </w:tc>
      </w:tr>
      <w:tr w14:paraId="66F5F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8DC8EB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843" w:type="pct"/>
            <w:vAlign w:val="center"/>
          </w:tcPr>
          <w:p w14:paraId="71929B76">
            <w:pPr>
              <w:jc w:val="center"/>
              <w:rPr>
                <w:rFonts w:ascii="宋体" w:hAnsi="宋体" w:eastAsia="宋体"/>
                <w:color w:val="auto"/>
                <w:sz w:val="24"/>
                <w:highlight w:val="none"/>
              </w:rPr>
            </w:pPr>
          </w:p>
        </w:tc>
        <w:tc>
          <w:tcPr>
            <w:tcW w:w="1746" w:type="pct"/>
            <w:vAlign w:val="center"/>
          </w:tcPr>
          <w:p w14:paraId="05607E67">
            <w:pPr>
              <w:jc w:val="center"/>
              <w:rPr>
                <w:rFonts w:asciiTheme="minorEastAsia" w:hAnsiTheme="minorEastAsia" w:eastAsiaTheme="minorEastAsia"/>
                <w:color w:val="auto"/>
                <w:sz w:val="24"/>
                <w:highlight w:val="none"/>
              </w:rPr>
            </w:pPr>
          </w:p>
        </w:tc>
        <w:tc>
          <w:tcPr>
            <w:tcW w:w="1510" w:type="pct"/>
            <w:vAlign w:val="center"/>
          </w:tcPr>
          <w:p w14:paraId="33130A6B">
            <w:pPr>
              <w:jc w:val="center"/>
              <w:rPr>
                <w:rFonts w:asciiTheme="minorEastAsia" w:hAnsiTheme="minorEastAsia" w:eastAsiaTheme="minorEastAsia"/>
                <w:color w:val="auto"/>
                <w:sz w:val="24"/>
                <w:highlight w:val="none"/>
              </w:rPr>
            </w:pPr>
          </w:p>
        </w:tc>
        <w:tc>
          <w:tcPr>
            <w:tcW w:w="475" w:type="pct"/>
            <w:vAlign w:val="center"/>
          </w:tcPr>
          <w:p w14:paraId="22AC22C6">
            <w:pPr>
              <w:jc w:val="center"/>
              <w:rPr>
                <w:rFonts w:asciiTheme="minorEastAsia" w:hAnsiTheme="minorEastAsia" w:eastAsiaTheme="minorEastAsia"/>
                <w:color w:val="auto"/>
                <w:sz w:val="24"/>
                <w:highlight w:val="none"/>
              </w:rPr>
            </w:pPr>
          </w:p>
        </w:tc>
      </w:tr>
    </w:tbl>
    <w:p w14:paraId="00614281">
      <w:pPr>
        <w:keepNext w:val="0"/>
        <w:keepLines w:val="0"/>
        <w:pageBreakBefore w:val="0"/>
        <w:widowControl w:val="0"/>
        <w:kinsoku/>
        <w:wordWrap w:val="0"/>
        <w:overflowPunct/>
        <w:bidi w:val="0"/>
        <w:spacing w:line="360" w:lineRule="auto"/>
        <w:rPr>
          <w:rFonts w:hint="default" w:ascii="Times New Roman" w:hAnsi="Times New Roman" w:eastAsia="仿宋" w:cs="Times New Roman"/>
          <w:color w:val="auto"/>
          <w:highlight w:val="none"/>
        </w:rPr>
      </w:pPr>
      <w:r>
        <w:rPr>
          <w:rFonts w:hint="eastAsia" w:ascii="Times New Roman" w:hAnsi="Times New Roman" w:eastAsia="仿宋" w:cs="Times New Roman"/>
          <w:b/>
          <w:color w:val="auto"/>
          <w:highlight w:val="none"/>
          <w:lang w:val="en-US" w:eastAsia="zh-CN"/>
        </w:rPr>
        <w:t>偏离说明：</w:t>
      </w:r>
      <w:r>
        <w:rPr>
          <w:rFonts w:hint="default" w:ascii="Times New Roman" w:hAnsi="Times New Roman" w:eastAsia="仿宋" w:cs="Times New Roman"/>
          <w:b/>
          <w:color w:val="auto"/>
          <w:highlight w:val="none"/>
        </w:rPr>
        <w:t>“符合”指与招标文件要求一致</w:t>
      </w:r>
      <w:r>
        <w:rPr>
          <w:rFonts w:hint="eastAsia" w:ascii="Times New Roman" w:hAnsi="Times New Roman" w:eastAsia="仿宋" w:cs="Times New Roman"/>
          <w:b/>
          <w:color w:val="auto"/>
          <w:highlight w:val="none"/>
          <w:lang w:eastAsia="zh-CN"/>
        </w:rPr>
        <w:t>；</w:t>
      </w:r>
      <w:r>
        <w:rPr>
          <w:rFonts w:hint="default" w:ascii="Times New Roman" w:hAnsi="Times New Roman" w:eastAsia="仿宋" w:cs="Times New Roman"/>
          <w:b/>
          <w:color w:val="auto"/>
          <w:highlight w:val="none"/>
        </w:rPr>
        <w:t>“正偏离”指优于招标文件要求；“负偏离”指低于招标文件要求</w:t>
      </w:r>
      <w:r>
        <w:rPr>
          <w:rFonts w:hint="eastAsia" w:ascii="Times New Roman" w:hAnsi="Times New Roman" w:eastAsia="仿宋" w:cs="Times New Roman"/>
          <w:b/>
          <w:color w:val="auto"/>
          <w:highlight w:val="none"/>
          <w:lang w:eastAsia="zh-CN"/>
        </w:rPr>
        <w:t>。</w:t>
      </w:r>
      <w:r>
        <w:rPr>
          <w:rFonts w:hint="default" w:ascii="Times New Roman" w:hAnsi="Times New Roman" w:eastAsia="仿宋" w:cs="Times New Roman"/>
          <w:b/>
          <w:color w:val="auto"/>
          <w:highlight w:val="none"/>
        </w:rPr>
        <w:t>供应商根据项目实际填写，自行调整。</w:t>
      </w:r>
    </w:p>
    <w:p w14:paraId="5A247145">
      <w:pPr>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2FC26D16">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479"/>
        <w:gridCol w:w="3188"/>
        <w:gridCol w:w="2401"/>
        <w:gridCol w:w="775"/>
      </w:tblGrid>
      <w:tr w14:paraId="40FC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46" w:type="pct"/>
            <w:vAlign w:val="center"/>
          </w:tcPr>
          <w:p w14:paraId="00AF40FB">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915" w:type="pct"/>
            <w:vAlign w:val="center"/>
          </w:tcPr>
          <w:p w14:paraId="2D699A9B">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680" w:type="pct"/>
            <w:vAlign w:val="center"/>
          </w:tcPr>
          <w:p w14:paraId="2EA62662">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1456" w:type="pct"/>
            <w:vAlign w:val="center"/>
          </w:tcPr>
          <w:p w14:paraId="2D27B6D9">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502" w:type="pct"/>
            <w:vAlign w:val="center"/>
          </w:tcPr>
          <w:p w14:paraId="776F5A45">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10E28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6" w:type="pct"/>
            <w:vAlign w:val="center"/>
          </w:tcPr>
          <w:p w14:paraId="755C58F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63B3DBD6">
            <w:pPr>
              <w:jc w:val="center"/>
              <w:rPr>
                <w:rFonts w:asciiTheme="minorEastAsia" w:hAnsiTheme="minorEastAsia" w:eastAsiaTheme="minorEastAsia"/>
                <w:color w:val="auto"/>
                <w:sz w:val="24"/>
                <w:highlight w:val="none"/>
              </w:rPr>
            </w:pPr>
          </w:p>
        </w:tc>
        <w:tc>
          <w:tcPr>
            <w:tcW w:w="1680" w:type="pct"/>
            <w:vAlign w:val="center"/>
          </w:tcPr>
          <w:p w14:paraId="43B4B6FB">
            <w:pPr>
              <w:numPr>
                <w:ilvl w:val="0"/>
                <w:numId w:val="0"/>
              </w:numPr>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一、</w:t>
            </w:r>
            <w:r>
              <w:rPr>
                <w:rFonts w:hint="eastAsia" w:ascii="宋体" w:hAnsi="宋体" w:eastAsia="宋体" w:cs="宋体"/>
                <w:color w:val="auto"/>
                <w:sz w:val="22"/>
                <w:szCs w:val="22"/>
                <w:highlight w:val="none"/>
              </w:rPr>
              <w:t>刺激人体中枢神经和骶神经，适用于焦虑抑郁症、帕金森病、失眠以及神经性膀胱</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睡眠障碍、脑卒中导致的语言运动障碍、认知障碍等的辅助治疗。</w:t>
            </w:r>
          </w:p>
          <w:p w14:paraId="65D0A611">
            <w:pPr>
              <w:numPr>
                <w:ilvl w:val="0"/>
                <w:numId w:val="0"/>
              </w:numPr>
              <w:rPr>
                <w:rFonts w:asciiTheme="minorEastAsia" w:hAnsiTheme="minorEastAsia" w:eastAsiaTheme="minorEastAsia"/>
                <w:color w:val="auto"/>
                <w:sz w:val="24"/>
                <w:highlight w:val="none"/>
              </w:rPr>
            </w:pPr>
            <w:r>
              <w:rPr>
                <w:rFonts w:hint="eastAsia" w:ascii="宋体" w:hAnsi="宋体" w:eastAsia="宋体" w:cs="宋体"/>
                <w:color w:val="auto"/>
                <w:kern w:val="2"/>
                <w:sz w:val="22"/>
                <w:szCs w:val="22"/>
                <w:highlight w:val="none"/>
                <w:lang w:val="en-US" w:eastAsia="zh-CN" w:bidi="ar-SA"/>
              </w:rPr>
              <w:t>二、</w:t>
            </w:r>
            <w:r>
              <w:rPr>
                <w:rStyle w:val="63"/>
                <w:rFonts w:hint="eastAsia" w:ascii="宋体" w:hAnsi="宋体" w:eastAsia="宋体" w:cs="宋体"/>
                <w:color w:val="auto"/>
                <w:sz w:val="22"/>
                <w:szCs w:val="22"/>
                <w:highlight w:val="none"/>
              </w:rPr>
              <w:t>★兼容</w:t>
            </w:r>
            <w:r>
              <w:rPr>
                <w:rStyle w:val="63"/>
                <w:rFonts w:hint="eastAsia" w:ascii="宋体" w:hAnsi="宋体" w:eastAsia="宋体" w:cs="宋体"/>
                <w:color w:val="auto"/>
                <w:sz w:val="22"/>
                <w:szCs w:val="22"/>
                <w:highlight w:val="none"/>
                <w:lang w:val="en-US" w:eastAsia="zh-CN"/>
              </w:rPr>
              <w:t>我院现有</w:t>
            </w:r>
            <w:r>
              <w:rPr>
                <w:rStyle w:val="63"/>
                <w:rFonts w:hint="eastAsia" w:ascii="宋体" w:hAnsi="宋体" w:eastAsia="宋体" w:cs="宋体"/>
                <w:color w:val="auto"/>
                <w:sz w:val="22"/>
                <w:szCs w:val="22"/>
                <w:highlight w:val="none"/>
              </w:rPr>
              <w:t>湖南脑航科技NHT-NV_200TMS导航系统</w:t>
            </w:r>
            <w:r>
              <w:rPr>
                <w:rStyle w:val="63"/>
                <w:rFonts w:hint="eastAsia" w:ascii="宋体" w:hAnsi="宋体" w:eastAsia="宋体" w:cs="宋体"/>
                <w:color w:val="auto"/>
                <w:sz w:val="22"/>
                <w:szCs w:val="22"/>
                <w:highlight w:val="none"/>
                <w:lang w:eastAsia="zh-CN"/>
              </w:rPr>
              <w:t>。</w:t>
            </w:r>
          </w:p>
        </w:tc>
        <w:tc>
          <w:tcPr>
            <w:tcW w:w="1456" w:type="pct"/>
            <w:vAlign w:val="center"/>
          </w:tcPr>
          <w:p w14:paraId="2A81A73A">
            <w:pPr>
              <w:jc w:val="center"/>
              <w:rPr>
                <w:rFonts w:asciiTheme="minorEastAsia" w:hAnsiTheme="minorEastAsia" w:eastAsiaTheme="minorEastAsia"/>
                <w:color w:val="auto"/>
                <w:sz w:val="24"/>
                <w:highlight w:val="none"/>
              </w:rPr>
            </w:pPr>
          </w:p>
        </w:tc>
        <w:tc>
          <w:tcPr>
            <w:tcW w:w="502" w:type="pct"/>
            <w:vAlign w:val="center"/>
          </w:tcPr>
          <w:p w14:paraId="62BD3450">
            <w:pPr>
              <w:jc w:val="center"/>
              <w:rPr>
                <w:rFonts w:asciiTheme="minorEastAsia" w:hAnsiTheme="minorEastAsia" w:eastAsiaTheme="minorEastAsia"/>
                <w:color w:val="auto"/>
                <w:sz w:val="24"/>
                <w:highlight w:val="none"/>
              </w:rPr>
            </w:pPr>
          </w:p>
        </w:tc>
      </w:tr>
      <w:tr w14:paraId="7379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6" w:type="pct"/>
            <w:vAlign w:val="center"/>
          </w:tcPr>
          <w:p w14:paraId="3A8AF82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43AA0AB3">
            <w:pPr>
              <w:pStyle w:val="64"/>
              <w:numPr>
                <w:ilvl w:val="0"/>
                <w:numId w:val="0"/>
              </w:numPr>
              <w:ind w:left="556" w:leftChars="65" w:hanging="420" w:firstLineChars="0"/>
              <w:rPr>
                <w:rFonts w:hint="eastAsia" w:ascii="宋体" w:hAnsi="宋体" w:eastAsia="宋体" w:cs="宋体"/>
                <w:b/>
                <w:bCs/>
                <w:color w:val="auto"/>
                <w:sz w:val="22"/>
                <w:szCs w:val="22"/>
                <w:highlight w:val="none"/>
              </w:rPr>
            </w:pPr>
            <w:r>
              <w:rPr>
                <w:rFonts w:hint="eastAsia" w:ascii="宋体" w:hAnsi="宋体" w:eastAsia="宋体" w:cs="宋体"/>
                <w:b/>
                <w:bCs/>
                <w:color w:val="auto"/>
                <w:kern w:val="2"/>
                <w:sz w:val="22"/>
                <w:szCs w:val="22"/>
                <w:highlight w:val="none"/>
                <w:lang w:val="en-US" w:eastAsia="zh-CN" w:bidi="ar-SA"/>
              </w:rPr>
              <w:t>1.</w:t>
            </w:r>
            <w:r>
              <w:rPr>
                <w:rFonts w:hint="eastAsia" w:ascii="宋体" w:hAnsi="宋体" w:eastAsia="宋体" w:cs="宋体"/>
                <w:b/>
                <w:bCs/>
                <w:color w:val="auto"/>
                <w:sz w:val="22"/>
                <w:szCs w:val="22"/>
                <w:highlight w:val="none"/>
              </w:rPr>
              <w:t>磁刺激治疗系统</w:t>
            </w:r>
          </w:p>
          <w:p w14:paraId="0E2570D3">
            <w:pPr>
              <w:jc w:val="center"/>
              <w:rPr>
                <w:rFonts w:asciiTheme="minorEastAsia" w:hAnsiTheme="minorEastAsia" w:eastAsiaTheme="minorEastAsia"/>
                <w:color w:val="auto"/>
                <w:sz w:val="24"/>
                <w:highlight w:val="none"/>
              </w:rPr>
            </w:pPr>
          </w:p>
        </w:tc>
        <w:tc>
          <w:tcPr>
            <w:tcW w:w="1680" w:type="pct"/>
            <w:vAlign w:val="center"/>
          </w:tcPr>
          <w:p w14:paraId="4A659B14">
            <w:pPr>
              <w:numPr>
                <w:ilvl w:val="1"/>
                <w:numId w:val="0"/>
              </w:numPr>
              <w:ind w:left="992" w:leftChars="0" w:hanging="567" w:firstLineChars="0"/>
              <w:rPr>
                <w:rStyle w:val="63"/>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1.1</w:t>
            </w:r>
            <w:r>
              <w:rPr>
                <w:rStyle w:val="63"/>
                <w:rFonts w:hint="eastAsia" w:ascii="宋体" w:hAnsi="宋体" w:eastAsia="宋体" w:cs="宋体"/>
                <w:color w:val="auto"/>
                <w:sz w:val="22"/>
                <w:szCs w:val="22"/>
                <w:highlight w:val="none"/>
              </w:rPr>
              <w:t>独立分体式</w:t>
            </w:r>
            <w:r>
              <w:rPr>
                <w:rStyle w:val="63"/>
                <w:rFonts w:hint="eastAsia" w:ascii="宋体" w:hAnsi="宋体" w:eastAsia="宋体" w:cs="宋体"/>
                <w:color w:val="auto"/>
                <w:sz w:val="22"/>
                <w:szCs w:val="22"/>
                <w:highlight w:val="none"/>
                <w:lang w:val="en-US" w:eastAsia="zh-CN"/>
              </w:rPr>
              <w:t>的</w:t>
            </w:r>
            <w:r>
              <w:rPr>
                <w:rStyle w:val="63"/>
                <w:rFonts w:hint="eastAsia" w:ascii="宋体" w:hAnsi="宋体" w:eastAsia="宋体" w:cs="宋体"/>
                <w:color w:val="auto"/>
                <w:sz w:val="22"/>
                <w:szCs w:val="22"/>
                <w:highlight w:val="none"/>
              </w:rPr>
              <w:t>刺激仪主机和冷却系统</w:t>
            </w:r>
            <w:r>
              <w:rPr>
                <w:rStyle w:val="63"/>
                <w:rFonts w:hint="eastAsia" w:ascii="宋体" w:hAnsi="宋体" w:eastAsia="宋体" w:cs="宋体"/>
                <w:color w:val="auto"/>
                <w:sz w:val="22"/>
                <w:szCs w:val="22"/>
                <w:highlight w:val="none"/>
                <w:lang w:eastAsia="zh-CN"/>
              </w:rPr>
              <w:t>，</w:t>
            </w:r>
            <w:r>
              <w:rPr>
                <w:rStyle w:val="63"/>
                <w:rFonts w:hint="eastAsia" w:ascii="宋体" w:hAnsi="宋体" w:eastAsia="宋体" w:cs="宋体"/>
                <w:color w:val="auto"/>
                <w:sz w:val="22"/>
                <w:szCs w:val="22"/>
                <w:highlight w:val="none"/>
              </w:rPr>
              <w:t>主机便于移动，并可脱离冷却系统独立使用</w:t>
            </w:r>
            <w:r>
              <w:rPr>
                <w:rStyle w:val="63"/>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主机面板按键</w:t>
            </w:r>
            <w:r>
              <w:rPr>
                <w:rFonts w:hint="eastAsia" w:ascii="宋体" w:hAnsi="宋体" w:eastAsia="宋体" w:cs="宋体"/>
                <w:color w:val="auto"/>
                <w:sz w:val="22"/>
                <w:szCs w:val="22"/>
                <w:highlight w:val="none"/>
                <w:lang w:val="en-US" w:eastAsia="zh-CN"/>
              </w:rPr>
              <w:t>能对</w:t>
            </w:r>
            <w:r>
              <w:rPr>
                <w:rFonts w:hint="eastAsia" w:ascii="宋体" w:hAnsi="宋体" w:eastAsia="宋体" w:cs="宋体"/>
                <w:color w:val="auto"/>
                <w:sz w:val="22"/>
                <w:szCs w:val="22"/>
                <w:highlight w:val="none"/>
              </w:rPr>
              <w:t>刺激强度、刺激频率、刺激时间、间歇时间、治疗时间、延迟充电时间等参数调节设置，</w:t>
            </w:r>
            <w:r>
              <w:rPr>
                <w:rStyle w:val="63"/>
                <w:rFonts w:hint="eastAsia" w:ascii="宋体" w:hAnsi="宋体" w:eastAsia="宋体" w:cs="宋体"/>
                <w:color w:val="auto"/>
                <w:sz w:val="22"/>
                <w:szCs w:val="22"/>
                <w:highlight w:val="none"/>
              </w:rPr>
              <w:t>具备</w:t>
            </w:r>
            <w:r>
              <w:rPr>
                <w:rStyle w:val="63"/>
                <w:rFonts w:hint="eastAsia" w:ascii="宋体" w:hAnsi="宋体" w:eastAsia="宋体" w:cs="宋体"/>
                <w:color w:val="auto"/>
                <w:sz w:val="22"/>
                <w:szCs w:val="22"/>
                <w:highlight w:val="none"/>
                <w:lang w:val="en-US" w:eastAsia="zh-CN"/>
              </w:rPr>
              <w:t>≥</w:t>
            </w:r>
            <w:r>
              <w:rPr>
                <w:rStyle w:val="63"/>
                <w:rFonts w:hint="eastAsia" w:ascii="宋体" w:hAnsi="宋体" w:eastAsia="宋体" w:cs="宋体"/>
                <w:color w:val="auto"/>
                <w:sz w:val="22"/>
                <w:szCs w:val="22"/>
                <w:highlight w:val="none"/>
              </w:rPr>
              <w:t>2种“延迟充电”模式，至少包含主机面板和软件可设置，延迟充电时间0-30s可调</w:t>
            </w:r>
            <w:r>
              <w:rPr>
                <w:rStyle w:val="63"/>
                <w:rFonts w:hint="eastAsia" w:ascii="宋体" w:hAnsi="宋体" w:eastAsia="宋体" w:cs="宋体"/>
                <w:color w:val="auto"/>
                <w:sz w:val="22"/>
                <w:szCs w:val="22"/>
                <w:highlight w:val="none"/>
                <w:lang w:eastAsia="zh-CN"/>
              </w:rPr>
              <w:t>，</w:t>
            </w:r>
            <w:r>
              <w:rPr>
                <w:rStyle w:val="63"/>
                <w:rFonts w:hint="eastAsia" w:ascii="宋体" w:hAnsi="宋体" w:eastAsia="宋体" w:cs="宋体"/>
                <w:color w:val="auto"/>
                <w:sz w:val="22"/>
                <w:szCs w:val="22"/>
                <w:highlight w:val="none"/>
              </w:rPr>
              <w:t>主机面板具备自动计算按键，一键式计算运动阈值的百分比</w:t>
            </w:r>
            <w:r>
              <w:rPr>
                <w:rStyle w:val="63"/>
                <w:rFonts w:hint="eastAsia" w:ascii="宋体" w:hAnsi="宋体" w:eastAsia="宋体" w:cs="宋体"/>
                <w:color w:val="auto"/>
                <w:sz w:val="22"/>
                <w:szCs w:val="22"/>
                <w:highlight w:val="none"/>
                <w:lang w:eastAsia="zh-CN"/>
              </w:rPr>
              <w:t>；</w:t>
            </w:r>
          </w:p>
          <w:p w14:paraId="7AB526CE">
            <w:pPr>
              <w:pStyle w:val="60"/>
              <w:numPr>
                <w:ilvl w:val="1"/>
                <w:numId w:val="0"/>
              </w:numPr>
              <w:spacing w:line="276" w:lineRule="auto"/>
              <w:ind w:left="992" w:leftChars="0" w:hanging="567" w:firstLineChars="0"/>
              <w:rPr>
                <w:rStyle w:val="63"/>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1.2</w:t>
            </w:r>
            <w:r>
              <w:rPr>
                <w:rStyle w:val="63"/>
                <w:rFonts w:hint="eastAsia" w:ascii="宋体" w:hAnsi="宋体" w:eastAsia="宋体" w:cs="宋体"/>
                <w:color w:val="auto"/>
                <w:sz w:val="22"/>
                <w:szCs w:val="22"/>
                <w:highlight w:val="none"/>
              </w:rPr>
              <w:t>具备高压开关按钮，在不关机和关闭电脑的状态下，可进行线圈热插拔。</w:t>
            </w:r>
          </w:p>
          <w:p w14:paraId="1F02BB5F">
            <w:pPr>
              <w:pStyle w:val="60"/>
              <w:numPr>
                <w:ilvl w:val="1"/>
                <w:numId w:val="0"/>
              </w:numPr>
              <w:spacing w:line="276" w:lineRule="auto"/>
              <w:ind w:left="992" w:leftChars="0" w:hanging="567" w:firstLineChars="0"/>
              <w:rPr>
                <w:rStyle w:val="63"/>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1.3</w:t>
            </w:r>
            <w:r>
              <w:rPr>
                <w:rStyle w:val="63"/>
                <w:rFonts w:hint="eastAsia" w:ascii="宋体" w:hAnsi="宋体" w:eastAsia="宋体" w:cs="宋体"/>
                <w:color w:val="auto"/>
                <w:sz w:val="22"/>
                <w:szCs w:val="22"/>
                <w:highlight w:val="none"/>
              </w:rPr>
              <w:t>最大磁刺激强度：≥5T，0-5T可调。</w:t>
            </w:r>
          </w:p>
          <w:p w14:paraId="6370F23E">
            <w:pPr>
              <w:pStyle w:val="60"/>
              <w:numPr>
                <w:ilvl w:val="1"/>
                <w:numId w:val="0"/>
              </w:numPr>
              <w:spacing w:line="276" w:lineRule="auto"/>
              <w:ind w:left="992" w:leftChars="0" w:hanging="567" w:firstLineChars="0"/>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1.4</w:t>
            </w:r>
            <w:r>
              <w:rPr>
                <w:rStyle w:val="63"/>
                <w:rFonts w:hint="eastAsia" w:ascii="宋体" w:hAnsi="宋体" w:eastAsia="宋体" w:cs="宋体"/>
                <w:color w:val="auto"/>
                <w:sz w:val="22"/>
                <w:szCs w:val="22"/>
                <w:highlight w:val="none"/>
              </w:rPr>
              <w:t>最大刺激频率：≥100Hz，0-100Hz可调，0-10Hz步长0.1Hz，10Hz以上，步长1Hz。</w:t>
            </w:r>
          </w:p>
          <w:p w14:paraId="7A2FCABE">
            <w:pPr>
              <w:jc w:val="left"/>
              <w:rPr>
                <w:rFonts w:asciiTheme="minorEastAsia" w:hAnsiTheme="minorEastAsia" w:eastAsiaTheme="minorEastAsia"/>
                <w:color w:val="auto"/>
                <w:sz w:val="24"/>
                <w:highlight w:val="none"/>
              </w:rPr>
            </w:pPr>
          </w:p>
        </w:tc>
        <w:tc>
          <w:tcPr>
            <w:tcW w:w="1456" w:type="pct"/>
            <w:vAlign w:val="center"/>
          </w:tcPr>
          <w:p w14:paraId="411F3E68">
            <w:pPr>
              <w:jc w:val="center"/>
              <w:rPr>
                <w:rFonts w:asciiTheme="minorEastAsia" w:hAnsiTheme="minorEastAsia" w:eastAsiaTheme="minorEastAsia"/>
                <w:color w:val="auto"/>
                <w:sz w:val="24"/>
                <w:highlight w:val="none"/>
              </w:rPr>
            </w:pPr>
          </w:p>
        </w:tc>
        <w:tc>
          <w:tcPr>
            <w:tcW w:w="502" w:type="pct"/>
            <w:vAlign w:val="center"/>
          </w:tcPr>
          <w:p w14:paraId="23169102">
            <w:pPr>
              <w:jc w:val="center"/>
              <w:rPr>
                <w:rFonts w:asciiTheme="minorEastAsia" w:hAnsiTheme="minorEastAsia" w:eastAsiaTheme="minorEastAsia"/>
                <w:color w:val="auto"/>
                <w:sz w:val="24"/>
                <w:highlight w:val="none"/>
              </w:rPr>
            </w:pPr>
          </w:p>
        </w:tc>
      </w:tr>
      <w:tr w14:paraId="566E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6" w:type="pct"/>
            <w:vAlign w:val="center"/>
          </w:tcPr>
          <w:p w14:paraId="05C3CBB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915" w:type="pct"/>
            <w:vAlign w:val="center"/>
          </w:tcPr>
          <w:p w14:paraId="31BA7BCE">
            <w:pPr>
              <w:pStyle w:val="64"/>
              <w:numPr>
                <w:ilvl w:val="0"/>
                <w:numId w:val="0"/>
              </w:numPr>
              <w:ind w:left="556" w:leftChars="65" w:hanging="420" w:firstLineChars="0"/>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2.</w:t>
            </w:r>
            <w:r>
              <w:rPr>
                <w:rFonts w:hint="eastAsia" w:ascii="宋体" w:hAnsi="宋体" w:eastAsia="宋体" w:cs="宋体"/>
                <w:b/>
                <w:bCs/>
                <w:color w:val="auto"/>
                <w:sz w:val="22"/>
                <w:szCs w:val="22"/>
                <w:highlight w:val="none"/>
              </w:rPr>
              <w:t>冷却系统</w:t>
            </w:r>
          </w:p>
          <w:p w14:paraId="0C463841">
            <w:pPr>
              <w:jc w:val="center"/>
              <w:rPr>
                <w:rFonts w:asciiTheme="minorEastAsia" w:hAnsiTheme="minorEastAsia" w:eastAsiaTheme="minorEastAsia"/>
                <w:color w:val="auto"/>
                <w:sz w:val="24"/>
                <w:highlight w:val="none"/>
              </w:rPr>
            </w:pPr>
          </w:p>
        </w:tc>
        <w:tc>
          <w:tcPr>
            <w:tcW w:w="1680" w:type="pct"/>
            <w:vAlign w:val="center"/>
          </w:tcPr>
          <w:p w14:paraId="657D9F63">
            <w:pPr>
              <w:pStyle w:val="64"/>
              <w:numPr>
                <w:ilvl w:val="1"/>
                <w:numId w:val="0"/>
              </w:numPr>
              <w:ind w:left="992" w:leftChars="0" w:hanging="567" w:firstLineChars="0"/>
              <w:rPr>
                <w:rFonts w:asciiTheme="minorEastAsia" w:hAnsiTheme="minorEastAsia" w:eastAsiaTheme="minorEastAsia"/>
                <w:color w:val="auto"/>
                <w:sz w:val="24"/>
                <w:highlight w:val="none"/>
              </w:rPr>
            </w:pPr>
            <w:r>
              <w:rPr>
                <w:rFonts w:hint="eastAsia" w:ascii="宋体" w:hAnsi="宋体" w:eastAsia="宋体" w:cs="宋体"/>
                <w:color w:val="auto"/>
                <w:kern w:val="2"/>
                <w:sz w:val="22"/>
                <w:szCs w:val="22"/>
                <w:highlight w:val="none"/>
                <w:lang w:val="en-US" w:eastAsia="zh-CN" w:bidi="ar-SA"/>
              </w:rPr>
              <w:t>2.1</w:t>
            </w:r>
            <w:r>
              <w:rPr>
                <w:rStyle w:val="63"/>
                <w:rFonts w:hint="eastAsia" w:ascii="宋体" w:hAnsi="宋体" w:eastAsia="宋体" w:cs="宋体"/>
                <w:color w:val="auto"/>
                <w:sz w:val="22"/>
                <w:szCs w:val="22"/>
                <w:highlight w:val="none"/>
              </w:rPr>
              <w:t>免维护内循环冷却系统，设备可连续≥24小时工作；具备主动冷却功能</w:t>
            </w:r>
            <w:r>
              <w:rPr>
                <w:rStyle w:val="63"/>
                <w:rFonts w:hint="eastAsia" w:ascii="宋体" w:hAnsi="宋体" w:eastAsia="宋体" w:cs="宋体"/>
                <w:color w:val="auto"/>
                <w:sz w:val="22"/>
                <w:szCs w:val="22"/>
                <w:highlight w:val="none"/>
                <w:lang w:eastAsia="zh-CN"/>
              </w:rPr>
              <w:t>；</w:t>
            </w:r>
            <w:r>
              <w:rPr>
                <w:rStyle w:val="63"/>
                <w:rFonts w:hint="eastAsia" w:ascii="宋体" w:hAnsi="宋体" w:eastAsia="宋体" w:cs="宋体"/>
                <w:color w:val="auto"/>
                <w:sz w:val="22"/>
                <w:szCs w:val="22"/>
                <w:highlight w:val="none"/>
              </w:rPr>
              <w:t>设备面板具备</w:t>
            </w:r>
            <w:r>
              <w:rPr>
                <w:rFonts w:hint="eastAsia" w:ascii="宋体" w:hAnsi="宋体" w:eastAsia="宋体" w:cs="宋体"/>
                <w:color w:val="auto"/>
                <w:sz w:val="22"/>
                <w:szCs w:val="22"/>
                <w:highlight w:val="none"/>
              </w:rPr>
              <w:t>≥</w:t>
            </w:r>
            <w:r>
              <w:rPr>
                <w:rStyle w:val="63"/>
                <w:rFonts w:hint="eastAsia" w:ascii="宋体" w:hAnsi="宋体" w:eastAsia="宋体" w:cs="宋体"/>
                <w:color w:val="auto"/>
                <w:sz w:val="22"/>
                <w:szCs w:val="22"/>
                <w:highlight w:val="none"/>
              </w:rPr>
              <w:t>4级温度颜色指示功能。</w:t>
            </w:r>
          </w:p>
        </w:tc>
        <w:tc>
          <w:tcPr>
            <w:tcW w:w="1456" w:type="pct"/>
            <w:vAlign w:val="center"/>
          </w:tcPr>
          <w:p w14:paraId="79158BE1">
            <w:pPr>
              <w:pStyle w:val="39"/>
              <w:jc w:val="center"/>
              <w:rPr>
                <w:rFonts w:asciiTheme="minorEastAsia" w:hAnsiTheme="minorEastAsia" w:eastAsiaTheme="minorEastAsia"/>
                <w:color w:val="auto"/>
                <w:highlight w:val="none"/>
              </w:rPr>
            </w:pPr>
          </w:p>
        </w:tc>
        <w:tc>
          <w:tcPr>
            <w:tcW w:w="502" w:type="pct"/>
            <w:vAlign w:val="center"/>
          </w:tcPr>
          <w:p w14:paraId="51CD182D">
            <w:pPr>
              <w:jc w:val="center"/>
              <w:rPr>
                <w:rFonts w:asciiTheme="minorEastAsia" w:hAnsiTheme="minorEastAsia" w:eastAsiaTheme="minorEastAsia"/>
                <w:color w:val="auto"/>
                <w:sz w:val="24"/>
                <w:highlight w:val="none"/>
              </w:rPr>
            </w:pPr>
          </w:p>
        </w:tc>
      </w:tr>
      <w:tr w14:paraId="5B49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6" w:type="pct"/>
            <w:vAlign w:val="center"/>
          </w:tcPr>
          <w:p w14:paraId="73F97261">
            <w:pPr>
              <w:jc w:val="center"/>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4</w:t>
            </w:r>
          </w:p>
        </w:tc>
        <w:tc>
          <w:tcPr>
            <w:tcW w:w="915" w:type="pct"/>
            <w:vAlign w:val="center"/>
          </w:tcPr>
          <w:p w14:paraId="72B1B3A4">
            <w:pPr>
              <w:pStyle w:val="64"/>
              <w:numPr>
                <w:ilvl w:val="0"/>
                <w:numId w:val="0"/>
              </w:numPr>
              <w:ind w:left="556" w:leftChars="65" w:hanging="420" w:firstLineChars="0"/>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3.</w:t>
            </w:r>
            <w:r>
              <w:rPr>
                <w:rFonts w:hint="eastAsia" w:ascii="宋体" w:hAnsi="宋体" w:eastAsia="宋体" w:cs="宋体"/>
                <w:b/>
                <w:bCs/>
                <w:color w:val="auto"/>
                <w:sz w:val="22"/>
                <w:szCs w:val="22"/>
                <w:highlight w:val="none"/>
              </w:rPr>
              <w:t>刺激线圈</w:t>
            </w:r>
          </w:p>
          <w:p w14:paraId="024EAB60">
            <w:pPr>
              <w:jc w:val="center"/>
              <w:rPr>
                <w:rFonts w:asciiTheme="minorEastAsia" w:hAnsiTheme="minorEastAsia" w:eastAsiaTheme="minorEastAsia"/>
                <w:color w:val="auto"/>
                <w:sz w:val="24"/>
                <w:highlight w:val="none"/>
              </w:rPr>
            </w:pPr>
          </w:p>
        </w:tc>
        <w:tc>
          <w:tcPr>
            <w:tcW w:w="1680" w:type="pct"/>
            <w:vAlign w:val="center"/>
          </w:tcPr>
          <w:p w14:paraId="0D4C5D99">
            <w:pPr>
              <w:pStyle w:val="64"/>
              <w:numPr>
                <w:ilvl w:val="1"/>
                <w:numId w:val="0"/>
              </w:numPr>
              <w:ind w:left="992" w:leftChars="0" w:hanging="567" w:firstLineChars="0"/>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3.1</w:t>
            </w:r>
            <w:r>
              <w:rPr>
                <w:rStyle w:val="63"/>
                <w:rFonts w:hint="eastAsia" w:ascii="宋体" w:hAnsi="宋体" w:eastAsia="宋体" w:cs="宋体"/>
                <w:color w:val="auto"/>
                <w:sz w:val="22"/>
                <w:szCs w:val="22"/>
                <w:highlight w:val="none"/>
                <w:lang w:val="en-US" w:eastAsia="zh-CN"/>
              </w:rPr>
              <w:t>具备</w:t>
            </w:r>
            <w:r>
              <w:rPr>
                <w:rStyle w:val="63"/>
                <w:rFonts w:hint="eastAsia" w:ascii="宋体" w:hAnsi="宋体" w:eastAsia="宋体" w:cs="宋体"/>
                <w:color w:val="auto"/>
                <w:sz w:val="22"/>
                <w:szCs w:val="22"/>
                <w:highlight w:val="none"/>
              </w:rPr>
              <w:t>过热保护</w:t>
            </w:r>
            <w:r>
              <w:rPr>
                <w:rStyle w:val="63"/>
                <w:rFonts w:hint="eastAsia" w:ascii="宋体" w:hAnsi="宋体" w:eastAsia="宋体" w:cs="宋体"/>
                <w:color w:val="auto"/>
                <w:sz w:val="22"/>
                <w:szCs w:val="22"/>
                <w:highlight w:val="none"/>
                <w:lang w:val="en-US" w:eastAsia="zh-CN"/>
              </w:rPr>
              <w:t>功能</w:t>
            </w:r>
            <w:r>
              <w:rPr>
                <w:rStyle w:val="63"/>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rPr>
              <w:t>线圈治疗部位具备温度传感器，刺激线圈超过41℃，自动停止输出。</w:t>
            </w:r>
          </w:p>
          <w:p w14:paraId="5EDDF1E8">
            <w:pPr>
              <w:pStyle w:val="64"/>
              <w:numPr>
                <w:ilvl w:val="1"/>
                <w:numId w:val="0"/>
              </w:numPr>
              <w:ind w:left="992" w:leftChars="0" w:hanging="567" w:firstLineChars="0"/>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3.2</w:t>
            </w:r>
            <w:r>
              <w:rPr>
                <w:rFonts w:hint="eastAsia" w:ascii="宋体" w:hAnsi="宋体" w:eastAsia="宋体" w:cs="宋体"/>
                <w:color w:val="auto"/>
                <w:sz w:val="22"/>
                <w:szCs w:val="22"/>
                <w:highlight w:val="none"/>
              </w:rPr>
              <w:t>具备多刺激线圈连接转接头，可同时外挂多种线圈</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蝶形、8字、圆形、双锥等</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，便于临床随时更换线圈种类进行治疗；</w:t>
            </w:r>
          </w:p>
          <w:p w14:paraId="48E27BA0">
            <w:pPr>
              <w:numPr>
                <w:ilvl w:val="1"/>
                <w:numId w:val="0"/>
              </w:numPr>
              <w:ind w:left="992" w:leftChars="0" w:hanging="567" w:firstLineChars="0"/>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3.3</w:t>
            </w:r>
            <w:r>
              <w:rPr>
                <w:rFonts w:hint="eastAsia" w:ascii="宋体" w:hAnsi="宋体" w:eastAsia="宋体" w:cs="宋体"/>
                <w:color w:val="auto"/>
                <w:sz w:val="22"/>
                <w:szCs w:val="22"/>
                <w:highlight w:val="none"/>
                <w:lang w:val="en-US" w:eastAsia="zh-CN"/>
                <w:woUserID w:val="1"/>
              </w:rPr>
              <w:t xml:space="preserve"> </w:t>
            </w:r>
            <w:r>
              <w:rPr>
                <w:rFonts w:hint="eastAsia" w:ascii="宋体" w:hAnsi="宋体" w:eastAsia="宋体" w:cs="宋体"/>
                <w:color w:val="auto"/>
                <w:sz w:val="22"/>
                <w:szCs w:val="22"/>
                <w:highlight w:val="none"/>
                <w:woUserID w:val="1"/>
              </w:rPr>
              <w:t>8</w:t>
            </w:r>
            <w:r>
              <w:rPr>
                <w:rFonts w:hint="eastAsia" w:ascii="宋体" w:hAnsi="宋体" w:eastAsia="宋体" w:cs="宋体"/>
                <w:color w:val="auto"/>
                <w:sz w:val="22"/>
                <w:szCs w:val="22"/>
                <w:highlight w:val="none"/>
              </w:rPr>
              <w:t>字蝶形线圈，单个线圈直径≤100mm；可实现双向双面刺激；</w:t>
            </w:r>
          </w:p>
        </w:tc>
        <w:tc>
          <w:tcPr>
            <w:tcW w:w="1456" w:type="pct"/>
            <w:vAlign w:val="center"/>
          </w:tcPr>
          <w:p w14:paraId="4EE0418F">
            <w:pPr>
              <w:pStyle w:val="39"/>
              <w:jc w:val="center"/>
              <w:rPr>
                <w:rFonts w:asciiTheme="minorEastAsia" w:hAnsiTheme="minorEastAsia" w:eastAsiaTheme="minorEastAsia"/>
                <w:color w:val="auto"/>
                <w:highlight w:val="none"/>
              </w:rPr>
            </w:pPr>
          </w:p>
        </w:tc>
        <w:tc>
          <w:tcPr>
            <w:tcW w:w="502" w:type="pct"/>
            <w:vAlign w:val="center"/>
          </w:tcPr>
          <w:p w14:paraId="73416C41">
            <w:pPr>
              <w:jc w:val="center"/>
              <w:rPr>
                <w:rFonts w:asciiTheme="minorEastAsia" w:hAnsiTheme="minorEastAsia" w:eastAsiaTheme="minorEastAsia"/>
                <w:color w:val="auto"/>
                <w:sz w:val="24"/>
                <w:highlight w:val="none"/>
              </w:rPr>
            </w:pPr>
          </w:p>
        </w:tc>
      </w:tr>
      <w:tr w14:paraId="5E611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6" w:type="pct"/>
            <w:vAlign w:val="center"/>
          </w:tcPr>
          <w:p w14:paraId="22740B3D">
            <w:pPr>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915" w:type="pct"/>
            <w:vAlign w:val="center"/>
          </w:tcPr>
          <w:p w14:paraId="22D3F02B">
            <w:pPr>
              <w:pStyle w:val="64"/>
              <w:numPr>
                <w:ilvl w:val="0"/>
                <w:numId w:val="0"/>
              </w:numPr>
              <w:ind w:left="556" w:leftChars="65" w:hanging="420" w:firstLineChars="0"/>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4.</w:t>
            </w:r>
            <w:r>
              <w:rPr>
                <w:rFonts w:hint="eastAsia" w:ascii="宋体" w:hAnsi="宋体" w:eastAsia="宋体" w:cs="宋体"/>
                <w:b/>
                <w:bCs/>
                <w:color w:val="auto"/>
                <w:sz w:val="22"/>
                <w:szCs w:val="22"/>
                <w:highlight w:val="none"/>
              </w:rPr>
              <w:t>磁刺激工作系统</w:t>
            </w:r>
          </w:p>
          <w:p w14:paraId="644EABC6">
            <w:pPr>
              <w:jc w:val="center"/>
              <w:rPr>
                <w:rFonts w:asciiTheme="minorEastAsia" w:hAnsiTheme="minorEastAsia" w:eastAsiaTheme="minorEastAsia"/>
                <w:color w:val="auto"/>
                <w:sz w:val="24"/>
                <w:highlight w:val="none"/>
              </w:rPr>
            </w:pPr>
          </w:p>
        </w:tc>
        <w:tc>
          <w:tcPr>
            <w:tcW w:w="1680" w:type="pct"/>
            <w:vAlign w:val="center"/>
          </w:tcPr>
          <w:p w14:paraId="21B942B9">
            <w:pPr>
              <w:pStyle w:val="64"/>
              <w:numPr>
                <w:ilvl w:val="1"/>
                <w:numId w:val="0"/>
              </w:numPr>
              <w:ind w:left="992" w:leftChars="0" w:hanging="567" w:firstLineChars="0"/>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4.1</w:t>
            </w:r>
            <w:r>
              <w:rPr>
                <w:rFonts w:hint="eastAsia" w:ascii="宋体" w:hAnsi="宋体" w:eastAsia="宋体" w:cs="宋体"/>
                <w:color w:val="auto"/>
                <w:sz w:val="22"/>
                <w:szCs w:val="28"/>
                <w:highlight w:val="none"/>
                <w:lang w:val="en-US" w:eastAsia="zh-CN"/>
              </w:rPr>
              <w:t>具备</w:t>
            </w:r>
            <w:r>
              <w:rPr>
                <w:rFonts w:hint="eastAsia" w:ascii="宋体" w:hAnsi="宋体" w:eastAsia="宋体" w:cs="宋体"/>
                <w:color w:val="auto"/>
                <w:sz w:val="22"/>
                <w:szCs w:val="28"/>
                <w:highlight w:val="none"/>
              </w:rPr>
              <w:t>外置计算机系统可管理数据和出具报告</w:t>
            </w:r>
            <w:r>
              <w:rPr>
                <w:rFonts w:hint="eastAsia" w:ascii="宋体" w:hAnsi="宋体" w:eastAsia="宋体" w:cs="宋体"/>
                <w:color w:val="auto"/>
                <w:sz w:val="22"/>
                <w:szCs w:val="28"/>
                <w:highlight w:val="none"/>
                <w:lang w:eastAsia="zh-CN"/>
              </w:rPr>
              <w:t>，</w:t>
            </w:r>
            <w:r>
              <w:rPr>
                <w:rFonts w:hint="eastAsia" w:ascii="宋体" w:hAnsi="宋体" w:eastAsia="宋体" w:cs="宋体"/>
                <w:color w:val="auto"/>
                <w:sz w:val="22"/>
                <w:szCs w:val="28"/>
                <w:highlight w:val="none"/>
              </w:rPr>
              <w:t>多种语言操作界面自由切换</w:t>
            </w:r>
            <w:r>
              <w:rPr>
                <w:rFonts w:hint="eastAsia" w:ascii="宋体" w:hAnsi="宋体" w:eastAsia="宋体" w:cs="宋体"/>
                <w:color w:val="auto"/>
                <w:sz w:val="22"/>
                <w:szCs w:val="28"/>
                <w:highlight w:val="none"/>
                <w:lang w:eastAsia="zh-CN"/>
              </w:rPr>
              <w:t>，</w:t>
            </w:r>
            <w:r>
              <w:rPr>
                <w:rFonts w:hint="eastAsia" w:ascii="宋体" w:hAnsi="宋体" w:eastAsia="宋体" w:cs="宋体"/>
                <w:color w:val="auto"/>
                <w:sz w:val="22"/>
                <w:szCs w:val="22"/>
                <w:highlight w:val="none"/>
              </w:rPr>
              <w:t>具备开机自动自检和线圈种类识别功能</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具备</w:t>
            </w:r>
            <w:r>
              <w:rPr>
                <w:rFonts w:hint="eastAsia" w:ascii="宋体" w:hAnsi="宋体" w:eastAsia="宋体" w:cs="宋体"/>
                <w:color w:val="auto"/>
                <w:sz w:val="22"/>
                <w:szCs w:val="22"/>
                <w:highlight w:val="none"/>
              </w:rPr>
              <w:t>患者</w:t>
            </w:r>
            <w:r>
              <w:rPr>
                <w:rFonts w:hint="eastAsia" w:ascii="宋体" w:hAnsi="宋体" w:eastAsia="宋体" w:cs="宋体"/>
                <w:color w:val="auto"/>
                <w:sz w:val="22"/>
                <w:szCs w:val="22"/>
                <w:highlight w:val="none"/>
                <w:lang w:val="en-US" w:eastAsia="zh-CN"/>
              </w:rPr>
              <w:t>相关</w:t>
            </w:r>
            <w:r>
              <w:rPr>
                <w:rFonts w:hint="eastAsia" w:ascii="宋体" w:hAnsi="宋体" w:eastAsia="宋体" w:cs="宋体"/>
                <w:color w:val="auto"/>
                <w:sz w:val="22"/>
                <w:szCs w:val="22"/>
                <w:highlight w:val="none"/>
              </w:rPr>
              <w:t>数据统计导出</w:t>
            </w:r>
            <w:r>
              <w:rPr>
                <w:rFonts w:hint="eastAsia" w:ascii="宋体" w:hAnsi="宋体" w:eastAsia="宋体" w:cs="宋体"/>
                <w:color w:val="auto"/>
                <w:sz w:val="22"/>
                <w:szCs w:val="22"/>
                <w:highlight w:val="none"/>
                <w:lang w:val="en-US" w:eastAsia="zh-CN"/>
              </w:rPr>
              <w:t>功能</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具备</w:t>
            </w:r>
            <w:r>
              <w:rPr>
                <w:rFonts w:hint="eastAsia" w:ascii="宋体" w:hAnsi="宋体" w:eastAsia="宋体" w:cs="宋体"/>
                <w:color w:val="auto"/>
                <w:sz w:val="22"/>
                <w:szCs w:val="22"/>
                <w:highlight w:val="none"/>
              </w:rPr>
              <w:t>出具治疗、检测信息等报告</w:t>
            </w:r>
            <w:r>
              <w:rPr>
                <w:rFonts w:hint="eastAsia" w:ascii="宋体" w:hAnsi="宋体" w:eastAsia="宋体" w:cs="宋体"/>
                <w:color w:val="auto"/>
                <w:sz w:val="22"/>
                <w:szCs w:val="22"/>
                <w:highlight w:val="none"/>
                <w:lang w:val="en-US" w:eastAsia="zh-CN"/>
              </w:rPr>
              <w:t>功能</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具备</w:t>
            </w:r>
            <w:r>
              <w:rPr>
                <w:rFonts w:hint="eastAsia" w:ascii="宋体" w:hAnsi="宋体" w:eastAsia="宋体" w:cs="宋体"/>
                <w:color w:val="auto"/>
                <w:sz w:val="22"/>
                <w:szCs w:val="22"/>
                <w:highlight w:val="none"/>
              </w:rPr>
              <w:t>教学演示</w:t>
            </w:r>
            <w:r>
              <w:rPr>
                <w:rFonts w:hint="eastAsia" w:ascii="宋体" w:hAnsi="宋体" w:eastAsia="宋体" w:cs="宋体"/>
                <w:color w:val="auto"/>
                <w:sz w:val="22"/>
                <w:szCs w:val="22"/>
                <w:highlight w:val="none"/>
                <w:lang w:val="en-US" w:eastAsia="zh-CN"/>
              </w:rPr>
              <w:t>功能</w:t>
            </w:r>
            <w:r>
              <w:rPr>
                <w:rFonts w:hint="eastAsia" w:ascii="宋体" w:hAnsi="宋体" w:eastAsia="宋体" w:cs="宋体"/>
                <w:color w:val="auto"/>
                <w:sz w:val="22"/>
                <w:szCs w:val="22"/>
                <w:highlight w:val="none"/>
              </w:rPr>
              <w:t>。</w:t>
            </w:r>
          </w:p>
          <w:p w14:paraId="58C24EF1">
            <w:pPr>
              <w:pStyle w:val="64"/>
              <w:numPr>
                <w:ilvl w:val="1"/>
                <w:numId w:val="0"/>
              </w:numPr>
              <w:ind w:left="992" w:leftChars="0" w:hanging="567" w:firstLineChars="0"/>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4.2</w:t>
            </w:r>
            <w:r>
              <w:rPr>
                <w:rFonts w:hint="eastAsia" w:ascii="宋体" w:hAnsi="宋体" w:eastAsia="宋体" w:cs="宋体"/>
                <w:color w:val="auto"/>
                <w:sz w:val="22"/>
                <w:szCs w:val="22"/>
                <w:highlight w:val="none"/>
              </w:rPr>
              <w:t>具备常规的单刺激、重复刺激、丛刺激（爆发式刺激与模式化刺激）</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渐变模式（Ramp）刺激、扫频模式（Sweep）刺激</w:t>
            </w:r>
            <w:r>
              <w:rPr>
                <w:rFonts w:hint="eastAsia" w:ascii="宋体" w:hAnsi="宋体" w:eastAsia="宋体" w:cs="宋体"/>
                <w:color w:val="auto"/>
                <w:sz w:val="22"/>
                <w:szCs w:val="22"/>
                <w:highlight w:val="none"/>
                <w:lang w:val="en-US" w:eastAsia="zh-CN"/>
              </w:rPr>
              <w:t>等</w:t>
            </w:r>
            <w:r>
              <w:rPr>
                <w:rFonts w:hint="eastAsia" w:ascii="宋体" w:hAnsi="宋体" w:eastAsia="宋体" w:cs="宋体"/>
                <w:color w:val="auto"/>
                <w:sz w:val="22"/>
                <w:szCs w:val="22"/>
                <w:highlight w:val="none"/>
              </w:rPr>
              <w:t>模式</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可扩展研究评估相关的成对刺激、关联刺激和三重刺激</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具备单相、双相</w:t>
            </w:r>
            <w:r>
              <w:rPr>
                <w:rFonts w:hint="eastAsia" w:ascii="宋体" w:hAnsi="宋体" w:eastAsia="宋体" w:cs="宋体"/>
                <w:color w:val="auto"/>
                <w:sz w:val="22"/>
                <w:szCs w:val="22"/>
                <w:highlight w:val="none"/>
                <w:lang w:val="en-US" w:eastAsia="zh-CN"/>
              </w:rPr>
              <w:t>等</w:t>
            </w:r>
            <w:r>
              <w:rPr>
                <w:rFonts w:hint="eastAsia" w:ascii="宋体" w:hAnsi="宋体" w:eastAsia="宋体" w:cs="宋体"/>
                <w:color w:val="auto"/>
                <w:sz w:val="22"/>
                <w:szCs w:val="22"/>
                <w:highlight w:val="none"/>
              </w:rPr>
              <w:t>刺激波形可选。</w:t>
            </w:r>
          </w:p>
          <w:p w14:paraId="0BF1FC86">
            <w:pPr>
              <w:pStyle w:val="64"/>
              <w:numPr>
                <w:ilvl w:val="1"/>
                <w:numId w:val="0"/>
              </w:numPr>
              <w:ind w:left="992" w:leftChars="0" w:hanging="567" w:firstLineChars="0"/>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4.3</w:t>
            </w:r>
            <w:r>
              <w:rPr>
                <w:rFonts w:hint="eastAsia" w:ascii="宋体" w:hAnsi="宋体" w:eastAsia="宋体" w:cs="宋体"/>
                <w:color w:val="auto"/>
                <w:sz w:val="22"/>
                <w:szCs w:val="22"/>
                <w:highlight w:val="none"/>
                <w:lang w:val="en-US" w:eastAsia="zh-CN"/>
              </w:rPr>
              <w:t>具备</w:t>
            </w:r>
            <w:r>
              <w:rPr>
                <w:rFonts w:hint="eastAsia" w:ascii="宋体" w:hAnsi="宋体" w:eastAsia="宋体" w:cs="宋体"/>
                <w:color w:val="auto"/>
                <w:sz w:val="22"/>
                <w:szCs w:val="22"/>
                <w:highlight w:val="none"/>
              </w:rPr>
              <w:t>刺激频率、刺激强度（阈值百分比）、刺激时间、间隔时间、脉冲串数、方案等待时间、总脉冲数</w:t>
            </w:r>
            <w:r>
              <w:rPr>
                <w:rFonts w:hint="eastAsia" w:ascii="宋体" w:hAnsi="宋体" w:eastAsia="宋体" w:cs="宋体"/>
                <w:color w:val="auto"/>
                <w:sz w:val="22"/>
                <w:szCs w:val="22"/>
                <w:highlight w:val="none"/>
                <w:lang w:val="en-US" w:eastAsia="zh-CN"/>
              </w:rPr>
              <w:t>等</w:t>
            </w:r>
            <w:r>
              <w:rPr>
                <w:rFonts w:hint="eastAsia" w:ascii="宋体" w:hAnsi="宋体" w:eastAsia="宋体" w:cs="宋体"/>
                <w:color w:val="auto"/>
                <w:sz w:val="22"/>
                <w:szCs w:val="22"/>
                <w:highlight w:val="none"/>
              </w:rPr>
              <w:t>治疗参数设置</w:t>
            </w:r>
            <w:r>
              <w:rPr>
                <w:rFonts w:hint="eastAsia" w:ascii="宋体" w:hAnsi="宋体" w:eastAsia="宋体" w:cs="宋体"/>
                <w:color w:val="auto"/>
                <w:sz w:val="22"/>
                <w:szCs w:val="22"/>
                <w:highlight w:val="none"/>
                <w:lang w:val="en-US" w:eastAsia="zh-CN"/>
              </w:rPr>
              <w:t>功能</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具备</w:t>
            </w:r>
            <w:r>
              <w:rPr>
                <w:rFonts w:hint="eastAsia" w:ascii="宋体" w:hAnsi="宋体" w:eastAsia="宋体" w:cs="宋体"/>
                <w:color w:val="auto"/>
                <w:sz w:val="22"/>
                <w:szCs w:val="22"/>
                <w:highlight w:val="none"/>
              </w:rPr>
              <w:t>刺激位点、采集位点、治疗疗程和运动阈值更新周期</w:t>
            </w:r>
            <w:r>
              <w:rPr>
                <w:rFonts w:hint="eastAsia" w:ascii="宋体" w:hAnsi="宋体" w:eastAsia="宋体" w:cs="宋体"/>
                <w:color w:val="auto"/>
                <w:sz w:val="22"/>
                <w:szCs w:val="22"/>
                <w:highlight w:val="none"/>
                <w:lang w:val="en-US" w:eastAsia="zh-CN"/>
              </w:rPr>
              <w:t>等</w:t>
            </w:r>
            <w:r>
              <w:rPr>
                <w:rFonts w:hint="eastAsia" w:ascii="宋体" w:hAnsi="宋体" w:eastAsia="宋体" w:cs="宋体"/>
                <w:color w:val="auto"/>
                <w:sz w:val="22"/>
                <w:szCs w:val="22"/>
                <w:highlight w:val="none"/>
              </w:rPr>
              <w:t>治疗方案设置</w:t>
            </w:r>
            <w:r>
              <w:rPr>
                <w:rFonts w:hint="eastAsia" w:ascii="宋体" w:hAnsi="宋体" w:eastAsia="宋体" w:cs="宋体"/>
                <w:color w:val="auto"/>
                <w:sz w:val="22"/>
                <w:szCs w:val="22"/>
                <w:highlight w:val="none"/>
                <w:lang w:val="en-US" w:eastAsia="zh-CN"/>
              </w:rPr>
              <w:t>功能，具备</w:t>
            </w:r>
            <w:r>
              <w:rPr>
                <w:rFonts w:hint="eastAsia" w:ascii="宋体" w:hAnsi="宋体" w:eastAsia="宋体" w:cs="宋体"/>
                <w:color w:val="auto"/>
                <w:sz w:val="22"/>
                <w:szCs w:val="22"/>
                <w:highlight w:val="none"/>
              </w:rPr>
              <w:t>治疗方案选择</w:t>
            </w:r>
            <w:r>
              <w:rPr>
                <w:rFonts w:hint="eastAsia" w:ascii="宋体" w:hAnsi="宋体" w:eastAsia="宋体" w:cs="宋体"/>
                <w:color w:val="auto"/>
                <w:sz w:val="22"/>
                <w:szCs w:val="22"/>
                <w:highlight w:val="none"/>
                <w:lang w:val="en-US" w:eastAsia="zh-CN"/>
              </w:rPr>
              <w:t>功能，具备</w:t>
            </w:r>
            <w:r>
              <w:rPr>
                <w:rFonts w:hint="eastAsia" w:ascii="宋体" w:hAnsi="宋体" w:eastAsia="宋体" w:cs="宋体"/>
                <w:color w:val="auto"/>
                <w:sz w:val="22"/>
                <w:szCs w:val="22"/>
                <w:highlight w:val="none"/>
              </w:rPr>
              <w:t>在单次治疗程序中设置多个刺激频率</w:t>
            </w:r>
            <w:r>
              <w:rPr>
                <w:rFonts w:hint="eastAsia" w:ascii="宋体" w:hAnsi="宋体" w:eastAsia="宋体" w:cs="宋体"/>
                <w:color w:val="auto"/>
                <w:sz w:val="22"/>
                <w:szCs w:val="22"/>
                <w:highlight w:val="none"/>
                <w:lang w:val="en-US" w:eastAsia="zh-CN"/>
              </w:rPr>
              <w:t>功能。</w:t>
            </w:r>
          </w:p>
          <w:p w14:paraId="549CDCC8">
            <w:pPr>
              <w:pStyle w:val="64"/>
              <w:numPr>
                <w:ilvl w:val="1"/>
                <w:numId w:val="0"/>
              </w:numPr>
              <w:ind w:left="992" w:leftChars="0" w:hanging="567" w:firstLineChars="0"/>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4.4</w:t>
            </w:r>
            <w:r>
              <w:rPr>
                <w:rFonts w:hint="eastAsia" w:ascii="宋体" w:hAnsi="宋体" w:eastAsia="宋体" w:cs="宋体"/>
                <w:color w:val="auto"/>
                <w:sz w:val="22"/>
                <w:szCs w:val="22"/>
                <w:highlight w:val="none"/>
              </w:rPr>
              <w:t>具备保存历史记录功能</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具备</w:t>
            </w:r>
            <w:r>
              <w:rPr>
                <w:rFonts w:hint="eastAsia" w:ascii="宋体" w:hAnsi="宋体" w:eastAsia="宋体" w:cs="宋体"/>
                <w:color w:val="auto"/>
                <w:sz w:val="22"/>
                <w:szCs w:val="22"/>
                <w:highlight w:val="none"/>
              </w:rPr>
              <w:t>同屏显示MEP采集页面与数据</w:t>
            </w:r>
            <w:r>
              <w:rPr>
                <w:rFonts w:hint="eastAsia" w:ascii="宋体" w:hAnsi="宋体" w:eastAsia="宋体" w:cs="宋体"/>
                <w:color w:val="auto"/>
                <w:sz w:val="22"/>
                <w:szCs w:val="22"/>
                <w:highlight w:val="none"/>
                <w:lang w:val="en-US" w:eastAsia="zh-CN"/>
              </w:rPr>
              <w:t>等</w:t>
            </w:r>
            <w:r>
              <w:rPr>
                <w:rFonts w:hint="eastAsia" w:ascii="宋体" w:hAnsi="宋体" w:eastAsia="宋体" w:cs="宋体"/>
                <w:color w:val="auto"/>
                <w:sz w:val="22"/>
                <w:szCs w:val="22"/>
                <w:highlight w:val="none"/>
              </w:rPr>
              <w:t>界面</w:t>
            </w:r>
            <w:r>
              <w:rPr>
                <w:rFonts w:hint="eastAsia" w:ascii="宋体" w:hAnsi="宋体" w:eastAsia="宋体" w:cs="宋体"/>
                <w:color w:val="auto"/>
                <w:sz w:val="22"/>
                <w:szCs w:val="22"/>
                <w:highlight w:val="none"/>
                <w:lang w:val="en-US" w:eastAsia="zh-CN"/>
              </w:rPr>
              <w:t>并</w:t>
            </w:r>
            <w:r>
              <w:rPr>
                <w:rFonts w:hint="eastAsia" w:ascii="宋体" w:hAnsi="宋体" w:eastAsia="宋体" w:cs="宋体"/>
                <w:color w:val="auto"/>
                <w:sz w:val="22"/>
                <w:szCs w:val="22"/>
                <w:highlight w:val="none"/>
              </w:rPr>
              <w:t>可自定义设置MEP采集界面，可无限次数显示每次记录的波形和波形数据，数据包括潜伏期、波幅、波宽等参数并打印记录。</w:t>
            </w:r>
          </w:p>
          <w:p w14:paraId="5345EEDA">
            <w:pPr>
              <w:pStyle w:val="64"/>
              <w:numPr>
                <w:ilvl w:val="1"/>
                <w:numId w:val="0"/>
              </w:numPr>
              <w:ind w:left="992" w:leftChars="0" w:hanging="567" w:firstLineChars="0"/>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4.5</w:t>
            </w:r>
            <w:r>
              <w:rPr>
                <w:rFonts w:hint="eastAsia" w:ascii="宋体" w:hAnsi="宋体" w:eastAsia="宋体" w:cs="宋体"/>
                <w:color w:val="auto"/>
                <w:sz w:val="22"/>
                <w:szCs w:val="22"/>
                <w:highlight w:val="none"/>
              </w:rPr>
              <w:t>具备自动检测阈值功能</w:t>
            </w:r>
            <w:r>
              <w:rPr>
                <w:rFonts w:hint="eastAsia" w:ascii="宋体" w:hAnsi="宋体" w:eastAsia="宋体" w:cs="宋体"/>
                <w:color w:val="auto"/>
                <w:sz w:val="22"/>
                <w:szCs w:val="28"/>
                <w:highlight w:val="none"/>
                <w:lang w:val="en-US" w:eastAsia="zh-CN"/>
              </w:rPr>
              <w:t>及</w:t>
            </w:r>
            <w:r>
              <w:rPr>
                <w:rFonts w:hint="eastAsia" w:ascii="宋体" w:hAnsi="宋体" w:eastAsia="宋体" w:cs="宋体"/>
                <w:color w:val="auto"/>
                <w:sz w:val="22"/>
                <w:szCs w:val="28"/>
                <w:highlight w:val="none"/>
              </w:rPr>
              <w:t>阈值追踪趋势图</w:t>
            </w:r>
            <w:r>
              <w:rPr>
                <w:rFonts w:hint="eastAsia" w:ascii="宋体" w:hAnsi="宋体" w:eastAsia="宋体" w:cs="宋体"/>
                <w:color w:val="auto"/>
                <w:sz w:val="22"/>
                <w:szCs w:val="22"/>
                <w:highlight w:val="none"/>
              </w:rPr>
              <w:t>，可设置快速、精准</w:t>
            </w:r>
            <w:r>
              <w:rPr>
                <w:rFonts w:hint="eastAsia" w:ascii="宋体" w:hAnsi="宋体" w:eastAsia="宋体" w:cs="宋体"/>
                <w:color w:val="auto"/>
                <w:sz w:val="22"/>
                <w:szCs w:val="22"/>
                <w:highlight w:val="none"/>
                <w:lang w:val="en-US" w:eastAsia="zh-CN"/>
              </w:rPr>
              <w:t>等多</w:t>
            </w:r>
            <w:r>
              <w:rPr>
                <w:rFonts w:hint="eastAsia" w:ascii="宋体" w:hAnsi="宋体" w:eastAsia="宋体" w:cs="宋体"/>
                <w:color w:val="auto"/>
                <w:sz w:val="22"/>
                <w:szCs w:val="22"/>
                <w:highlight w:val="none"/>
              </w:rPr>
              <w:t>种方式进行阈值的自动检测，可自定义设置波形采集成功标准、刺激间隔时间、强度搜索范围等参数</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8"/>
                <w:highlight w:val="none"/>
              </w:rPr>
              <w:t>可同时显示多个运动皮层阈值趋势</w:t>
            </w:r>
            <w:r>
              <w:rPr>
                <w:rFonts w:hint="eastAsia" w:ascii="宋体" w:hAnsi="宋体" w:eastAsia="宋体" w:cs="宋体"/>
                <w:color w:val="auto"/>
                <w:sz w:val="22"/>
                <w:szCs w:val="28"/>
                <w:highlight w:val="none"/>
                <w:lang w:eastAsia="zh-CN"/>
              </w:rPr>
              <w:t>，</w:t>
            </w:r>
            <w:r>
              <w:rPr>
                <w:rFonts w:hint="eastAsia" w:ascii="宋体" w:hAnsi="宋体" w:eastAsia="宋体" w:cs="宋体"/>
                <w:color w:val="auto"/>
                <w:sz w:val="22"/>
                <w:szCs w:val="22"/>
                <w:highlight w:val="none"/>
              </w:rPr>
              <w:t>运动阈值锁定同步指示灯显示</w:t>
            </w:r>
          </w:p>
          <w:p w14:paraId="0DBFEC76">
            <w:pPr>
              <w:pStyle w:val="64"/>
              <w:numPr>
                <w:ilvl w:val="1"/>
                <w:numId w:val="0"/>
              </w:numPr>
              <w:ind w:left="992" w:leftChars="0" w:hanging="567" w:firstLineChars="0"/>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4.6</w:t>
            </w:r>
            <w:r>
              <w:rPr>
                <w:rFonts w:hint="eastAsia" w:ascii="宋体" w:hAnsi="宋体" w:eastAsia="宋体" w:cs="宋体"/>
                <w:color w:val="auto"/>
                <w:sz w:val="22"/>
                <w:szCs w:val="22"/>
                <w:highlight w:val="none"/>
              </w:rPr>
              <w:t>具备刺激模式图形（数字）仿真、温度显示与控制保护功能。</w:t>
            </w:r>
            <w:r>
              <w:rPr>
                <w:rFonts w:hint="eastAsia" w:ascii="宋体" w:hAnsi="宋体" w:eastAsia="宋体" w:cs="宋体"/>
                <w:color w:val="auto"/>
                <w:sz w:val="22"/>
                <w:szCs w:val="22"/>
                <w:highlight w:val="none"/>
                <w:lang w:val="en-US" w:eastAsia="zh-CN"/>
              </w:rPr>
              <w:t>具备</w:t>
            </w:r>
            <w:r>
              <w:rPr>
                <w:rFonts w:hint="eastAsia" w:ascii="宋体" w:hAnsi="宋体" w:eastAsia="宋体" w:cs="宋体"/>
                <w:color w:val="auto"/>
                <w:sz w:val="22"/>
                <w:szCs w:val="28"/>
                <w:highlight w:val="none"/>
              </w:rPr>
              <w:t>安慰/伪刺激</w:t>
            </w:r>
            <w:r>
              <w:rPr>
                <w:rFonts w:hint="eastAsia" w:ascii="宋体" w:hAnsi="宋体" w:eastAsia="宋体" w:cs="宋体"/>
                <w:color w:val="auto"/>
                <w:sz w:val="22"/>
                <w:szCs w:val="28"/>
                <w:highlight w:val="none"/>
                <w:lang w:val="en-US" w:eastAsia="zh-CN"/>
              </w:rPr>
              <w:t>功能</w:t>
            </w:r>
            <w:r>
              <w:rPr>
                <w:rFonts w:hint="eastAsia" w:ascii="宋体" w:hAnsi="宋体" w:eastAsia="宋体" w:cs="宋体"/>
                <w:color w:val="auto"/>
                <w:sz w:val="22"/>
                <w:szCs w:val="28"/>
                <w:highlight w:val="none"/>
              </w:rPr>
              <w:t>：无需更换线圈，软件可实现安慰/伪刺激、电刺激随机双盲控制分组设置，并有隐私保护。</w:t>
            </w:r>
          </w:p>
          <w:p w14:paraId="578A32F4">
            <w:pPr>
              <w:pStyle w:val="64"/>
              <w:numPr>
                <w:ilvl w:val="1"/>
                <w:numId w:val="0"/>
              </w:numPr>
              <w:ind w:left="992" w:leftChars="0" w:hanging="567" w:firstLineChars="0"/>
              <w:rPr>
                <w:rFonts w:hint="eastAsia" w:ascii="宋体" w:hAnsi="宋体" w:eastAsia="宋体" w:cs="宋体"/>
                <w:color w:val="auto"/>
                <w:sz w:val="22"/>
                <w:szCs w:val="28"/>
                <w:highlight w:val="none"/>
              </w:rPr>
            </w:pPr>
            <w:r>
              <w:rPr>
                <w:rFonts w:hint="eastAsia" w:ascii="宋体" w:hAnsi="宋体" w:eastAsia="宋体" w:cs="宋体"/>
                <w:color w:val="auto"/>
                <w:kern w:val="2"/>
                <w:sz w:val="22"/>
                <w:szCs w:val="28"/>
                <w:highlight w:val="none"/>
                <w:lang w:val="en-US" w:eastAsia="zh-CN" w:bidi="ar-SA"/>
              </w:rPr>
              <w:t>4.7</w:t>
            </w:r>
            <w:r>
              <w:rPr>
                <w:rFonts w:hint="eastAsia" w:ascii="宋体" w:hAnsi="宋体" w:eastAsia="宋体" w:cs="宋体"/>
                <w:color w:val="auto"/>
                <w:sz w:val="22"/>
                <w:szCs w:val="22"/>
                <w:highlight w:val="none"/>
              </w:rPr>
              <w:t>主机及线圈</w:t>
            </w:r>
            <w:r>
              <w:rPr>
                <w:rFonts w:hint="eastAsia" w:ascii="宋体" w:hAnsi="宋体" w:eastAsia="宋体" w:cs="宋体"/>
                <w:color w:val="auto"/>
                <w:sz w:val="22"/>
                <w:szCs w:val="22"/>
                <w:highlight w:val="none"/>
                <w:lang w:val="en-US" w:eastAsia="zh-CN"/>
              </w:rPr>
              <w:t>具备</w:t>
            </w:r>
            <w:r>
              <w:rPr>
                <w:rFonts w:hint="eastAsia" w:ascii="宋体" w:hAnsi="宋体" w:eastAsia="宋体" w:cs="宋体"/>
                <w:color w:val="auto"/>
                <w:sz w:val="22"/>
                <w:szCs w:val="22"/>
                <w:highlight w:val="none"/>
              </w:rPr>
              <w:t>自动保护待机设置</w:t>
            </w:r>
            <w:r>
              <w:rPr>
                <w:rFonts w:hint="eastAsia" w:ascii="宋体" w:hAnsi="宋体" w:eastAsia="宋体" w:cs="宋体"/>
                <w:color w:val="auto"/>
                <w:sz w:val="22"/>
                <w:szCs w:val="22"/>
                <w:highlight w:val="none"/>
                <w:lang w:val="en-US" w:eastAsia="zh-CN"/>
              </w:rPr>
              <w:t>功能，具备</w:t>
            </w:r>
            <w:r>
              <w:rPr>
                <w:rFonts w:hint="eastAsia" w:ascii="宋体" w:hAnsi="宋体" w:eastAsia="宋体" w:cs="宋体"/>
                <w:color w:val="auto"/>
                <w:sz w:val="22"/>
                <w:szCs w:val="22"/>
                <w:highlight w:val="none"/>
              </w:rPr>
              <w:t>刺激警示</w:t>
            </w:r>
            <w:r>
              <w:rPr>
                <w:rFonts w:hint="eastAsia" w:ascii="宋体" w:hAnsi="宋体" w:eastAsia="宋体" w:cs="宋体"/>
                <w:color w:val="auto"/>
                <w:sz w:val="22"/>
                <w:szCs w:val="22"/>
                <w:highlight w:val="none"/>
                <w:lang w:val="en-US" w:eastAsia="zh-CN"/>
              </w:rPr>
              <w:t>功能，具备</w:t>
            </w:r>
            <w:r>
              <w:rPr>
                <w:rFonts w:hint="eastAsia" w:ascii="宋体" w:hAnsi="宋体" w:eastAsia="宋体" w:cs="宋体"/>
                <w:color w:val="auto"/>
                <w:sz w:val="22"/>
                <w:szCs w:val="22"/>
                <w:highlight w:val="none"/>
              </w:rPr>
              <w:t>软启动模式</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可以自定义设置初始刺激强度、强度上升到标准刺激强度的脉冲串数</w:t>
            </w:r>
            <w:r>
              <w:rPr>
                <w:rFonts w:hint="eastAsia" w:ascii="宋体" w:hAnsi="宋体" w:eastAsia="宋体" w:cs="宋体"/>
                <w:color w:val="auto"/>
                <w:sz w:val="22"/>
                <w:szCs w:val="22"/>
                <w:highlight w:val="none"/>
                <w:lang w:eastAsia="zh-CN"/>
              </w:rPr>
              <w:t>。</w:t>
            </w:r>
          </w:p>
          <w:p w14:paraId="34F100CA">
            <w:pPr>
              <w:pStyle w:val="64"/>
              <w:numPr>
                <w:ilvl w:val="1"/>
                <w:numId w:val="0"/>
              </w:numPr>
              <w:ind w:left="992" w:leftChars="0" w:hanging="567" w:firstLineChars="0"/>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4.8</w:t>
            </w:r>
            <w:r>
              <w:rPr>
                <w:rFonts w:hint="eastAsia" w:ascii="宋体" w:hAnsi="宋体" w:eastAsia="宋体" w:cs="宋体"/>
                <w:color w:val="auto"/>
                <w:sz w:val="22"/>
                <w:szCs w:val="22"/>
                <w:highlight w:val="none"/>
              </w:rPr>
              <w:t>定位管理器：</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sz w:val="22"/>
                <w:szCs w:val="22"/>
                <w:highlight w:val="none"/>
              </w:rPr>
              <w:t>3种DLPFC计算方式</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具备10-20脑电系统，通过测量头颅大小输入数据，软件可计算出每个点位的距离，可精准找到每个点位。具备TMS安全筛查问卷表</w:t>
            </w:r>
            <w:r>
              <w:rPr>
                <w:rFonts w:hint="eastAsia" w:ascii="宋体" w:hAnsi="宋体" w:eastAsia="宋体" w:cs="宋体"/>
                <w:color w:val="auto"/>
                <w:sz w:val="22"/>
                <w:szCs w:val="22"/>
                <w:highlight w:val="none"/>
                <w:lang w:eastAsia="zh-CN"/>
              </w:rPr>
              <w:t>。</w:t>
            </w:r>
          </w:p>
          <w:p w14:paraId="79D7FBAC">
            <w:pPr>
              <w:jc w:val="center"/>
              <w:rPr>
                <w:rFonts w:asciiTheme="minorEastAsia" w:hAnsiTheme="minorEastAsia" w:eastAsiaTheme="minorEastAsia"/>
                <w:color w:val="auto"/>
                <w:sz w:val="24"/>
                <w:highlight w:val="none"/>
              </w:rPr>
            </w:pPr>
          </w:p>
        </w:tc>
        <w:tc>
          <w:tcPr>
            <w:tcW w:w="1456" w:type="pct"/>
            <w:vAlign w:val="center"/>
          </w:tcPr>
          <w:p w14:paraId="5A9E69F4">
            <w:pPr>
              <w:pStyle w:val="39"/>
              <w:jc w:val="center"/>
              <w:rPr>
                <w:rFonts w:asciiTheme="minorEastAsia" w:hAnsiTheme="minorEastAsia" w:eastAsiaTheme="minorEastAsia"/>
                <w:color w:val="auto"/>
                <w:highlight w:val="none"/>
              </w:rPr>
            </w:pPr>
          </w:p>
        </w:tc>
        <w:tc>
          <w:tcPr>
            <w:tcW w:w="502" w:type="pct"/>
            <w:vAlign w:val="center"/>
          </w:tcPr>
          <w:p w14:paraId="62CE2BB3">
            <w:pPr>
              <w:jc w:val="center"/>
              <w:rPr>
                <w:rFonts w:asciiTheme="minorEastAsia" w:hAnsiTheme="minorEastAsia" w:eastAsiaTheme="minorEastAsia"/>
                <w:color w:val="auto"/>
                <w:sz w:val="24"/>
                <w:highlight w:val="none"/>
              </w:rPr>
            </w:pPr>
          </w:p>
        </w:tc>
      </w:tr>
      <w:tr w14:paraId="23AF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6" w:type="pct"/>
            <w:vAlign w:val="center"/>
          </w:tcPr>
          <w:p w14:paraId="478674A8">
            <w:pPr>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915" w:type="pct"/>
            <w:vAlign w:val="center"/>
          </w:tcPr>
          <w:p w14:paraId="5185CB16">
            <w:pPr>
              <w:pStyle w:val="60"/>
              <w:numPr>
                <w:ilvl w:val="0"/>
                <w:numId w:val="0"/>
              </w:numPr>
              <w:spacing w:line="276" w:lineRule="auto"/>
              <w:ind w:left="420" w:leftChars="0" w:hanging="420" w:firstLineChars="0"/>
              <w:rPr>
                <w:rFonts w:hint="eastAsia" w:ascii="宋体" w:hAnsi="宋体" w:eastAsia="宋体" w:cs="宋体"/>
                <w:b/>
                <w:bCs/>
                <w:color w:val="auto"/>
                <w:sz w:val="22"/>
                <w:szCs w:val="22"/>
                <w:highlight w:val="none"/>
              </w:rPr>
            </w:pPr>
            <w:r>
              <w:rPr>
                <w:rFonts w:hint="eastAsia" w:ascii="宋体" w:hAnsi="宋体" w:eastAsia="宋体" w:cs="宋体"/>
                <w:b/>
                <w:bCs/>
                <w:color w:val="auto"/>
                <w:kern w:val="2"/>
                <w:sz w:val="22"/>
                <w:szCs w:val="22"/>
                <w:highlight w:val="none"/>
                <w:lang w:val="en-US" w:eastAsia="zh-CN" w:bidi="ar-SA"/>
              </w:rPr>
              <w:t>5.</w:t>
            </w:r>
            <w:r>
              <w:rPr>
                <w:rFonts w:hint="eastAsia" w:ascii="宋体" w:hAnsi="宋体" w:eastAsia="宋体" w:cs="宋体"/>
                <w:b/>
                <w:bCs/>
                <w:color w:val="auto"/>
                <w:sz w:val="22"/>
                <w:szCs w:val="22"/>
                <w:highlight w:val="none"/>
              </w:rPr>
              <w:t>MEP(EMG)运动诱发电位</w:t>
            </w:r>
          </w:p>
          <w:p w14:paraId="3EB7C883">
            <w:pPr>
              <w:jc w:val="center"/>
              <w:rPr>
                <w:rFonts w:asciiTheme="minorEastAsia" w:hAnsiTheme="minorEastAsia" w:eastAsiaTheme="minorEastAsia"/>
                <w:color w:val="auto"/>
                <w:sz w:val="24"/>
                <w:highlight w:val="none"/>
              </w:rPr>
            </w:pPr>
          </w:p>
        </w:tc>
        <w:tc>
          <w:tcPr>
            <w:tcW w:w="1680" w:type="pct"/>
            <w:vAlign w:val="center"/>
          </w:tcPr>
          <w:p w14:paraId="29E98BC9">
            <w:pPr>
              <w:pStyle w:val="60"/>
              <w:numPr>
                <w:ilvl w:val="1"/>
                <w:numId w:val="0"/>
              </w:numPr>
              <w:spacing w:line="276" w:lineRule="auto"/>
              <w:ind w:left="992" w:leftChars="0" w:hanging="567" w:firstLineChars="0"/>
              <w:rPr>
                <w:rFonts w:hint="eastAsia" w:ascii="宋体" w:hAnsi="宋体" w:eastAsia="宋体" w:cs="宋体"/>
                <w:color w:val="auto"/>
                <w:sz w:val="22"/>
                <w:szCs w:val="28"/>
                <w:highlight w:val="none"/>
              </w:rPr>
            </w:pPr>
            <w:r>
              <w:rPr>
                <w:rFonts w:hint="eastAsia" w:ascii="宋体" w:hAnsi="宋体" w:eastAsia="宋体" w:cs="宋体"/>
                <w:color w:val="auto"/>
                <w:kern w:val="2"/>
                <w:sz w:val="22"/>
                <w:szCs w:val="28"/>
                <w:highlight w:val="none"/>
                <w:lang w:val="en-US" w:eastAsia="zh-CN" w:bidi="ar-SA"/>
              </w:rPr>
              <w:t>5.1</w:t>
            </w:r>
            <w:r>
              <w:rPr>
                <w:rFonts w:hint="eastAsia" w:ascii="宋体" w:hAnsi="宋体" w:eastAsia="宋体" w:cs="宋体"/>
                <w:color w:val="auto"/>
                <w:sz w:val="22"/>
                <w:szCs w:val="28"/>
                <w:highlight w:val="none"/>
              </w:rPr>
              <w:t>最大采样率：</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8"/>
                <w:highlight w:val="none"/>
              </w:rPr>
              <w:t>80KHz</w:t>
            </w:r>
          </w:p>
          <w:p w14:paraId="54D9FF3A">
            <w:pPr>
              <w:pStyle w:val="60"/>
              <w:numPr>
                <w:ilvl w:val="1"/>
                <w:numId w:val="0"/>
              </w:numPr>
              <w:spacing w:line="276" w:lineRule="auto"/>
              <w:ind w:left="992" w:leftChars="0" w:hanging="567" w:firstLineChars="0"/>
              <w:rPr>
                <w:rFonts w:hint="eastAsia" w:ascii="宋体" w:hAnsi="宋体" w:eastAsia="宋体" w:cs="宋体"/>
                <w:color w:val="auto"/>
                <w:sz w:val="22"/>
                <w:szCs w:val="28"/>
                <w:highlight w:val="none"/>
              </w:rPr>
            </w:pPr>
            <w:r>
              <w:rPr>
                <w:rFonts w:hint="eastAsia" w:ascii="宋体" w:hAnsi="宋体" w:eastAsia="宋体" w:cs="宋体"/>
                <w:color w:val="auto"/>
                <w:kern w:val="2"/>
                <w:sz w:val="22"/>
                <w:szCs w:val="28"/>
                <w:highlight w:val="none"/>
                <w:lang w:val="en-US" w:eastAsia="zh-CN" w:bidi="ar-SA"/>
              </w:rPr>
              <w:t>5.2</w:t>
            </w:r>
            <w:r>
              <w:rPr>
                <w:rFonts w:hint="eastAsia" w:ascii="宋体" w:hAnsi="宋体" w:eastAsia="宋体" w:cs="宋体"/>
                <w:color w:val="auto"/>
                <w:sz w:val="22"/>
                <w:szCs w:val="28"/>
                <w:highlight w:val="none"/>
              </w:rPr>
              <w:t>低通滤波（HPF）：0.5-200Hz</w:t>
            </w:r>
            <w:r>
              <w:rPr>
                <w:rFonts w:hint="eastAsia" w:ascii="宋体" w:hAnsi="宋体" w:eastAsia="宋体" w:cs="宋体"/>
                <w:color w:val="auto"/>
                <w:sz w:val="22"/>
                <w:szCs w:val="28"/>
                <w:highlight w:val="none"/>
                <w:lang w:eastAsia="zh-CN"/>
              </w:rPr>
              <w:t>，</w:t>
            </w:r>
            <w:r>
              <w:rPr>
                <w:rFonts w:hint="eastAsia" w:ascii="宋体" w:hAnsi="宋体" w:eastAsia="宋体" w:cs="宋体"/>
                <w:color w:val="auto"/>
                <w:sz w:val="22"/>
                <w:szCs w:val="28"/>
                <w:highlight w:val="none"/>
              </w:rPr>
              <w:t>高通滤波（LPF）:20-10000Hz</w:t>
            </w:r>
          </w:p>
          <w:p w14:paraId="55A46E7A">
            <w:pPr>
              <w:pStyle w:val="60"/>
              <w:numPr>
                <w:ilvl w:val="1"/>
                <w:numId w:val="0"/>
              </w:numPr>
              <w:spacing w:line="276" w:lineRule="auto"/>
              <w:ind w:left="992" w:leftChars="0" w:hanging="567" w:firstLineChars="0"/>
              <w:rPr>
                <w:rFonts w:hint="eastAsia" w:ascii="宋体" w:hAnsi="宋体" w:eastAsia="宋体" w:cs="宋体"/>
                <w:color w:val="auto"/>
                <w:sz w:val="22"/>
                <w:szCs w:val="28"/>
                <w:highlight w:val="none"/>
              </w:rPr>
            </w:pPr>
            <w:r>
              <w:rPr>
                <w:rFonts w:hint="eastAsia" w:ascii="宋体" w:hAnsi="宋体" w:eastAsia="宋体" w:cs="宋体"/>
                <w:color w:val="auto"/>
                <w:kern w:val="2"/>
                <w:sz w:val="22"/>
                <w:szCs w:val="28"/>
                <w:highlight w:val="none"/>
                <w:lang w:val="en-US" w:eastAsia="zh-CN" w:bidi="ar-SA"/>
              </w:rPr>
              <w:t>5.3</w:t>
            </w:r>
            <w:r>
              <w:rPr>
                <w:rFonts w:hint="eastAsia" w:ascii="宋体" w:hAnsi="宋体" w:eastAsia="宋体" w:cs="宋体"/>
                <w:color w:val="auto"/>
                <w:sz w:val="22"/>
                <w:szCs w:val="28"/>
                <w:highlight w:val="none"/>
              </w:rPr>
              <w:t>A/D转换：≥16bit</w:t>
            </w:r>
          </w:p>
          <w:p w14:paraId="4B33EBCD">
            <w:pPr>
              <w:pStyle w:val="60"/>
              <w:numPr>
                <w:ilvl w:val="1"/>
                <w:numId w:val="0"/>
              </w:numPr>
              <w:spacing w:line="276" w:lineRule="auto"/>
              <w:ind w:left="992" w:leftChars="0" w:hanging="567" w:firstLineChars="0"/>
              <w:rPr>
                <w:rFonts w:hint="eastAsia" w:ascii="宋体" w:hAnsi="宋体" w:eastAsia="宋体" w:cs="宋体"/>
                <w:color w:val="auto"/>
                <w:sz w:val="22"/>
                <w:szCs w:val="28"/>
                <w:highlight w:val="none"/>
              </w:rPr>
            </w:pPr>
            <w:r>
              <w:rPr>
                <w:rFonts w:hint="eastAsia" w:ascii="宋体" w:hAnsi="宋体" w:eastAsia="宋体" w:cs="宋体"/>
                <w:color w:val="auto"/>
                <w:kern w:val="2"/>
                <w:sz w:val="22"/>
                <w:szCs w:val="28"/>
                <w:highlight w:val="none"/>
                <w:lang w:val="en-US" w:eastAsia="zh-CN" w:bidi="ar-SA"/>
              </w:rPr>
              <w:t>5.4</w:t>
            </w:r>
            <w:r>
              <w:rPr>
                <w:rFonts w:hint="eastAsia" w:ascii="宋体" w:hAnsi="宋体" w:eastAsia="宋体" w:cs="宋体"/>
                <w:color w:val="auto"/>
                <w:sz w:val="22"/>
                <w:szCs w:val="28"/>
                <w:highlight w:val="none"/>
              </w:rPr>
              <w:t>共模抑制比：≥100dB</w:t>
            </w:r>
          </w:p>
          <w:p w14:paraId="5C8F9F2D">
            <w:pPr>
              <w:pStyle w:val="60"/>
              <w:numPr>
                <w:ilvl w:val="1"/>
                <w:numId w:val="0"/>
              </w:numPr>
              <w:spacing w:line="276" w:lineRule="auto"/>
              <w:ind w:left="992" w:leftChars="0" w:hanging="567" w:firstLineChars="0"/>
              <w:rPr>
                <w:rFonts w:hint="eastAsia" w:ascii="宋体" w:hAnsi="宋体" w:eastAsia="宋体" w:cs="宋体"/>
                <w:color w:val="auto"/>
                <w:sz w:val="22"/>
                <w:szCs w:val="28"/>
                <w:highlight w:val="none"/>
              </w:rPr>
            </w:pPr>
            <w:r>
              <w:rPr>
                <w:rFonts w:hint="eastAsia" w:ascii="宋体" w:hAnsi="宋体" w:eastAsia="宋体" w:cs="宋体"/>
                <w:color w:val="auto"/>
                <w:kern w:val="2"/>
                <w:sz w:val="22"/>
                <w:szCs w:val="28"/>
                <w:highlight w:val="none"/>
                <w:lang w:val="en-US" w:eastAsia="zh-CN" w:bidi="ar-SA"/>
              </w:rPr>
              <w:t>5.5</w:t>
            </w:r>
            <w:r>
              <w:rPr>
                <w:rFonts w:hint="eastAsia" w:ascii="宋体" w:hAnsi="宋体" w:eastAsia="宋体" w:cs="宋体"/>
                <w:color w:val="auto"/>
                <w:sz w:val="22"/>
                <w:szCs w:val="28"/>
                <w:highlight w:val="none"/>
              </w:rPr>
              <w:t>输入阻抗：≥1000MΩ</w:t>
            </w:r>
          </w:p>
          <w:p w14:paraId="4EF1AC84">
            <w:pPr>
              <w:numPr>
                <w:ilvl w:val="1"/>
                <w:numId w:val="0"/>
              </w:numPr>
              <w:ind w:left="992" w:leftChars="0" w:hanging="567" w:firstLineChars="0"/>
              <w:rPr>
                <w:rFonts w:hint="eastAsia" w:ascii="宋体" w:hAnsi="宋体" w:eastAsia="宋体" w:cs="宋体"/>
                <w:color w:val="auto"/>
                <w:sz w:val="22"/>
                <w:szCs w:val="28"/>
                <w:highlight w:val="none"/>
              </w:rPr>
            </w:pPr>
            <w:r>
              <w:rPr>
                <w:rFonts w:hint="eastAsia" w:ascii="宋体" w:hAnsi="宋体" w:eastAsia="宋体" w:cs="宋体"/>
                <w:color w:val="auto"/>
                <w:kern w:val="2"/>
                <w:sz w:val="22"/>
                <w:szCs w:val="28"/>
                <w:highlight w:val="none"/>
                <w:lang w:val="en-US" w:eastAsia="zh-CN" w:bidi="ar-SA"/>
              </w:rPr>
              <w:t>5.6</w:t>
            </w:r>
            <w:r>
              <w:rPr>
                <w:rFonts w:hint="eastAsia" w:ascii="宋体" w:hAnsi="宋体" w:eastAsia="宋体" w:cs="宋体"/>
                <w:color w:val="auto"/>
                <w:sz w:val="22"/>
                <w:szCs w:val="28"/>
                <w:highlight w:val="none"/>
              </w:rPr>
              <w:t>噪声水平均方根：≤0.5μV</w:t>
            </w:r>
          </w:p>
          <w:p w14:paraId="75660B08">
            <w:pPr>
              <w:pStyle w:val="60"/>
              <w:numPr>
                <w:ilvl w:val="1"/>
                <w:numId w:val="0"/>
              </w:numPr>
              <w:spacing w:line="276" w:lineRule="auto"/>
              <w:ind w:left="992" w:leftChars="0" w:hanging="567" w:firstLineChars="0"/>
              <w:rPr>
                <w:rFonts w:hint="eastAsia" w:ascii="宋体" w:hAnsi="宋体" w:eastAsia="宋体" w:cs="宋体"/>
                <w:color w:val="auto"/>
                <w:sz w:val="22"/>
                <w:szCs w:val="28"/>
                <w:highlight w:val="none"/>
              </w:rPr>
            </w:pPr>
            <w:r>
              <w:rPr>
                <w:rFonts w:hint="eastAsia" w:ascii="宋体" w:hAnsi="宋体" w:eastAsia="宋体" w:cs="宋体"/>
                <w:color w:val="auto"/>
                <w:kern w:val="2"/>
                <w:sz w:val="22"/>
                <w:szCs w:val="28"/>
                <w:highlight w:val="none"/>
                <w:lang w:val="en-US" w:eastAsia="zh-CN" w:bidi="ar-SA"/>
              </w:rPr>
              <w:t>5.7</w:t>
            </w:r>
            <w:r>
              <w:rPr>
                <w:rFonts w:hint="eastAsia" w:ascii="宋体" w:hAnsi="宋体" w:eastAsia="宋体" w:cs="宋体"/>
                <w:color w:val="auto"/>
                <w:sz w:val="22"/>
                <w:szCs w:val="28"/>
                <w:highlight w:val="none"/>
              </w:rPr>
              <w:t>AC滤波：50Hz，60Hz切换</w:t>
            </w:r>
          </w:p>
          <w:p w14:paraId="783CA1DD">
            <w:pPr>
              <w:pStyle w:val="60"/>
              <w:numPr>
                <w:ilvl w:val="1"/>
                <w:numId w:val="0"/>
              </w:numPr>
              <w:spacing w:line="276" w:lineRule="auto"/>
              <w:ind w:left="992" w:leftChars="0" w:hanging="567" w:firstLineChars="0"/>
              <w:rPr>
                <w:rFonts w:hint="eastAsia" w:ascii="宋体" w:hAnsi="宋体" w:eastAsia="宋体" w:cs="宋体"/>
                <w:color w:val="auto"/>
                <w:sz w:val="22"/>
                <w:szCs w:val="28"/>
                <w:highlight w:val="none"/>
              </w:rPr>
            </w:pPr>
            <w:r>
              <w:rPr>
                <w:rFonts w:hint="eastAsia" w:ascii="宋体" w:hAnsi="宋体" w:eastAsia="宋体" w:cs="宋体"/>
                <w:color w:val="auto"/>
                <w:kern w:val="2"/>
                <w:sz w:val="22"/>
                <w:szCs w:val="28"/>
                <w:highlight w:val="none"/>
                <w:lang w:val="en-US" w:eastAsia="zh-CN" w:bidi="ar-SA"/>
              </w:rPr>
              <w:t>5.8</w:t>
            </w:r>
            <w:r>
              <w:rPr>
                <w:rFonts w:hint="eastAsia" w:ascii="宋体" w:hAnsi="宋体" w:eastAsia="宋体" w:cs="宋体"/>
                <w:color w:val="auto"/>
                <w:sz w:val="22"/>
                <w:szCs w:val="28"/>
                <w:highlight w:val="none"/>
              </w:rPr>
              <w:t>差模输入阻抗 ＞5MΩ</w:t>
            </w:r>
          </w:p>
          <w:p w14:paraId="0CE0C9E9">
            <w:pPr>
              <w:pStyle w:val="60"/>
              <w:numPr>
                <w:ilvl w:val="1"/>
                <w:numId w:val="0"/>
              </w:numPr>
              <w:spacing w:line="276" w:lineRule="auto"/>
              <w:ind w:left="992" w:leftChars="0" w:hanging="567" w:firstLineChars="0"/>
              <w:rPr>
                <w:rFonts w:hint="eastAsia" w:ascii="宋体" w:hAnsi="宋体" w:eastAsia="宋体" w:cs="宋体"/>
                <w:color w:val="auto"/>
                <w:sz w:val="22"/>
                <w:szCs w:val="28"/>
                <w:highlight w:val="none"/>
              </w:rPr>
            </w:pPr>
            <w:r>
              <w:rPr>
                <w:rFonts w:hint="eastAsia" w:ascii="宋体" w:hAnsi="宋体" w:eastAsia="宋体" w:cs="宋体"/>
                <w:color w:val="auto"/>
                <w:kern w:val="2"/>
                <w:sz w:val="22"/>
                <w:szCs w:val="28"/>
                <w:highlight w:val="none"/>
                <w:lang w:val="en-US" w:eastAsia="zh-CN" w:bidi="ar-SA"/>
              </w:rPr>
              <w:t>5.9</w:t>
            </w:r>
            <w:r>
              <w:rPr>
                <w:rFonts w:hint="eastAsia" w:ascii="宋体" w:hAnsi="宋体" w:eastAsia="宋体" w:cs="宋体"/>
                <w:color w:val="auto"/>
                <w:sz w:val="22"/>
                <w:szCs w:val="28"/>
                <w:highlight w:val="none"/>
              </w:rPr>
              <w:t>采集通道：</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8"/>
                <w:highlight w:val="none"/>
              </w:rPr>
              <w:t>2通道，≥2对 touch-proof 通道。</w:t>
            </w:r>
          </w:p>
          <w:p w14:paraId="246EF0F1">
            <w:pPr>
              <w:pStyle w:val="60"/>
              <w:numPr>
                <w:ilvl w:val="1"/>
                <w:numId w:val="0"/>
              </w:numPr>
              <w:spacing w:line="276" w:lineRule="auto"/>
              <w:ind w:left="992" w:leftChars="0" w:hanging="567" w:firstLineChars="0"/>
              <w:rPr>
                <w:rFonts w:hint="eastAsia" w:ascii="宋体" w:hAnsi="宋体" w:eastAsia="宋体" w:cs="宋体"/>
                <w:color w:val="auto"/>
                <w:sz w:val="22"/>
                <w:szCs w:val="28"/>
                <w:highlight w:val="none"/>
              </w:rPr>
            </w:pPr>
            <w:r>
              <w:rPr>
                <w:rFonts w:hint="eastAsia" w:ascii="宋体" w:hAnsi="宋体" w:eastAsia="宋体" w:cs="宋体"/>
                <w:color w:val="auto"/>
                <w:kern w:val="2"/>
                <w:sz w:val="22"/>
                <w:szCs w:val="28"/>
                <w:highlight w:val="none"/>
                <w:lang w:val="en-US" w:eastAsia="zh-CN" w:bidi="ar-SA"/>
              </w:rPr>
              <w:t>5.10</w:t>
            </w:r>
            <w:r>
              <w:rPr>
                <w:rFonts w:hint="eastAsia" w:ascii="宋体" w:hAnsi="宋体" w:eastAsia="宋体" w:cs="宋体"/>
                <w:color w:val="auto"/>
                <w:sz w:val="22"/>
                <w:szCs w:val="28"/>
                <w:highlight w:val="none"/>
              </w:rPr>
              <w:t>刺激通道：具备视觉、听觉和电刺激通道。</w:t>
            </w:r>
          </w:p>
          <w:p w14:paraId="5FD4E733">
            <w:pPr>
              <w:pStyle w:val="60"/>
              <w:numPr>
                <w:ilvl w:val="1"/>
                <w:numId w:val="0"/>
              </w:numPr>
              <w:spacing w:line="276" w:lineRule="auto"/>
              <w:ind w:left="992" w:leftChars="0" w:hanging="567" w:firstLineChars="0"/>
              <w:rPr>
                <w:rFonts w:hint="eastAsia" w:ascii="宋体" w:hAnsi="宋体" w:eastAsia="宋体" w:cs="宋体"/>
                <w:color w:val="auto"/>
                <w:sz w:val="22"/>
                <w:szCs w:val="28"/>
                <w:highlight w:val="none"/>
              </w:rPr>
            </w:pPr>
            <w:r>
              <w:rPr>
                <w:rFonts w:hint="eastAsia" w:ascii="宋体" w:hAnsi="宋体" w:eastAsia="宋体" w:cs="宋体"/>
                <w:color w:val="auto"/>
                <w:kern w:val="2"/>
                <w:sz w:val="22"/>
                <w:szCs w:val="28"/>
                <w:highlight w:val="none"/>
                <w:lang w:val="en-US" w:eastAsia="zh-CN" w:bidi="ar-SA"/>
              </w:rPr>
              <w:t>5.11</w:t>
            </w:r>
            <w:r>
              <w:rPr>
                <w:rFonts w:hint="eastAsia" w:ascii="宋体" w:hAnsi="宋体" w:eastAsia="宋体" w:cs="宋体"/>
                <w:color w:val="auto"/>
                <w:sz w:val="22"/>
                <w:szCs w:val="28"/>
                <w:highlight w:val="none"/>
              </w:rPr>
              <w:t>一体化</w:t>
            </w:r>
            <w:r>
              <w:rPr>
                <w:rFonts w:hint="eastAsia" w:ascii="宋体" w:hAnsi="宋体" w:eastAsia="宋体" w:cs="宋体"/>
                <w:color w:val="auto"/>
                <w:sz w:val="22"/>
                <w:szCs w:val="28"/>
                <w:highlight w:val="none"/>
                <w:lang w:val="en-US" w:eastAsia="zh-CN"/>
              </w:rPr>
              <w:t>的</w:t>
            </w:r>
            <w:r>
              <w:rPr>
                <w:rFonts w:hint="eastAsia" w:ascii="宋体" w:hAnsi="宋体" w:eastAsia="宋体" w:cs="宋体"/>
                <w:color w:val="auto"/>
                <w:sz w:val="22"/>
                <w:szCs w:val="28"/>
                <w:highlight w:val="none"/>
              </w:rPr>
              <w:t>放大器采集通道、刺激器通道和操作键盘</w:t>
            </w:r>
            <w:r>
              <w:rPr>
                <w:rFonts w:hint="eastAsia" w:ascii="宋体" w:hAnsi="宋体" w:eastAsia="宋体" w:cs="宋体"/>
                <w:color w:val="auto"/>
                <w:sz w:val="22"/>
                <w:szCs w:val="28"/>
                <w:highlight w:val="none"/>
                <w:lang w:eastAsia="zh-CN"/>
              </w:rPr>
              <w:t>，</w:t>
            </w:r>
            <w:r>
              <w:rPr>
                <w:rFonts w:hint="eastAsia" w:ascii="宋体" w:hAnsi="宋体" w:eastAsia="宋体" w:cs="宋体"/>
                <w:color w:val="auto"/>
                <w:sz w:val="22"/>
                <w:szCs w:val="28"/>
                <w:highlight w:val="none"/>
              </w:rPr>
              <w:t>放大器内置操作键盘可</w:t>
            </w:r>
            <w:r>
              <w:rPr>
                <w:rFonts w:hint="eastAsia" w:ascii="宋体" w:hAnsi="宋体" w:eastAsia="宋体" w:cs="宋体"/>
                <w:color w:val="auto"/>
                <w:sz w:val="22"/>
                <w:szCs w:val="28"/>
                <w:highlight w:val="none"/>
                <w:lang w:val="en-US" w:eastAsia="zh-CN"/>
              </w:rPr>
              <w:t>实现</w:t>
            </w:r>
            <w:r>
              <w:rPr>
                <w:rFonts w:hint="eastAsia" w:ascii="宋体" w:hAnsi="宋体" w:eastAsia="宋体" w:cs="宋体"/>
                <w:color w:val="auto"/>
                <w:sz w:val="22"/>
                <w:szCs w:val="28"/>
                <w:highlight w:val="none"/>
              </w:rPr>
              <w:t>单刺激和重复刺激，删除，确认，监测，灵敏度和扫描速度，切换轨迹和移动标记，强度调节、阻抗测试按钮/阻抗分级调节</w:t>
            </w:r>
            <w:r>
              <w:rPr>
                <w:rFonts w:hint="eastAsia" w:ascii="宋体" w:hAnsi="宋体" w:eastAsia="宋体" w:cs="宋体"/>
                <w:color w:val="auto"/>
                <w:sz w:val="22"/>
                <w:szCs w:val="28"/>
                <w:highlight w:val="none"/>
                <w:lang w:val="en-US" w:eastAsia="zh-CN"/>
              </w:rPr>
              <w:t>等</w:t>
            </w:r>
            <w:r>
              <w:rPr>
                <w:rFonts w:hint="eastAsia" w:ascii="宋体" w:hAnsi="宋体" w:eastAsia="宋体" w:cs="宋体"/>
                <w:color w:val="auto"/>
                <w:sz w:val="22"/>
                <w:szCs w:val="28"/>
                <w:highlight w:val="none"/>
              </w:rPr>
              <w:t>功能；无需连接电脑可独立完成多种肌电图、诱发电位检查所有功能操作</w:t>
            </w:r>
          </w:p>
          <w:p w14:paraId="6BEFDD0B">
            <w:pPr>
              <w:pStyle w:val="60"/>
              <w:numPr>
                <w:ilvl w:val="1"/>
                <w:numId w:val="0"/>
              </w:numPr>
              <w:spacing w:line="276" w:lineRule="auto"/>
              <w:ind w:left="992" w:leftChars="0" w:hanging="567" w:firstLineChars="0"/>
              <w:rPr>
                <w:rFonts w:hint="eastAsia" w:ascii="宋体" w:hAnsi="宋体" w:eastAsia="宋体" w:cs="宋体"/>
                <w:color w:val="auto"/>
                <w:sz w:val="22"/>
                <w:szCs w:val="28"/>
                <w:highlight w:val="none"/>
              </w:rPr>
            </w:pPr>
            <w:r>
              <w:rPr>
                <w:rFonts w:hint="eastAsia" w:ascii="宋体" w:hAnsi="宋体" w:eastAsia="宋体" w:cs="宋体"/>
                <w:color w:val="auto"/>
                <w:kern w:val="2"/>
                <w:sz w:val="22"/>
                <w:szCs w:val="28"/>
                <w:highlight w:val="none"/>
                <w:lang w:val="en-US" w:eastAsia="zh-CN" w:bidi="ar-SA"/>
              </w:rPr>
              <w:t>5.12</w:t>
            </w:r>
            <w:r>
              <w:rPr>
                <w:rFonts w:hint="eastAsia" w:ascii="宋体" w:hAnsi="宋体" w:eastAsia="宋体" w:cs="宋体"/>
                <w:color w:val="auto"/>
                <w:sz w:val="22"/>
                <w:szCs w:val="28"/>
                <w:highlight w:val="none"/>
              </w:rPr>
              <w:t>通过USB直接连接磁刺激治疗系统，直流供电与传输，信号稳定，无需屏蔽室和铺设专用地线，采集信号稳定无干扰,评估精准。</w:t>
            </w:r>
          </w:p>
          <w:p w14:paraId="1D8B5D29">
            <w:pPr>
              <w:pStyle w:val="60"/>
              <w:numPr>
                <w:ilvl w:val="1"/>
                <w:numId w:val="0"/>
              </w:numPr>
              <w:spacing w:line="276" w:lineRule="auto"/>
              <w:ind w:left="992" w:leftChars="0" w:hanging="567" w:firstLineChars="0"/>
              <w:rPr>
                <w:rFonts w:hint="eastAsia" w:ascii="宋体" w:hAnsi="宋体" w:eastAsia="宋体" w:cs="宋体"/>
                <w:color w:val="auto"/>
                <w:sz w:val="22"/>
                <w:szCs w:val="28"/>
                <w:highlight w:val="none"/>
              </w:rPr>
            </w:pPr>
            <w:r>
              <w:rPr>
                <w:rFonts w:hint="eastAsia" w:ascii="宋体" w:hAnsi="宋体" w:eastAsia="宋体" w:cs="宋体"/>
                <w:color w:val="auto"/>
                <w:kern w:val="2"/>
                <w:sz w:val="22"/>
                <w:szCs w:val="28"/>
                <w:highlight w:val="none"/>
                <w:lang w:val="en-US" w:eastAsia="zh-CN" w:bidi="ar-SA"/>
              </w:rPr>
              <w:t>5.13</w:t>
            </w:r>
            <w:r>
              <w:rPr>
                <w:rFonts w:hint="eastAsia" w:ascii="宋体" w:hAnsi="宋体" w:eastAsia="宋体" w:cs="宋体"/>
                <w:color w:val="auto"/>
                <w:sz w:val="22"/>
                <w:szCs w:val="28"/>
                <w:highlight w:val="none"/>
              </w:rPr>
              <w:t>结合磁刺激可实现运动诱发电位，运动阈值自动检测，募集曲线，皮层静息期，静息期曲线，运动中枢传导时间，磁刺激重频刺激，运动诱发电位变异，成对刺激，三重刺激，电磁关联刺激等</w:t>
            </w:r>
          </w:p>
          <w:p w14:paraId="20280CC1">
            <w:pPr>
              <w:pStyle w:val="64"/>
              <w:numPr>
                <w:ilvl w:val="0"/>
                <w:numId w:val="0"/>
              </w:numPr>
              <w:ind w:left="425" w:left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6、</w:t>
            </w:r>
            <w:r>
              <w:rPr>
                <w:rFonts w:hint="eastAsia" w:ascii="宋体" w:hAnsi="宋体" w:eastAsia="宋体" w:cs="宋体"/>
                <w:color w:val="auto"/>
                <w:sz w:val="22"/>
                <w:szCs w:val="22"/>
                <w:highlight w:val="none"/>
              </w:rPr>
              <w:t>设备使用期限≧8年。</w:t>
            </w:r>
          </w:p>
          <w:p w14:paraId="14DDB927">
            <w:pPr>
              <w:jc w:val="center"/>
              <w:rPr>
                <w:rFonts w:asciiTheme="minorEastAsia" w:hAnsiTheme="minorEastAsia" w:eastAsiaTheme="minorEastAsia"/>
                <w:color w:val="auto"/>
                <w:sz w:val="24"/>
                <w:highlight w:val="none"/>
              </w:rPr>
            </w:pPr>
          </w:p>
        </w:tc>
        <w:tc>
          <w:tcPr>
            <w:tcW w:w="1456" w:type="pct"/>
            <w:vAlign w:val="center"/>
          </w:tcPr>
          <w:p w14:paraId="2F6648C5">
            <w:pPr>
              <w:jc w:val="center"/>
              <w:rPr>
                <w:rFonts w:asciiTheme="minorEastAsia" w:hAnsiTheme="minorEastAsia" w:eastAsiaTheme="minorEastAsia"/>
                <w:color w:val="auto"/>
                <w:sz w:val="24"/>
                <w:highlight w:val="none"/>
              </w:rPr>
            </w:pPr>
          </w:p>
        </w:tc>
        <w:tc>
          <w:tcPr>
            <w:tcW w:w="502" w:type="pct"/>
            <w:vAlign w:val="center"/>
          </w:tcPr>
          <w:p w14:paraId="22E3CC90">
            <w:pPr>
              <w:jc w:val="center"/>
              <w:rPr>
                <w:rFonts w:asciiTheme="minorEastAsia" w:hAnsiTheme="minorEastAsia" w:eastAsiaTheme="minorEastAsia"/>
                <w:color w:val="auto"/>
                <w:sz w:val="24"/>
                <w:highlight w:val="none"/>
              </w:rPr>
            </w:pPr>
          </w:p>
        </w:tc>
      </w:tr>
    </w:tbl>
    <w:p w14:paraId="5312F405">
      <w:pPr>
        <w:spacing w:line="360" w:lineRule="auto"/>
        <w:ind w:firstLine="4800" w:firstLineChars="2000"/>
        <w:rPr>
          <w:rFonts w:hint="eastAsia" w:ascii="宋体" w:hAnsi="宋体" w:eastAsia="宋体"/>
          <w:color w:val="auto"/>
          <w:sz w:val="24"/>
          <w:highlight w:val="none"/>
        </w:rPr>
      </w:pPr>
    </w:p>
    <w:p w14:paraId="6F5A257D">
      <w:pPr>
        <w:keepNext w:val="0"/>
        <w:keepLines w:val="0"/>
        <w:pageBreakBefore w:val="0"/>
        <w:widowControl w:val="0"/>
        <w:kinsoku/>
        <w:wordWrap w:val="0"/>
        <w:overflowPunct/>
        <w:bidi w:val="0"/>
        <w:spacing w:line="360" w:lineRule="auto"/>
        <w:rPr>
          <w:rFonts w:hint="default" w:ascii="Times New Roman" w:hAnsi="Times New Roman" w:eastAsia="仿宋" w:cs="Times New Roman"/>
          <w:color w:val="auto"/>
          <w:highlight w:val="none"/>
        </w:rPr>
      </w:pPr>
      <w:r>
        <w:rPr>
          <w:rFonts w:hint="eastAsia" w:ascii="Times New Roman" w:hAnsi="Times New Roman" w:eastAsia="仿宋" w:cs="Times New Roman"/>
          <w:b/>
          <w:color w:val="auto"/>
          <w:highlight w:val="none"/>
          <w:lang w:val="en-US" w:eastAsia="zh-CN"/>
        </w:rPr>
        <w:t>偏离说明：</w:t>
      </w:r>
      <w:r>
        <w:rPr>
          <w:rFonts w:hint="default" w:ascii="Times New Roman" w:hAnsi="Times New Roman" w:eastAsia="仿宋" w:cs="Times New Roman"/>
          <w:b/>
          <w:color w:val="auto"/>
          <w:highlight w:val="none"/>
        </w:rPr>
        <w:t>“符合”指与招标文件要求一致</w:t>
      </w:r>
      <w:r>
        <w:rPr>
          <w:rFonts w:hint="eastAsia" w:ascii="Times New Roman" w:hAnsi="Times New Roman" w:eastAsia="仿宋" w:cs="Times New Roman"/>
          <w:b/>
          <w:color w:val="auto"/>
          <w:highlight w:val="none"/>
          <w:lang w:eastAsia="zh-CN"/>
        </w:rPr>
        <w:t>；</w:t>
      </w:r>
      <w:r>
        <w:rPr>
          <w:rFonts w:hint="default" w:ascii="Times New Roman" w:hAnsi="Times New Roman" w:eastAsia="仿宋" w:cs="Times New Roman"/>
          <w:b/>
          <w:color w:val="auto"/>
          <w:highlight w:val="none"/>
        </w:rPr>
        <w:t>“正偏离”指优于招标文件要求；“负偏离”指低于招标文件要求</w:t>
      </w:r>
      <w:r>
        <w:rPr>
          <w:rFonts w:hint="eastAsia" w:ascii="Times New Roman" w:hAnsi="Times New Roman" w:eastAsia="仿宋" w:cs="Times New Roman"/>
          <w:b/>
          <w:color w:val="auto"/>
          <w:highlight w:val="none"/>
          <w:lang w:eastAsia="zh-CN"/>
        </w:rPr>
        <w:t>。</w:t>
      </w:r>
      <w:r>
        <w:rPr>
          <w:rFonts w:hint="default" w:ascii="Times New Roman" w:hAnsi="Times New Roman" w:eastAsia="仿宋" w:cs="Times New Roman"/>
          <w:b/>
          <w:color w:val="auto"/>
          <w:highlight w:val="none"/>
        </w:rPr>
        <w:t>供应商根据项目实际填写，自行调整。</w:t>
      </w:r>
    </w:p>
    <w:p w14:paraId="354A70C4">
      <w:pPr>
        <w:spacing w:line="360" w:lineRule="auto"/>
        <w:rPr>
          <w:rFonts w:hint="eastAsia" w:ascii="宋体" w:hAnsi="宋体" w:eastAsia="宋体"/>
          <w:color w:val="auto"/>
          <w:sz w:val="24"/>
          <w:highlight w:val="none"/>
        </w:rPr>
      </w:pPr>
    </w:p>
    <w:p w14:paraId="0E9060BC">
      <w:pPr>
        <w:spacing w:line="360" w:lineRule="auto"/>
        <w:ind w:firstLine="4800" w:firstLineChars="2000"/>
        <w:rPr>
          <w:rFonts w:hint="eastAsia" w:ascii="宋体" w:hAnsi="宋体" w:eastAsia="宋体"/>
          <w:color w:val="auto"/>
          <w:sz w:val="24"/>
          <w:highlight w:val="none"/>
        </w:rPr>
      </w:pPr>
    </w:p>
    <w:p w14:paraId="25FDEC3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4A6B6792">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180D7F4F">
      <w:pPr>
        <w:pStyle w:val="12"/>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6E1E6CC2">
      <w:pPr>
        <w:spacing w:line="360" w:lineRule="auto"/>
        <w:jc w:val="center"/>
        <w:outlineLvl w:val="1"/>
        <w:rPr>
          <w:rFonts w:hint="default" w:asciiTheme="minorEastAsia" w:hAnsiTheme="minorEastAsia" w:eastAsiaTheme="minorEastAsia"/>
          <w:b/>
          <w:color w:val="auto"/>
          <w:sz w:val="24"/>
          <w:highlight w:val="none"/>
          <w:lang w:val="en-US"/>
        </w:rPr>
      </w:pPr>
      <w:bookmarkStart w:id="69" w:name="_Toc25337"/>
      <w:bookmarkStart w:id="70" w:name="_Toc457768004"/>
      <w:bookmarkStart w:id="71" w:name="_Toc520299348"/>
      <w:bookmarkStart w:id="72" w:name="_Toc300210382"/>
      <w:bookmarkStart w:id="73" w:name="_Toc26536"/>
      <w:bookmarkStart w:id="74" w:name="_Toc25813"/>
      <w:bookmarkStart w:id="75" w:name="_Hlk11701496"/>
      <w:r>
        <w:rPr>
          <w:rFonts w:hint="eastAsia" w:asciiTheme="minorEastAsia" w:hAnsiTheme="minorEastAsia" w:eastAsiaTheme="minorEastAsia"/>
          <w:b/>
          <w:color w:val="auto"/>
          <w:sz w:val="24"/>
          <w:highlight w:val="none"/>
          <w:lang w:val="en-US" w:eastAsia="zh-CN"/>
        </w:rPr>
        <w:t>七、供应商资格声明书</w:t>
      </w:r>
      <w:bookmarkEnd w:id="69"/>
      <w:r>
        <w:rPr>
          <w:rFonts w:hint="eastAsia" w:asciiTheme="minorEastAsia" w:hAnsiTheme="minorEastAsia" w:eastAsiaTheme="minorEastAsia"/>
          <w:b/>
          <w:color w:val="auto"/>
          <w:sz w:val="24"/>
          <w:highlight w:val="none"/>
          <w:lang w:val="en-US" w:eastAsia="zh-CN"/>
        </w:rPr>
        <w:t xml:space="preserve"> （承诺函)</w:t>
      </w:r>
    </w:p>
    <w:p w14:paraId="20B4AF61">
      <w:pPr>
        <w:pStyle w:val="12"/>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none"/>
          <w:lang w:eastAsia="zh-CN"/>
        </w:rPr>
        <w:t>采购人</w:t>
      </w:r>
    </w:p>
    <w:p w14:paraId="11CAFC60">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我公司郑重承诺：我公司完全响应《中华人民共和国政府采购法》第二十二条以及下列内容：</w:t>
      </w:r>
    </w:p>
    <w:p w14:paraId="4D42C5C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1.1具有独立承担民事责任的能力；</w:t>
      </w:r>
    </w:p>
    <w:p w14:paraId="1507397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1.2具有良好的商业信誉和健全的财务会计制度；</w:t>
      </w:r>
    </w:p>
    <w:p w14:paraId="0EE43B3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1.3具有履行合同所必需的设备和专业技术能力；</w:t>
      </w:r>
    </w:p>
    <w:p w14:paraId="5A0A271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1.4有依法缴纳税收和社会保障资金的良好记录；</w:t>
      </w:r>
    </w:p>
    <w:p w14:paraId="77A8A54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1.5参加本采购活动前三年内，在经营活动中没有重大违法记录；</w:t>
      </w:r>
    </w:p>
    <w:p w14:paraId="4AF34B64">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1.6法律、行政法规规定的其他条件。</w:t>
      </w:r>
    </w:p>
    <w:p w14:paraId="756181E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lang w:val="en-US" w:eastAsia="zh-CN"/>
        </w:rPr>
        <w:t>未</w:t>
      </w:r>
      <w:r>
        <w:rPr>
          <w:rFonts w:hint="eastAsia" w:asciiTheme="minorEastAsia" w:hAnsiTheme="minorEastAsia" w:eastAsiaTheme="minorEastAsia"/>
          <w:color w:val="auto"/>
          <w:sz w:val="24"/>
          <w:highlight w:val="none"/>
        </w:rPr>
        <w:t>被人民法院列入失信被执行人；</w:t>
      </w:r>
    </w:p>
    <w:p w14:paraId="3959731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2.2</w:t>
      </w:r>
      <w:r>
        <w:rPr>
          <w:rFonts w:hint="eastAsia" w:asciiTheme="minorEastAsia" w:hAnsiTheme="minorEastAsia" w:eastAsiaTheme="minorEastAsia"/>
          <w:color w:val="auto"/>
          <w:sz w:val="24"/>
          <w:highlight w:val="none"/>
        </w:rPr>
        <w:t>供应商或其法定代表人或拟派项目经理（项目负责人）</w:t>
      </w:r>
      <w:r>
        <w:rPr>
          <w:rFonts w:hint="eastAsia" w:asciiTheme="minorEastAsia" w:hAnsiTheme="minorEastAsia" w:eastAsiaTheme="minorEastAsia"/>
          <w:color w:val="auto"/>
          <w:sz w:val="24"/>
          <w:highlight w:val="none"/>
          <w:lang w:val="en-US" w:eastAsia="zh-CN"/>
        </w:rPr>
        <w:t>未</w:t>
      </w:r>
      <w:r>
        <w:rPr>
          <w:rFonts w:hint="eastAsia" w:asciiTheme="minorEastAsia" w:hAnsiTheme="minorEastAsia" w:eastAsiaTheme="minorEastAsia"/>
          <w:color w:val="auto"/>
          <w:sz w:val="24"/>
          <w:highlight w:val="none"/>
        </w:rPr>
        <w:t>被列入行贿犯罪档案；</w:t>
      </w:r>
    </w:p>
    <w:p w14:paraId="57E5CFF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lang w:val="en-US" w:eastAsia="zh-CN"/>
        </w:rPr>
        <w:t>未</w:t>
      </w:r>
      <w:r>
        <w:rPr>
          <w:rFonts w:hint="eastAsia" w:asciiTheme="minorEastAsia" w:hAnsiTheme="minorEastAsia" w:eastAsiaTheme="minorEastAsia"/>
          <w:color w:val="auto"/>
          <w:sz w:val="24"/>
          <w:highlight w:val="none"/>
        </w:rPr>
        <w:t>被市场监督管理局列入企业经营异常名录；</w:t>
      </w:r>
    </w:p>
    <w:p w14:paraId="5766DEE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2.4</w:t>
      </w:r>
      <w:r>
        <w:rPr>
          <w:rFonts w:hint="eastAsia"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lang w:val="en-US" w:eastAsia="zh-CN"/>
        </w:rPr>
        <w:t>未</w:t>
      </w:r>
      <w:r>
        <w:rPr>
          <w:rFonts w:hint="eastAsia" w:asciiTheme="minorEastAsia" w:hAnsiTheme="minorEastAsia" w:eastAsiaTheme="minorEastAsia"/>
          <w:color w:val="auto"/>
          <w:sz w:val="24"/>
          <w:highlight w:val="none"/>
        </w:rPr>
        <w:t>被税务部门列入重大税收违法案件当事人名单；</w:t>
      </w:r>
    </w:p>
    <w:p w14:paraId="3C93A87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lang w:val="en-US" w:eastAsia="zh-CN"/>
        </w:rPr>
        <w:t>未</w:t>
      </w:r>
      <w:r>
        <w:rPr>
          <w:rFonts w:hint="eastAsia" w:asciiTheme="minorEastAsia" w:hAnsiTheme="minorEastAsia" w:eastAsiaTheme="minorEastAsia"/>
          <w:color w:val="auto"/>
          <w:sz w:val="24"/>
          <w:highlight w:val="none"/>
        </w:rPr>
        <w:t>被政府采购监管部门列入政府采购严重违法失信行为记录名单。</w:t>
      </w:r>
    </w:p>
    <w:p w14:paraId="185EEAF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3.本项目</w:t>
      </w:r>
      <w:r>
        <w:rPr>
          <w:rFonts w:hint="eastAsia" w:asciiTheme="minorEastAsia" w:hAnsiTheme="minorEastAsia" w:eastAsiaTheme="minorEastAsia"/>
          <w:color w:val="auto"/>
          <w:sz w:val="24"/>
          <w:highlight w:val="none"/>
          <w:lang w:val="en-US" w:eastAsia="zh-CN"/>
        </w:rPr>
        <w:t>为非</w:t>
      </w:r>
      <w:r>
        <w:rPr>
          <w:rFonts w:hint="eastAsia" w:asciiTheme="minorEastAsia" w:hAnsiTheme="minorEastAsia" w:eastAsiaTheme="minorEastAsia"/>
          <w:color w:val="auto"/>
          <w:sz w:val="24"/>
          <w:highlight w:val="none"/>
        </w:rPr>
        <w:t>联合体投标。</w:t>
      </w:r>
    </w:p>
    <w:p w14:paraId="612D063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我公司</w:t>
      </w:r>
      <w:r>
        <w:rPr>
          <w:rFonts w:hint="eastAsia" w:asciiTheme="minorEastAsia" w:hAnsiTheme="minorEastAsia" w:eastAsiaTheme="minorEastAsia"/>
          <w:color w:val="auto"/>
          <w:sz w:val="24"/>
          <w:highlight w:val="none"/>
        </w:rPr>
        <w:t>确保自己在投标文件中提交的信息及技术真实、准确。否则，投标人因此蒙受损失，采购人概不负责。</w:t>
      </w:r>
    </w:p>
    <w:p w14:paraId="52F2DCF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5.本项目不得转包或分包。</w:t>
      </w:r>
    </w:p>
    <w:p w14:paraId="63CEC4C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hint="eastAsia" w:ascii="宋体" w:hAnsi="宋体" w:eastAsia="宋体"/>
          <w:color w:val="auto"/>
          <w:sz w:val="24"/>
          <w:highlight w:val="none"/>
        </w:rPr>
        <w:t>所投设备为自合同签订之日起（进口产品前后六个月，国内产品前后三个月）生产的最新产品</w:t>
      </w:r>
      <w:r>
        <w:rPr>
          <w:rFonts w:hint="eastAsia" w:asciiTheme="minorEastAsia" w:hAnsiTheme="minorEastAsia" w:eastAsiaTheme="minorEastAsia"/>
          <w:color w:val="auto"/>
          <w:sz w:val="24"/>
          <w:highlight w:val="none"/>
        </w:rPr>
        <w:t>。</w:t>
      </w:r>
    </w:p>
    <w:p w14:paraId="56BF281E">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7.所投产品不含专机专用耗材，如有专机专用耗材终身免费提供使用</w:t>
      </w:r>
      <w:r>
        <w:rPr>
          <w:rFonts w:hint="eastAsia" w:asciiTheme="minorEastAsia" w:hAnsiTheme="minorEastAsia" w:eastAsiaTheme="minorEastAsia"/>
          <w:color w:val="auto"/>
          <w:sz w:val="24"/>
          <w:highlight w:val="none"/>
          <w:lang w:eastAsia="zh-CN"/>
        </w:rPr>
        <w:t>。</w:t>
      </w:r>
    </w:p>
    <w:p w14:paraId="2174D400">
      <w:pPr>
        <w:spacing w:line="360" w:lineRule="auto"/>
        <w:ind w:firstLine="435"/>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8.我公司完全响应招标文件第三章 采购需求&lt;三&gt;报价要求和&lt;四&gt;其他要求中的所有条款。</w:t>
      </w:r>
    </w:p>
    <w:p w14:paraId="1CCA69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71CE2196">
      <w:pPr>
        <w:spacing w:line="360" w:lineRule="auto"/>
        <w:ind w:firstLine="480" w:firstLineChars="200"/>
        <w:jc w:val="both"/>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特此承诺！</w:t>
      </w:r>
    </w:p>
    <w:p w14:paraId="4F41F7C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2652F45A">
      <w:pPr>
        <w:spacing w:line="360" w:lineRule="auto"/>
        <w:ind w:firstLine="4800" w:firstLineChars="2000"/>
        <w:rPr>
          <w:rFonts w:hint="default" w:ascii="宋体" w:hAnsi="宋体" w:eastAsia="宋体"/>
          <w:color w:val="auto"/>
          <w:sz w:val="24"/>
          <w:highlight w:val="none"/>
          <w:lang w:val="en-US" w:eastAsia="zh-CN"/>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p>
    <w:p w14:paraId="6DC91BFF">
      <w:pPr>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p w14:paraId="40DF3B3A">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八、</w:t>
      </w:r>
      <w:bookmarkEnd w:id="70"/>
      <w:bookmarkEnd w:id="71"/>
      <w:bookmarkEnd w:id="72"/>
      <w:r>
        <w:rPr>
          <w:rFonts w:hint="eastAsia" w:asciiTheme="minorEastAsia" w:hAnsiTheme="minorEastAsia" w:eastAsiaTheme="minorEastAsia"/>
          <w:b/>
          <w:color w:val="auto"/>
          <w:sz w:val="24"/>
          <w:highlight w:val="none"/>
          <w:lang w:val="en-US" w:eastAsia="zh-CN"/>
        </w:rPr>
        <w:t>诚信履约承诺函</w:t>
      </w:r>
      <w:bookmarkEnd w:id="73"/>
      <w:bookmarkEnd w:id="74"/>
    </w:p>
    <w:p w14:paraId="0E258856">
      <w:pPr>
        <w:spacing w:line="360" w:lineRule="auto"/>
        <w:rPr>
          <w:rFonts w:asciiTheme="minorEastAsia" w:hAnsiTheme="minorEastAsia" w:eastAsiaTheme="minorEastAsia"/>
          <w:b/>
          <w:bCs/>
          <w:color w:val="auto"/>
          <w:sz w:val="24"/>
          <w:highlight w:val="none"/>
        </w:rPr>
      </w:pPr>
    </w:p>
    <w:p w14:paraId="5D73717C">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27EDFBF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如我单位被确定为本项目中标人，我单位承诺在合同签订及履约过程中将严格执行本项目采购文件中关于合同签订及履约的相关规定，不出现以下情形：</w:t>
      </w:r>
    </w:p>
    <w:p w14:paraId="6E7E46E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（1）中标或者成交后无正当理由拒不与采购人签订采购合同；</w:t>
      </w:r>
    </w:p>
    <w:p w14:paraId="76248F6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（2）未按照采购文件确定的事项签订采购合同；</w:t>
      </w:r>
    </w:p>
    <w:p w14:paraId="25FEE32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（3）将采购合同转包；</w:t>
      </w:r>
    </w:p>
    <w:p w14:paraId="29A0347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50B24E4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（5）擅自变更、中止或者终止采购合同。</w:t>
      </w:r>
    </w:p>
    <w:p w14:paraId="32AAE4B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采购活动，有违法所得的，并处没收违法所得，情节严重的，由工商行政管理机关吊销营业执照；构成犯罪的，依法追究刑事责任。</w:t>
      </w:r>
    </w:p>
    <w:p w14:paraId="030B2D9C">
      <w:pPr>
        <w:spacing w:line="360" w:lineRule="auto"/>
        <w:rPr>
          <w:rFonts w:asciiTheme="minorEastAsia" w:hAnsiTheme="minorEastAsia" w:eastAsiaTheme="minorEastAsia"/>
          <w:bCs/>
          <w:color w:val="auto"/>
          <w:sz w:val="24"/>
          <w:highlight w:val="none"/>
        </w:rPr>
      </w:pPr>
    </w:p>
    <w:p w14:paraId="3FC54976">
      <w:pPr>
        <w:spacing w:line="360" w:lineRule="auto"/>
        <w:rPr>
          <w:rFonts w:asciiTheme="minorEastAsia" w:hAnsiTheme="minorEastAsia" w:eastAsiaTheme="minorEastAsia"/>
          <w:bCs/>
          <w:color w:val="auto"/>
          <w:sz w:val="24"/>
          <w:highlight w:val="none"/>
        </w:rPr>
      </w:pPr>
    </w:p>
    <w:p w14:paraId="032B6DC0">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219D177E">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45FE8DAB">
      <w:pPr>
        <w:widowControl/>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75"/>
    <w:p w14:paraId="0E2B6030">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76" w:name="_Toc2683"/>
      <w:bookmarkStart w:id="77" w:name="_Toc32633"/>
      <w:r>
        <w:rPr>
          <w:rFonts w:hint="eastAsia" w:asciiTheme="minorEastAsia" w:hAnsiTheme="minorEastAsia" w:eastAsiaTheme="minorEastAsia"/>
          <w:b/>
          <w:color w:val="auto"/>
          <w:sz w:val="24"/>
          <w:highlight w:val="none"/>
          <w:lang w:val="en-US" w:eastAsia="zh-CN"/>
        </w:rPr>
        <w:t>九、其他相关证明材料</w:t>
      </w:r>
      <w:bookmarkEnd w:id="76"/>
      <w:bookmarkEnd w:id="77"/>
    </w:p>
    <w:p w14:paraId="48C537D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732DA80E">
      <w:pPr>
        <w:spacing w:line="360" w:lineRule="auto"/>
        <w:ind w:firstLine="480" w:firstLineChars="200"/>
        <w:rPr>
          <w:rFonts w:asciiTheme="minorEastAsia" w:hAnsiTheme="minorEastAsia" w:eastAsiaTheme="minorEastAsia"/>
          <w:color w:val="auto"/>
          <w:sz w:val="24"/>
          <w:highlight w:val="none"/>
        </w:rPr>
      </w:pPr>
    </w:p>
    <w:p w14:paraId="0EF54B81">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6D0C074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承诺函</w:t>
      </w:r>
      <w:r>
        <w:rPr>
          <w:rFonts w:asciiTheme="minorEastAsia" w:hAnsiTheme="minorEastAsia" w:eastAsiaTheme="minorEastAsia"/>
          <w:color w:val="auto"/>
          <w:sz w:val="24"/>
          <w:highlight w:val="none"/>
        </w:rPr>
        <w:t>等，应将上述证明材料制作成扫描件上传。</w:t>
      </w:r>
    </w:p>
    <w:p w14:paraId="1BAB6A4B">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4E44E95B">
      <w:pPr>
        <w:spacing w:line="360" w:lineRule="auto"/>
        <w:jc w:val="center"/>
        <w:outlineLvl w:val="0"/>
        <w:rPr>
          <w:rFonts w:ascii="宋体" w:hAnsi="宋体" w:eastAsia="宋体"/>
          <w:b/>
          <w:bCs/>
          <w:color w:val="auto"/>
          <w:sz w:val="28"/>
          <w:highlight w:val="none"/>
        </w:rPr>
      </w:pPr>
      <w:bookmarkStart w:id="78" w:name="_Toc6435"/>
      <w:bookmarkStart w:id="79" w:name="_Toc18131"/>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宋体" w:hAnsi="宋体" w:eastAsia="宋体"/>
          <w:b/>
          <w:bCs/>
          <w:color w:val="auto"/>
          <w:sz w:val="28"/>
          <w:highlight w:val="none"/>
        </w:rPr>
        <w:t xml:space="preserve">  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78"/>
      <w:bookmarkEnd w:id="79"/>
    </w:p>
    <w:p w14:paraId="7A40B900">
      <w:pPr>
        <w:spacing w:line="360" w:lineRule="auto"/>
        <w:jc w:val="center"/>
        <w:outlineLvl w:val="1"/>
        <w:rPr>
          <w:rFonts w:ascii="仿宋" w:hAnsi="仿宋" w:eastAsia="仿宋" w:cs="仿宋"/>
          <w:b/>
          <w:bCs/>
          <w:color w:val="auto"/>
          <w:sz w:val="32"/>
          <w:szCs w:val="44"/>
          <w:highlight w:val="none"/>
        </w:rPr>
      </w:pPr>
      <w:bookmarkStart w:id="80" w:name="_Toc27489"/>
      <w:bookmarkStart w:id="81" w:name="_Toc27159"/>
      <w:r>
        <w:rPr>
          <w:rFonts w:hint="eastAsia" w:ascii="仿宋" w:hAnsi="仿宋" w:eastAsia="仿宋" w:cs="仿宋"/>
          <w:b/>
          <w:bCs/>
          <w:color w:val="auto"/>
          <w:sz w:val="32"/>
          <w:szCs w:val="44"/>
          <w:highlight w:val="none"/>
        </w:rPr>
        <w:t>询问函范本</w:t>
      </w:r>
      <w:bookmarkEnd w:id="80"/>
      <w:bookmarkEnd w:id="81"/>
    </w:p>
    <w:p w14:paraId="6CE43A10">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2AF82789">
      <w:pPr>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7828A08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3123B7C">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82" w:name="_Toc13899"/>
      <w:r>
        <w:rPr>
          <w:rFonts w:hint="eastAsia" w:cs="仿宋" w:asciiTheme="minorEastAsia" w:hAnsiTheme="minorEastAsia" w:eastAsiaTheme="minorEastAsia"/>
          <w:color w:val="auto"/>
          <w:sz w:val="24"/>
          <w:szCs w:val="24"/>
          <w:highlight w:val="none"/>
        </w:rPr>
        <w:t>一、(事项一)</w:t>
      </w:r>
      <w:bookmarkEnd w:id="82"/>
    </w:p>
    <w:p w14:paraId="1819F101">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75CF52F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131742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BFB1D19">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83" w:name="_Toc3352"/>
      <w:r>
        <w:rPr>
          <w:rFonts w:hint="eastAsia" w:cs="仿宋" w:asciiTheme="minorEastAsia" w:hAnsiTheme="minorEastAsia" w:eastAsiaTheme="minorEastAsia"/>
          <w:color w:val="auto"/>
          <w:sz w:val="24"/>
          <w:szCs w:val="24"/>
          <w:highlight w:val="none"/>
        </w:rPr>
        <w:t>二、(事项二)</w:t>
      </w:r>
      <w:bookmarkEnd w:id="83"/>
    </w:p>
    <w:p w14:paraId="0B8BB9E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D5B281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4C1AC0F0">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67B9DFB">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5BE75B5B">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71388629">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0199CB6E">
      <w:pPr>
        <w:jc w:val="center"/>
        <w:outlineLvl w:val="1"/>
        <w:rPr>
          <w:rFonts w:ascii="仿宋" w:hAnsi="仿宋" w:eastAsia="仿宋" w:cs="仿宋"/>
          <w:b/>
          <w:bCs/>
          <w:color w:val="auto"/>
          <w:sz w:val="32"/>
          <w:szCs w:val="44"/>
          <w:highlight w:val="none"/>
        </w:rPr>
      </w:pPr>
      <w:bookmarkStart w:id="84" w:name="_Toc1575"/>
      <w:bookmarkStart w:id="85" w:name="_Toc3245"/>
      <w:r>
        <w:rPr>
          <w:rFonts w:hint="eastAsia" w:ascii="仿宋" w:hAnsi="仿宋" w:eastAsia="仿宋" w:cs="仿宋"/>
          <w:b/>
          <w:bCs/>
          <w:color w:val="auto"/>
          <w:sz w:val="32"/>
          <w:szCs w:val="44"/>
          <w:highlight w:val="none"/>
        </w:rPr>
        <w:t>质疑函范本</w:t>
      </w:r>
      <w:bookmarkEnd w:id="84"/>
      <w:bookmarkEnd w:id="85"/>
    </w:p>
    <w:p w14:paraId="5906BD0D">
      <w:pPr>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86" w:name="_Toc21381"/>
      <w:r>
        <w:rPr>
          <w:rFonts w:hint="eastAsia" w:cs="仿宋" w:asciiTheme="minorEastAsia" w:hAnsiTheme="minorEastAsia" w:eastAsiaTheme="minorEastAsia"/>
          <w:b/>
          <w:bCs/>
          <w:color w:val="auto"/>
          <w:sz w:val="24"/>
          <w:szCs w:val="24"/>
          <w:highlight w:val="none"/>
        </w:rPr>
        <w:t>一、质疑供应商基本信息</w:t>
      </w:r>
      <w:bookmarkEnd w:id="86"/>
    </w:p>
    <w:p w14:paraId="6804775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0D9EA64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E5CB7F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4B1510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0E96A2A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562081D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D320F33">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87" w:name="_Toc28415"/>
      <w:r>
        <w:rPr>
          <w:rFonts w:hint="eastAsia" w:cs="仿宋" w:asciiTheme="minorEastAsia" w:hAnsiTheme="minorEastAsia" w:eastAsiaTheme="minorEastAsia"/>
          <w:b/>
          <w:bCs/>
          <w:color w:val="auto"/>
          <w:sz w:val="24"/>
          <w:szCs w:val="24"/>
          <w:highlight w:val="none"/>
        </w:rPr>
        <w:t>二、质疑项目基本情况</w:t>
      </w:r>
      <w:bookmarkEnd w:id="87"/>
    </w:p>
    <w:p w14:paraId="2860C14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502647A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15DBDEA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2D0895B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50ED8362">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88" w:name="_Toc19014"/>
      <w:r>
        <w:rPr>
          <w:rFonts w:hint="eastAsia" w:cs="仿宋" w:asciiTheme="minorEastAsia" w:hAnsiTheme="minorEastAsia" w:eastAsiaTheme="minorEastAsia"/>
          <w:b/>
          <w:bCs/>
          <w:color w:val="auto"/>
          <w:sz w:val="24"/>
          <w:szCs w:val="24"/>
          <w:highlight w:val="none"/>
        </w:rPr>
        <w:t>三、质疑事项具体内容</w:t>
      </w:r>
      <w:bookmarkEnd w:id="88"/>
    </w:p>
    <w:p w14:paraId="7A46C70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68D20E3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00C0267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0E2259F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B034B4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7785DD7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562F223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4CD7DF7">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89" w:name="_Toc17919"/>
      <w:r>
        <w:rPr>
          <w:rFonts w:hint="eastAsia" w:cs="仿宋" w:asciiTheme="minorEastAsia" w:hAnsiTheme="minorEastAsia" w:eastAsiaTheme="minorEastAsia"/>
          <w:b/>
          <w:bCs/>
          <w:color w:val="auto"/>
          <w:sz w:val="24"/>
          <w:szCs w:val="24"/>
          <w:highlight w:val="none"/>
        </w:rPr>
        <w:t>四、与质疑事项相关的质疑请求</w:t>
      </w:r>
      <w:bookmarkEnd w:id="89"/>
    </w:p>
    <w:p w14:paraId="18CD4FC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75373188">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066F4DAB">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4D174E90">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1CC46BFA">
      <w:pPr>
        <w:outlineLvl w:val="0"/>
        <w:rPr>
          <w:rFonts w:asciiTheme="minorEastAsia" w:hAnsiTheme="minorEastAsia" w:eastAsiaTheme="minorEastAsia"/>
          <w:b/>
          <w:color w:val="auto"/>
          <w:sz w:val="28"/>
          <w:szCs w:val="32"/>
          <w:highlight w:val="none"/>
        </w:rPr>
      </w:pPr>
      <w:bookmarkStart w:id="90" w:name="_Toc9754"/>
      <w:bookmarkStart w:id="91" w:name="_Toc26836"/>
      <w:r>
        <w:rPr>
          <w:rFonts w:hint="eastAsia" w:asciiTheme="minorEastAsia" w:hAnsiTheme="minorEastAsia" w:eastAsiaTheme="minorEastAsia"/>
          <w:b/>
          <w:color w:val="auto"/>
          <w:sz w:val="28"/>
          <w:szCs w:val="32"/>
          <w:highlight w:val="none"/>
        </w:rPr>
        <w:t>质疑函制作说明：</w:t>
      </w:r>
      <w:bookmarkEnd w:id="90"/>
      <w:bookmarkEnd w:id="91"/>
    </w:p>
    <w:p w14:paraId="72184C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1FEB50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658EA3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33684A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42446CC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186B405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bookmarkEnd w:id="92"/>
    <w:sectPr>
      <w:headerReference r:id="rId4" w:type="default"/>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Cambria">
    <w:panose1 w:val="02040503050406030204"/>
    <w:charset w:val="00"/>
    <w:family w:val="roman"/>
    <w:pitch w:val="default"/>
    <w:sig w:usb0="E00002FF" w:usb1="400004FF" w:usb2="00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panose1 w:val="02020509000000000000"/>
    <w:charset w:val="88"/>
    <w:family w:val="modern"/>
    <w:pitch w:val="default"/>
    <w:sig w:usb0="A00002FF" w:usb1="28CFFCFA" w:usb2="00000016" w:usb3="00000000" w:csb0="00100001" w:csb1="00000000"/>
  </w:font>
  <w:font w:name="华文楷体">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12001">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4AE03D">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71</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F4AE03D">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71</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37FE3">
    <w:pPr>
      <w:pStyle w:val="1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F25B2D">
                          <w:pPr>
                            <w:pStyle w:val="14"/>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5F25B2D">
                    <w:pPr>
                      <w:pStyle w:val="14"/>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5F213">
    <w:pPr>
      <w:pStyle w:val="15"/>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FFEFC674"/>
    <w:multiLevelType w:val="singleLevel"/>
    <w:tmpl w:val="FFEFC674"/>
    <w:lvl w:ilvl="0" w:tentative="0">
      <w:start w:val="1"/>
      <w:numFmt w:val="decimal"/>
      <w:suff w:val="nothing"/>
      <w:lvlText w:val="（%1）"/>
      <w:lvlJc w:val="left"/>
    </w:lvl>
  </w:abstractNum>
  <w:abstractNum w:abstractNumId="6">
    <w:nsid w:val="490F7AF6"/>
    <w:multiLevelType w:val="multilevel"/>
    <w:tmpl w:val="490F7AF6"/>
    <w:lvl w:ilvl="0" w:tentative="0">
      <w:start w:val="1"/>
      <w:numFmt w:val="decimal"/>
      <w:lvlText w:val="%1."/>
      <w:lvlJc w:val="left"/>
      <w:pPr>
        <w:ind w:left="420" w:hanging="420"/>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
    <w:nsid w:val="7A0F6431"/>
    <w:multiLevelType w:val="singleLevel"/>
    <w:tmpl w:val="7A0F6431"/>
    <w:lvl w:ilvl="0" w:tentative="0">
      <w:start w:val="1"/>
      <w:numFmt w:val="decimal"/>
      <w:suff w:val="space"/>
      <w:lvlText w:val="%1."/>
      <w:lvlJc w:val="left"/>
    </w:lvl>
  </w:abstractNum>
  <w:num w:numId="1">
    <w:abstractNumId w:val="6"/>
  </w:num>
  <w:num w:numId="2">
    <w:abstractNumId w:val="7"/>
  </w:num>
  <w:num w:numId="3">
    <w:abstractNumId w:val="1"/>
  </w:num>
  <w:num w:numId="4">
    <w:abstractNumId w:val="5"/>
  </w:num>
  <w:num w:numId="5">
    <w:abstractNumId w:val="3"/>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7B1BF9"/>
    <w:rsid w:val="01E93A1B"/>
    <w:rsid w:val="0214602E"/>
    <w:rsid w:val="03486B27"/>
    <w:rsid w:val="040A094E"/>
    <w:rsid w:val="056F201D"/>
    <w:rsid w:val="05B664D4"/>
    <w:rsid w:val="064B485A"/>
    <w:rsid w:val="068C65C4"/>
    <w:rsid w:val="07076C01"/>
    <w:rsid w:val="071C12AC"/>
    <w:rsid w:val="074D5D8F"/>
    <w:rsid w:val="07A934B3"/>
    <w:rsid w:val="07C66F31"/>
    <w:rsid w:val="07EB6287"/>
    <w:rsid w:val="0806421B"/>
    <w:rsid w:val="0980799C"/>
    <w:rsid w:val="09944B8E"/>
    <w:rsid w:val="0A6A18DB"/>
    <w:rsid w:val="0A975B48"/>
    <w:rsid w:val="0AEF3828"/>
    <w:rsid w:val="0AFB5144"/>
    <w:rsid w:val="0B406381"/>
    <w:rsid w:val="0BB452AA"/>
    <w:rsid w:val="0BBB665B"/>
    <w:rsid w:val="0EEA6FC1"/>
    <w:rsid w:val="0F663B9D"/>
    <w:rsid w:val="0F790928"/>
    <w:rsid w:val="10CD72BB"/>
    <w:rsid w:val="11372EB7"/>
    <w:rsid w:val="12197477"/>
    <w:rsid w:val="131B5CD3"/>
    <w:rsid w:val="13776448"/>
    <w:rsid w:val="13D12A99"/>
    <w:rsid w:val="1466407E"/>
    <w:rsid w:val="14834E28"/>
    <w:rsid w:val="148E7D65"/>
    <w:rsid w:val="15231BF9"/>
    <w:rsid w:val="15AA7DDD"/>
    <w:rsid w:val="15C4546D"/>
    <w:rsid w:val="15E52C78"/>
    <w:rsid w:val="16044950"/>
    <w:rsid w:val="163A2888"/>
    <w:rsid w:val="17451C21"/>
    <w:rsid w:val="1A064976"/>
    <w:rsid w:val="1A3B68AA"/>
    <w:rsid w:val="1A3E1C1E"/>
    <w:rsid w:val="1B6F4F40"/>
    <w:rsid w:val="1C141836"/>
    <w:rsid w:val="1C76537D"/>
    <w:rsid w:val="1E6B6A14"/>
    <w:rsid w:val="2001516D"/>
    <w:rsid w:val="201D417F"/>
    <w:rsid w:val="20550D9A"/>
    <w:rsid w:val="208E3C09"/>
    <w:rsid w:val="218E2416"/>
    <w:rsid w:val="226915FE"/>
    <w:rsid w:val="228C2C29"/>
    <w:rsid w:val="229273EC"/>
    <w:rsid w:val="235E7690"/>
    <w:rsid w:val="23BC656D"/>
    <w:rsid w:val="241804A5"/>
    <w:rsid w:val="24B97929"/>
    <w:rsid w:val="24D632D7"/>
    <w:rsid w:val="25CC175F"/>
    <w:rsid w:val="26583EBF"/>
    <w:rsid w:val="27D65DBA"/>
    <w:rsid w:val="285F40CA"/>
    <w:rsid w:val="289E1AF0"/>
    <w:rsid w:val="28C01ECB"/>
    <w:rsid w:val="29BF71E3"/>
    <w:rsid w:val="29D6387F"/>
    <w:rsid w:val="2A127B63"/>
    <w:rsid w:val="2A451A6C"/>
    <w:rsid w:val="2AAA4765"/>
    <w:rsid w:val="2AC21606"/>
    <w:rsid w:val="2AD63D42"/>
    <w:rsid w:val="2B794137"/>
    <w:rsid w:val="2B7E7608"/>
    <w:rsid w:val="2B7F04E9"/>
    <w:rsid w:val="2B8B554A"/>
    <w:rsid w:val="2B9B5E5B"/>
    <w:rsid w:val="2CE13D42"/>
    <w:rsid w:val="2D356AEB"/>
    <w:rsid w:val="2D496D68"/>
    <w:rsid w:val="2D6A0110"/>
    <w:rsid w:val="2E746BC1"/>
    <w:rsid w:val="2E7A48DE"/>
    <w:rsid w:val="2EBA5177"/>
    <w:rsid w:val="2EDC3ED8"/>
    <w:rsid w:val="2F104B00"/>
    <w:rsid w:val="2F6351B4"/>
    <w:rsid w:val="2FC86126"/>
    <w:rsid w:val="2FCF199E"/>
    <w:rsid w:val="30483E83"/>
    <w:rsid w:val="30B359F5"/>
    <w:rsid w:val="30BF3991"/>
    <w:rsid w:val="3111619A"/>
    <w:rsid w:val="319775DB"/>
    <w:rsid w:val="31B139DC"/>
    <w:rsid w:val="31B76A0B"/>
    <w:rsid w:val="32497AF3"/>
    <w:rsid w:val="32D216CC"/>
    <w:rsid w:val="33380434"/>
    <w:rsid w:val="343C0775"/>
    <w:rsid w:val="356C50EC"/>
    <w:rsid w:val="36137E45"/>
    <w:rsid w:val="36376E0A"/>
    <w:rsid w:val="3700166C"/>
    <w:rsid w:val="379A1012"/>
    <w:rsid w:val="38694EE9"/>
    <w:rsid w:val="391D3E4B"/>
    <w:rsid w:val="3A6818FA"/>
    <w:rsid w:val="3A8B353F"/>
    <w:rsid w:val="3B365CC9"/>
    <w:rsid w:val="3B9A7B88"/>
    <w:rsid w:val="3C1E28BD"/>
    <w:rsid w:val="3D2C7AC8"/>
    <w:rsid w:val="3D855D12"/>
    <w:rsid w:val="3D8B42FF"/>
    <w:rsid w:val="3DE86C4C"/>
    <w:rsid w:val="3DF36A6E"/>
    <w:rsid w:val="3E3E5FBB"/>
    <w:rsid w:val="3E592F2B"/>
    <w:rsid w:val="3EBA1EE9"/>
    <w:rsid w:val="3F792F1E"/>
    <w:rsid w:val="40824826"/>
    <w:rsid w:val="40E63923"/>
    <w:rsid w:val="428F1739"/>
    <w:rsid w:val="43A91E5B"/>
    <w:rsid w:val="449E0D39"/>
    <w:rsid w:val="459070D4"/>
    <w:rsid w:val="45A73923"/>
    <w:rsid w:val="45E32B26"/>
    <w:rsid w:val="46007B61"/>
    <w:rsid w:val="463A3650"/>
    <w:rsid w:val="46461627"/>
    <w:rsid w:val="469F0116"/>
    <w:rsid w:val="475259B7"/>
    <w:rsid w:val="488302AE"/>
    <w:rsid w:val="48831CF9"/>
    <w:rsid w:val="49024C9C"/>
    <w:rsid w:val="49B1408D"/>
    <w:rsid w:val="4A7D4C52"/>
    <w:rsid w:val="4A7D4FD2"/>
    <w:rsid w:val="4A913C9A"/>
    <w:rsid w:val="4B1F70AC"/>
    <w:rsid w:val="4B240F94"/>
    <w:rsid w:val="4BD765E4"/>
    <w:rsid w:val="4C0832E5"/>
    <w:rsid w:val="4C3C565C"/>
    <w:rsid w:val="4CCC79C7"/>
    <w:rsid w:val="4D3D322C"/>
    <w:rsid w:val="4D7555C7"/>
    <w:rsid w:val="4DD52FF7"/>
    <w:rsid w:val="4EAE6DA0"/>
    <w:rsid w:val="4FA26F09"/>
    <w:rsid w:val="4FE617D9"/>
    <w:rsid w:val="5016514B"/>
    <w:rsid w:val="509E5922"/>
    <w:rsid w:val="50BD4DF3"/>
    <w:rsid w:val="50FC1A26"/>
    <w:rsid w:val="51723664"/>
    <w:rsid w:val="51CB1C78"/>
    <w:rsid w:val="51FD6A51"/>
    <w:rsid w:val="526B680A"/>
    <w:rsid w:val="52836F71"/>
    <w:rsid w:val="528F1756"/>
    <w:rsid w:val="52D26B02"/>
    <w:rsid w:val="541A5D30"/>
    <w:rsid w:val="557B651E"/>
    <w:rsid w:val="55C1559C"/>
    <w:rsid w:val="55F068CD"/>
    <w:rsid w:val="566C3136"/>
    <w:rsid w:val="568D04F2"/>
    <w:rsid w:val="57EE14D2"/>
    <w:rsid w:val="5A526582"/>
    <w:rsid w:val="5A5F5C77"/>
    <w:rsid w:val="5A711A0D"/>
    <w:rsid w:val="5B1613E4"/>
    <w:rsid w:val="5B78003B"/>
    <w:rsid w:val="5BC11A60"/>
    <w:rsid w:val="5C7A4D54"/>
    <w:rsid w:val="5CD23B73"/>
    <w:rsid w:val="5D635F29"/>
    <w:rsid w:val="5F127819"/>
    <w:rsid w:val="60350ED3"/>
    <w:rsid w:val="608345A4"/>
    <w:rsid w:val="60B72AEE"/>
    <w:rsid w:val="61025188"/>
    <w:rsid w:val="61057D5F"/>
    <w:rsid w:val="6126068F"/>
    <w:rsid w:val="614D4977"/>
    <w:rsid w:val="62A52B40"/>
    <w:rsid w:val="62FD1A73"/>
    <w:rsid w:val="63C60FC0"/>
    <w:rsid w:val="64BA3D7A"/>
    <w:rsid w:val="64F179BC"/>
    <w:rsid w:val="65AB66C0"/>
    <w:rsid w:val="662B5A52"/>
    <w:rsid w:val="665704D3"/>
    <w:rsid w:val="671A2856"/>
    <w:rsid w:val="67C065A4"/>
    <w:rsid w:val="67D359C9"/>
    <w:rsid w:val="68042537"/>
    <w:rsid w:val="68FE36DD"/>
    <w:rsid w:val="6942733B"/>
    <w:rsid w:val="694E60FC"/>
    <w:rsid w:val="69E95A08"/>
    <w:rsid w:val="6A256904"/>
    <w:rsid w:val="6A49294B"/>
    <w:rsid w:val="6B656832"/>
    <w:rsid w:val="6C675CE6"/>
    <w:rsid w:val="6D4F4321"/>
    <w:rsid w:val="6DF41B82"/>
    <w:rsid w:val="6DFF7360"/>
    <w:rsid w:val="6E7A5F73"/>
    <w:rsid w:val="6E873A42"/>
    <w:rsid w:val="6EE90F9D"/>
    <w:rsid w:val="6FD74228"/>
    <w:rsid w:val="7021106F"/>
    <w:rsid w:val="71633091"/>
    <w:rsid w:val="72BE2135"/>
    <w:rsid w:val="72E25DA2"/>
    <w:rsid w:val="73081CA5"/>
    <w:rsid w:val="74201F7D"/>
    <w:rsid w:val="7487762D"/>
    <w:rsid w:val="74C33AA4"/>
    <w:rsid w:val="75210D7A"/>
    <w:rsid w:val="75385498"/>
    <w:rsid w:val="75F37776"/>
    <w:rsid w:val="76BC207F"/>
    <w:rsid w:val="76EB4904"/>
    <w:rsid w:val="77237793"/>
    <w:rsid w:val="77645DCD"/>
    <w:rsid w:val="777378F5"/>
    <w:rsid w:val="777A2D3C"/>
    <w:rsid w:val="78474930"/>
    <w:rsid w:val="79074B81"/>
    <w:rsid w:val="794F0939"/>
    <w:rsid w:val="79AF0FCA"/>
    <w:rsid w:val="7AF9279C"/>
    <w:rsid w:val="7BCD2D08"/>
    <w:rsid w:val="7CC51958"/>
    <w:rsid w:val="7CD53DF9"/>
    <w:rsid w:val="7D097C86"/>
    <w:rsid w:val="7DB639FC"/>
    <w:rsid w:val="7E0C7AC0"/>
    <w:rsid w:val="7E2936C3"/>
    <w:rsid w:val="7E6411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3">
    <w:name w:val="heading 1"/>
    <w:basedOn w:val="1"/>
    <w:next w:val="1"/>
    <w:link w:val="46"/>
    <w:autoRedefine/>
    <w:qFormat/>
    <w:uiPriority w:val="9"/>
    <w:pPr>
      <w:keepNext/>
      <w:keepLines/>
      <w:spacing w:before="340" w:after="330" w:line="578" w:lineRule="auto"/>
      <w:outlineLvl w:val="0"/>
    </w:pPr>
    <w:rPr>
      <w:b/>
      <w:bCs/>
      <w:kern w:val="44"/>
      <w:sz w:val="44"/>
      <w:szCs w:val="44"/>
    </w:rPr>
  </w:style>
  <w:style w:type="paragraph" w:styleId="2">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48"/>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3"/>
    <w:autoRedefine/>
    <w:qFormat/>
    <w:uiPriority w:val="0"/>
    <w:pPr>
      <w:keepNext/>
      <w:keepLines/>
      <w:spacing w:before="280" w:after="290" w:line="376" w:lineRule="auto"/>
      <w:outlineLvl w:val="3"/>
    </w:pPr>
    <w:rPr>
      <w:b/>
      <w:bCs/>
      <w:sz w:val="28"/>
      <w:szCs w:val="28"/>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annotation text"/>
    <w:basedOn w:val="1"/>
    <w:link w:val="45"/>
    <w:autoRedefine/>
    <w:qFormat/>
    <w:uiPriority w:val="0"/>
    <w:pPr>
      <w:jc w:val="left"/>
    </w:pPr>
    <w:rPr>
      <w:rFonts w:ascii="Arial" w:hAnsi="Arial" w:eastAsia="黑体" w:cs="Arial"/>
    </w:rPr>
  </w:style>
  <w:style w:type="paragraph" w:styleId="8">
    <w:name w:val="Body Text"/>
    <w:basedOn w:val="1"/>
    <w:autoRedefine/>
    <w:qFormat/>
    <w:uiPriority w:val="0"/>
    <w:pPr>
      <w:spacing w:after="120"/>
    </w:pPr>
    <w:rPr>
      <w:rFonts w:ascii="@微软简标宋" w:hAnsi="@微软简标宋" w:eastAsia="@微软简标宋" w:cs="@微软简标宋"/>
      <w:szCs w:val="24"/>
      <w:lang w:val="zh-CN"/>
    </w:rPr>
  </w:style>
  <w:style w:type="paragraph" w:styleId="9">
    <w:name w:val="Body Text Indent"/>
    <w:basedOn w:val="1"/>
    <w:autoRedefine/>
    <w:qFormat/>
    <w:uiPriority w:val="0"/>
    <w:pPr>
      <w:spacing w:after="120"/>
      <w:ind w:left="420" w:leftChars="200"/>
    </w:pPr>
  </w:style>
  <w:style w:type="paragraph" w:styleId="10">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1">
    <w:name w:val="Plain Text"/>
    <w:basedOn w:val="1"/>
    <w:link w:val="35"/>
    <w:autoRedefine/>
    <w:qFormat/>
    <w:uiPriority w:val="99"/>
    <w:rPr>
      <w:rFonts w:ascii="宋体" w:hAnsi="Courier New" w:eastAsiaTheme="minorEastAsia" w:cstheme="minorBidi"/>
      <w:szCs w:val="22"/>
    </w:rPr>
  </w:style>
  <w:style w:type="paragraph" w:styleId="12">
    <w:name w:val="Date"/>
    <w:basedOn w:val="1"/>
    <w:next w:val="1"/>
    <w:link w:val="42"/>
    <w:autoRedefine/>
    <w:qFormat/>
    <w:uiPriority w:val="0"/>
    <w:rPr>
      <w:rFonts w:ascii="Arial" w:hAnsi="Arial" w:eastAsia="宋体" w:cs="Arial"/>
      <w:b/>
      <w:sz w:val="28"/>
    </w:rPr>
  </w:style>
  <w:style w:type="paragraph" w:styleId="13">
    <w:name w:val="Balloon Text"/>
    <w:basedOn w:val="1"/>
    <w:link w:val="29"/>
    <w:autoRedefine/>
    <w:semiHidden/>
    <w:unhideWhenUsed/>
    <w:qFormat/>
    <w:uiPriority w:val="99"/>
    <w:rPr>
      <w:sz w:val="18"/>
      <w:szCs w:val="18"/>
    </w:rPr>
  </w:style>
  <w:style w:type="paragraph" w:styleId="14">
    <w:name w:val="footer"/>
    <w:basedOn w:val="1"/>
    <w:link w:val="34"/>
    <w:autoRedefine/>
    <w:unhideWhenUsed/>
    <w:qFormat/>
    <w:uiPriority w:val="99"/>
    <w:pPr>
      <w:tabs>
        <w:tab w:val="center" w:pos="4153"/>
        <w:tab w:val="right" w:pos="8306"/>
      </w:tabs>
      <w:snapToGrid w:val="0"/>
      <w:jc w:val="left"/>
    </w:pPr>
    <w:rPr>
      <w:sz w:val="18"/>
      <w:szCs w:val="18"/>
    </w:rPr>
  </w:style>
  <w:style w:type="paragraph" w:styleId="15">
    <w:name w:val="header"/>
    <w:basedOn w:val="1"/>
    <w:link w:val="3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7">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8">
    <w:name w:val="Normal (Web)"/>
    <w:basedOn w:val="1"/>
    <w:autoRedefine/>
    <w:qFormat/>
    <w:uiPriority w:val="0"/>
    <w:pPr>
      <w:spacing w:before="100" w:beforeAutospacing="1" w:after="100" w:afterAutospacing="1"/>
      <w:jc w:val="left"/>
    </w:pPr>
    <w:rPr>
      <w:rFonts w:cs="Times New Roman"/>
      <w:kern w:val="0"/>
      <w:sz w:val="24"/>
    </w:rPr>
  </w:style>
  <w:style w:type="paragraph" w:styleId="19">
    <w:name w:val="index 1"/>
    <w:basedOn w:val="1"/>
    <w:next w:val="1"/>
    <w:autoRedefine/>
    <w:qFormat/>
    <w:uiPriority w:val="0"/>
    <w:pPr>
      <w:jc w:val="center"/>
    </w:pPr>
    <w:rPr>
      <w:rFonts w:ascii="Arial" w:hAnsi="Arial" w:eastAsia="Arial" w:cs="Arial"/>
      <w:b/>
      <w:bCs/>
      <w:sz w:val="28"/>
    </w:rPr>
  </w:style>
  <w:style w:type="paragraph" w:styleId="20">
    <w:name w:val="annotation subject"/>
    <w:basedOn w:val="7"/>
    <w:next w:val="7"/>
    <w:link w:val="56"/>
    <w:autoRedefine/>
    <w:semiHidden/>
    <w:unhideWhenUsed/>
    <w:qFormat/>
    <w:uiPriority w:val="99"/>
    <w:rPr>
      <w:rFonts w:ascii="@仿宋_GB2312" w:hAnsi="@仿宋_GB2312" w:eastAsia="@仿宋_GB2312" w:cs="@仿宋_GB2312"/>
      <w:b/>
      <w:bCs/>
    </w:rPr>
  </w:style>
  <w:style w:type="paragraph" w:styleId="21">
    <w:name w:val="Body Text First Indent"/>
    <w:basedOn w:val="8"/>
    <w:autoRedefine/>
    <w:unhideWhenUsed/>
    <w:qFormat/>
    <w:uiPriority w:val="99"/>
    <w:pPr>
      <w:ind w:firstLine="420" w:firstLineChars="100"/>
    </w:pPr>
  </w:style>
  <w:style w:type="table" w:styleId="23">
    <w:name w:val="Table Grid"/>
    <w:basedOn w:val="22"/>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autoRedefine/>
    <w:qFormat/>
    <w:uiPriority w:val="0"/>
    <w:rPr>
      <w:b/>
      <w:bCs/>
    </w:rPr>
  </w:style>
  <w:style w:type="character" w:styleId="26">
    <w:name w:val="Emphasis"/>
    <w:basedOn w:val="24"/>
    <w:qFormat/>
    <w:uiPriority w:val="0"/>
    <w:rPr>
      <w:i/>
    </w:rPr>
  </w:style>
  <w:style w:type="character" w:styleId="27">
    <w:name w:val="Hyperlink"/>
    <w:basedOn w:val="24"/>
    <w:autoRedefine/>
    <w:unhideWhenUsed/>
    <w:qFormat/>
    <w:uiPriority w:val="99"/>
    <w:rPr>
      <w:color w:val="0000FF" w:themeColor="hyperlink"/>
      <w:u w:val="single"/>
      <w14:textFill>
        <w14:solidFill>
          <w14:schemeClr w14:val="hlink"/>
        </w14:solidFill>
      </w14:textFill>
    </w:rPr>
  </w:style>
  <w:style w:type="character" w:styleId="28">
    <w:name w:val="annotation reference"/>
    <w:basedOn w:val="24"/>
    <w:autoRedefine/>
    <w:semiHidden/>
    <w:unhideWhenUsed/>
    <w:qFormat/>
    <w:uiPriority w:val="99"/>
    <w:rPr>
      <w:sz w:val="21"/>
      <w:szCs w:val="21"/>
    </w:rPr>
  </w:style>
  <w:style w:type="character" w:customStyle="1" w:styleId="29">
    <w:name w:val="批注框文本 Char"/>
    <w:basedOn w:val="24"/>
    <w:link w:val="13"/>
    <w:autoRedefine/>
    <w:semiHidden/>
    <w:qFormat/>
    <w:uiPriority w:val="99"/>
    <w:rPr>
      <w:rFonts w:ascii="@仿宋_GB2312" w:hAnsi="@仿宋_GB2312" w:eastAsia="@仿宋_GB2312" w:cs="@仿宋_GB2312"/>
      <w:sz w:val="18"/>
      <w:szCs w:val="18"/>
    </w:rPr>
  </w:style>
  <w:style w:type="paragraph" w:customStyle="1" w:styleId="30">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31">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32">
    <w:name w:val="D&amp;L"/>
    <w:basedOn w:val="15"/>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3">
    <w:name w:val="页眉 Char"/>
    <w:basedOn w:val="24"/>
    <w:link w:val="15"/>
    <w:autoRedefine/>
    <w:qFormat/>
    <w:uiPriority w:val="99"/>
    <w:rPr>
      <w:rFonts w:ascii="@仿宋_GB2312" w:hAnsi="@仿宋_GB2312" w:eastAsia="@仿宋_GB2312" w:cs="@仿宋_GB2312"/>
      <w:sz w:val="18"/>
      <w:szCs w:val="18"/>
    </w:rPr>
  </w:style>
  <w:style w:type="character" w:customStyle="1" w:styleId="34">
    <w:name w:val="页脚 Char"/>
    <w:basedOn w:val="24"/>
    <w:link w:val="14"/>
    <w:autoRedefine/>
    <w:qFormat/>
    <w:uiPriority w:val="99"/>
    <w:rPr>
      <w:rFonts w:ascii="@仿宋_GB2312" w:hAnsi="@仿宋_GB2312" w:eastAsia="@仿宋_GB2312" w:cs="@仿宋_GB2312"/>
      <w:sz w:val="18"/>
      <w:szCs w:val="18"/>
    </w:rPr>
  </w:style>
  <w:style w:type="character" w:customStyle="1" w:styleId="35">
    <w:name w:val="纯文本 Char"/>
    <w:link w:val="11"/>
    <w:autoRedefine/>
    <w:qFormat/>
    <w:uiPriority w:val="0"/>
    <w:rPr>
      <w:rFonts w:ascii="宋体" w:hAnsi="Courier New"/>
    </w:rPr>
  </w:style>
  <w:style w:type="character" w:customStyle="1" w:styleId="36">
    <w:name w:val="纯文本 字符1"/>
    <w:basedOn w:val="24"/>
    <w:autoRedefine/>
    <w:semiHidden/>
    <w:qFormat/>
    <w:uiPriority w:val="99"/>
    <w:rPr>
      <w:rFonts w:hAnsi="Courier New" w:cs="Courier New" w:asciiTheme="minorEastAsia"/>
      <w:szCs w:val="20"/>
    </w:rPr>
  </w:style>
  <w:style w:type="character" w:customStyle="1" w:styleId="37">
    <w:name w:val="未处理的提及1"/>
    <w:basedOn w:val="24"/>
    <w:autoRedefine/>
    <w:semiHidden/>
    <w:unhideWhenUsed/>
    <w:qFormat/>
    <w:uiPriority w:val="99"/>
    <w:rPr>
      <w:color w:val="605E5C"/>
      <w:shd w:val="clear" w:color="auto" w:fill="E1DFDD"/>
    </w:rPr>
  </w:style>
  <w:style w:type="paragraph" w:styleId="38">
    <w:name w:val="List Paragraph"/>
    <w:basedOn w:val="1"/>
    <w:autoRedefine/>
    <w:qFormat/>
    <w:uiPriority w:val="34"/>
    <w:pPr>
      <w:ind w:firstLine="420" w:firstLineChars="200"/>
    </w:pPr>
  </w:style>
  <w:style w:type="paragraph" w:customStyle="1" w:styleId="39">
    <w:name w:val="Char Char Char Char Char Char Char1 Char"/>
    <w:basedOn w:val="1"/>
    <w:autoRedefine/>
    <w:qFormat/>
    <w:uiPriority w:val="0"/>
    <w:rPr>
      <w:rFonts w:ascii="Arial" w:hAnsi="Arial" w:eastAsia="宋体" w:cs="Arial"/>
      <w:sz w:val="24"/>
    </w:rPr>
  </w:style>
  <w:style w:type="table" w:customStyle="1" w:styleId="40">
    <w:name w:val="网格表 1 浅色1"/>
    <w:basedOn w:val="22"/>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1">
    <w:name w:val="日期 字符"/>
    <w:basedOn w:val="24"/>
    <w:autoRedefine/>
    <w:semiHidden/>
    <w:qFormat/>
    <w:uiPriority w:val="99"/>
    <w:rPr>
      <w:rFonts w:ascii="@仿宋_GB2312" w:hAnsi="@仿宋_GB2312" w:eastAsia="@仿宋_GB2312" w:cs="@仿宋_GB2312"/>
      <w:szCs w:val="20"/>
    </w:rPr>
  </w:style>
  <w:style w:type="character" w:customStyle="1" w:styleId="42">
    <w:name w:val="日期 Char"/>
    <w:link w:val="12"/>
    <w:autoRedefine/>
    <w:qFormat/>
    <w:uiPriority w:val="0"/>
    <w:rPr>
      <w:rFonts w:ascii="Arial" w:hAnsi="Arial" w:eastAsia="宋体" w:cs="Arial"/>
      <w:b/>
      <w:sz w:val="28"/>
      <w:szCs w:val="20"/>
    </w:rPr>
  </w:style>
  <w:style w:type="character" w:customStyle="1" w:styleId="43">
    <w:name w:val="纯文本 Char1"/>
    <w:autoRedefine/>
    <w:qFormat/>
    <w:locked/>
    <w:uiPriority w:val="99"/>
    <w:rPr>
      <w:rFonts w:ascii="Arial" w:hAnsi="Arial" w:eastAsia="Arial"/>
      <w:kern w:val="2"/>
      <w:sz w:val="21"/>
      <w:lang w:val="en-US" w:eastAsia="zh-CN" w:bidi="ar-SA"/>
    </w:rPr>
  </w:style>
  <w:style w:type="character" w:customStyle="1" w:styleId="44">
    <w:name w:val="批注文字 Char"/>
    <w:basedOn w:val="24"/>
    <w:autoRedefine/>
    <w:semiHidden/>
    <w:qFormat/>
    <w:uiPriority w:val="99"/>
    <w:rPr>
      <w:rFonts w:ascii="@仿宋_GB2312" w:hAnsi="@仿宋_GB2312" w:eastAsia="@仿宋_GB2312" w:cs="@仿宋_GB2312"/>
      <w:szCs w:val="20"/>
    </w:rPr>
  </w:style>
  <w:style w:type="character" w:customStyle="1" w:styleId="45">
    <w:name w:val="批注文字 Char1"/>
    <w:link w:val="7"/>
    <w:autoRedefine/>
    <w:qFormat/>
    <w:uiPriority w:val="0"/>
    <w:rPr>
      <w:rFonts w:ascii="Arial" w:hAnsi="Arial" w:eastAsia="黑体" w:cs="Arial"/>
      <w:szCs w:val="20"/>
    </w:rPr>
  </w:style>
  <w:style w:type="character" w:customStyle="1" w:styleId="46">
    <w:name w:val="标题 1 Char"/>
    <w:basedOn w:val="24"/>
    <w:link w:val="3"/>
    <w:autoRedefine/>
    <w:qFormat/>
    <w:uiPriority w:val="9"/>
    <w:rPr>
      <w:rFonts w:ascii="@仿宋_GB2312" w:hAnsi="@仿宋_GB2312" w:eastAsia="@仿宋_GB2312" w:cs="@仿宋_GB2312"/>
      <w:b/>
      <w:bCs/>
      <w:kern w:val="44"/>
      <w:sz w:val="44"/>
      <w:szCs w:val="44"/>
    </w:rPr>
  </w:style>
  <w:style w:type="paragraph" w:customStyle="1" w:styleId="47">
    <w:name w:val="TOC 标题1"/>
    <w:basedOn w:val="3"/>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8">
    <w:name w:val="标题 3 Char"/>
    <w:basedOn w:val="24"/>
    <w:link w:val="4"/>
    <w:autoRedefine/>
    <w:semiHidden/>
    <w:qFormat/>
    <w:uiPriority w:val="9"/>
    <w:rPr>
      <w:rFonts w:ascii="@仿宋_GB2312" w:hAnsi="@仿宋_GB2312" w:eastAsia="@仿宋_GB2312" w:cs="@仿宋_GB2312"/>
      <w:b/>
      <w:bCs/>
      <w:sz w:val="32"/>
      <w:szCs w:val="32"/>
    </w:rPr>
  </w:style>
  <w:style w:type="character" w:customStyle="1" w:styleId="49">
    <w:name w:val="fontstyle01"/>
    <w:basedOn w:val="24"/>
    <w:autoRedefine/>
    <w:qFormat/>
    <w:uiPriority w:val="0"/>
    <w:rPr>
      <w:rFonts w:hint="eastAsia" w:ascii="宋体" w:hAnsi="宋体" w:eastAsia="宋体"/>
      <w:color w:val="000000"/>
      <w:sz w:val="22"/>
      <w:szCs w:val="22"/>
    </w:rPr>
  </w:style>
  <w:style w:type="character" w:customStyle="1" w:styleId="50">
    <w:name w:val="fontstyle21"/>
    <w:basedOn w:val="24"/>
    <w:autoRedefine/>
    <w:qFormat/>
    <w:uiPriority w:val="0"/>
    <w:rPr>
      <w:rFonts w:hint="default" w:ascii="TimesNewRomanPSMT" w:hAnsi="TimesNewRomanPSMT"/>
      <w:color w:val="000000"/>
      <w:sz w:val="22"/>
      <w:szCs w:val="22"/>
    </w:rPr>
  </w:style>
  <w:style w:type="character" w:customStyle="1" w:styleId="51">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52">
    <w:name w:val="标题 4 字符"/>
    <w:basedOn w:val="24"/>
    <w:autoRedefine/>
    <w:semiHidden/>
    <w:qFormat/>
    <w:uiPriority w:val="9"/>
    <w:rPr>
      <w:rFonts w:asciiTheme="majorHAnsi" w:hAnsiTheme="majorHAnsi" w:eastAsiaTheme="majorEastAsia" w:cstheme="majorBidi"/>
      <w:b/>
      <w:bCs/>
      <w:sz w:val="28"/>
      <w:szCs w:val="28"/>
    </w:rPr>
  </w:style>
  <w:style w:type="character" w:customStyle="1" w:styleId="53">
    <w:name w:val="标题 4 Char1"/>
    <w:link w:val="5"/>
    <w:autoRedefine/>
    <w:qFormat/>
    <w:uiPriority w:val="0"/>
    <w:rPr>
      <w:rFonts w:ascii="@仿宋_GB2312" w:hAnsi="@仿宋_GB2312" w:eastAsia="@仿宋_GB2312" w:cs="@仿宋_GB2312"/>
      <w:b/>
      <w:bCs/>
      <w:sz w:val="28"/>
      <w:szCs w:val="28"/>
    </w:rPr>
  </w:style>
  <w:style w:type="character" w:customStyle="1" w:styleId="54">
    <w:name w:val="标题 4 Char"/>
    <w:autoRedefine/>
    <w:qFormat/>
    <w:uiPriority w:val="0"/>
    <w:rPr>
      <w:rFonts w:ascii="Arial" w:hAnsi="Arial" w:eastAsia="Arial"/>
      <w:b/>
      <w:bCs/>
      <w:kern w:val="2"/>
      <w:sz w:val="28"/>
      <w:szCs w:val="28"/>
      <w:lang w:val="en-US" w:eastAsia="zh-CN" w:bidi="ar-SA"/>
    </w:rPr>
  </w:style>
  <w:style w:type="table" w:customStyle="1" w:styleId="55">
    <w:name w:val="网格型1"/>
    <w:basedOn w:val="22"/>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6">
    <w:name w:val="批注主题 Char"/>
    <w:basedOn w:val="45"/>
    <w:link w:val="20"/>
    <w:autoRedefine/>
    <w:semiHidden/>
    <w:qFormat/>
    <w:uiPriority w:val="99"/>
    <w:rPr>
      <w:rFonts w:ascii="@仿宋_GB2312" w:hAnsi="@仿宋_GB2312" w:eastAsia="@仿宋_GB2312" w:cs="@仿宋_GB2312"/>
      <w:b/>
      <w:bCs/>
      <w:szCs w:val="20"/>
    </w:rPr>
  </w:style>
  <w:style w:type="table" w:customStyle="1" w:styleId="57">
    <w:name w:val="Table Normal"/>
    <w:autoRedefine/>
    <w:semiHidden/>
    <w:unhideWhenUsed/>
    <w:qFormat/>
    <w:uiPriority w:val="0"/>
    <w:tblPr>
      <w:tblCellMar>
        <w:top w:w="0" w:type="dxa"/>
        <w:left w:w="0" w:type="dxa"/>
        <w:bottom w:w="0" w:type="dxa"/>
        <w:right w:w="0" w:type="dxa"/>
      </w:tblCellMar>
    </w:tblPr>
  </w:style>
  <w:style w:type="paragraph" w:customStyle="1" w:styleId="58">
    <w:name w:val="Table Text"/>
    <w:basedOn w:val="1"/>
    <w:autoRedefine/>
    <w:semiHidden/>
    <w:qFormat/>
    <w:uiPriority w:val="0"/>
    <w:rPr>
      <w:rFonts w:ascii="Arial" w:hAnsi="Arial" w:eastAsia="Arial" w:cs="Arial"/>
      <w:sz w:val="21"/>
      <w:szCs w:val="21"/>
      <w:lang w:val="en-US" w:eastAsia="en-US" w:bidi="ar-SA"/>
    </w:rPr>
  </w:style>
  <w:style w:type="paragraph" w:customStyle="1" w:styleId="59">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0">
    <w:name w:val="列出段落1"/>
    <w:basedOn w:val="1"/>
    <w:autoRedefine/>
    <w:qFormat/>
    <w:uiPriority w:val="0"/>
    <w:pPr>
      <w:ind w:firstLine="420" w:firstLineChars="200"/>
    </w:pPr>
    <w:rPr>
      <w:szCs w:val="21"/>
    </w:rPr>
  </w:style>
  <w:style w:type="paragraph" w:customStyle="1" w:styleId="61">
    <w:name w:val="正文格式"/>
    <w:basedOn w:val="1"/>
    <w:qFormat/>
    <w:uiPriority w:val="0"/>
    <w:pPr>
      <w:widowControl/>
      <w:adjustRightInd w:val="0"/>
      <w:snapToGrid w:val="0"/>
      <w:spacing w:line="400" w:lineRule="atLeast"/>
      <w:ind w:firstLine="482"/>
      <w:textAlignment w:val="baseline"/>
    </w:pPr>
    <w:rPr>
      <w:rFonts w:ascii="Times New Roman" w:hAnsi="Times New Roman" w:eastAsia="宋体" w:cs="Times New Roman"/>
      <w:kern w:val="0"/>
      <w:sz w:val="24"/>
    </w:rPr>
  </w:style>
  <w:style w:type="paragraph" w:customStyle="1" w:styleId="62">
    <w:name w:val="p0"/>
    <w:basedOn w:val="1"/>
    <w:qFormat/>
    <w:uiPriority w:val="0"/>
    <w:pPr>
      <w:widowControl/>
    </w:pPr>
    <w:rPr>
      <w:rFonts w:ascii="Times New Roman" w:hAnsi="Times New Roman"/>
      <w:kern w:val="0"/>
      <w:szCs w:val="21"/>
    </w:rPr>
  </w:style>
  <w:style w:type="character" w:customStyle="1" w:styleId="63">
    <w:name w:val="NormalCharacter"/>
    <w:semiHidden/>
    <w:qFormat/>
    <w:uiPriority w:val="0"/>
  </w:style>
  <w:style w:type="paragraph" w:customStyle="1" w:styleId="64">
    <w:name w:val="列表段落1"/>
    <w:basedOn w:val="1"/>
    <w:qFormat/>
    <w:uiPriority w:val="34"/>
    <w:pPr>
      <w:ind w:firstLine="420" w:firstLineChars="200"/>
    </w:pPr>
  </w:style>
  <w:style w:type="character" w:customStyle="1" w:styleId="65">
    <w:name w:val="标题 2 Char Char"/>
    <w:qFormat/>
    <w:uiPriority w:val="0"/>
    <w:rPr>
      <w:rFonts w:ascii="Arial" w:hAnsi="Arial" w:eastAsia="黑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AC3C6-84CB-4D2E-AFC0-C8AD46F7C0B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71</Pages>
  <Words>2049</Words>
  <Characters>2337</Characters>
  <Lines>244</Lines>
  <Paragraphs>68</Paragraphs>
  <TotalTime>13</TotalTime>
  <ScaleCrop>false</ScaleCrop>
  <LinksUpToDate>false</LinksUpToDate>
  <CharactersWithSpaces>2531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贾先生</cp:lastModifiedBy>
  <cp:lastPrinted>2019-12-07T15:18:00Z</cp:lastPrinted>
  <dcterms:modified xsi:type="dcterms:W3CDTF">2026-08-28T07:28:42Z</dcterms:modified>
  <cp:revision>388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1ECEA165F94845FFAF35C1C96E4FB9B0_12</vt:lpwstr>
  </property>
  <property fmtid="{D5CDD505-2E9C-101B-9397-08002B2CF9AE}" pid="4" name="KSOTemplateDocerSaveRecord">
    <vt:lpwstr>eyJoZGlkIjoiZGM2NDk5OGFiYzg4ZTEzM2NiYjUxZTQ1OTBjMWNmM2MiLCJ1c2VySWQiOiI0OTcwNTQxMDcifQ==</vt:lpwstr>
  </property>
</Properties>
</file>