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097DD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 w:asciiTheme="minorEastAsia" w:hAnsiTheme="minorEastAsia" w:eastAsiaTheme="minorEastAsia" w:cstheme="minorEastAsia"/>
          <w:sz w:val="40"/>
          <w:szCs w:val="40"/>
          <w:lang w:val="en-US" w:eastAsia="zh-CN"/>
        </w:rPr>
      </w:pPr>
      <w:bookmarkStart w:id="2" w:name="_GoBack"/>
      <w:bookmarkStart w:id="0" w:name="_Toc14130_WPSOffice_Level1"/>
      <w:bookmarkStart w:id="1" w:name="_Toc8318"/>
      <w:r>
        <w:rPr>
          <w:rFonts w:hint="eastAsia" w:asciiTheme="minorEastAsia" w:hAnsiTheme="minorEastAsia" w:eastAsiaTheme="minorEastAsia" w:cstheme="minorEastAsia"/>
          <w:sz w:val="40"/>
          <w:szCs w:val="40"/>
          <w:lang w:val="en-US" w:eastAsia="zh-CN"/>
        </w:rPr>
        <w:t>产前诊断中心染色体核型实验试剂使用需求</w:t>
      </w:r>
      <w:bookmarkEnd w:id="0"/>
      <w:bookmarkEnd w:id="1"/>
    </w:p>
    <w:bookmarkEnd w:id="2"/>
    <w:tbl>
      <w:tblPr>
        <w:tblStyle w:val="6"/>
        <w:tblW w:w="10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531"/>
        <w:gridCol w:w="5272"/>
        <w:gridCol w:w="1077"/>
        <w:gridCol w:w="1077"/>
        <w:gridCol w:w="907"/>
      </w:tblGrid>
      <w:tr w14:paraId="1BFA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vAlign w:val="center"/>
          </w:tcPr>
          <w:p w14:paraId="1058A75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531" w:type="dxa"/>
            <w:vAlign w:val="center"/>
          </w:tcPr>
          <w:p w14:paraId="5C18771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5272" w:type="dxa"/>
            <w:vAlign w:val="center"/>
          </w:tcPr>
          <w:p w14:paraId="7B8E78B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1077" w:type="dxa"/>
            <w:vAlign w:val="center"/>
          </w:tcPr>
          <w:p w14:paraId="10E28D1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1077" w:type="dxa"/>
            <w:vAlign w:val="center"/>
          </w:tcPr>
          <w:p w14:paraId="56EC2F6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预估年使用数量</w:t>
            </w:r>
          </w:p>
        </w:tc>
        <w:tc>
          <w:tcPr>
            <w:tcW w:w="907" w:type="dxa"/>
            <w:vAlign w:val="center"/>
          </w:tcPr>
          <w:p w14:paraId="1BAE549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限价（元）</w:t>
            </w:r>
          </w:p>
        </w:tc>
      </w:tr>
      <w:tr w14:paraId="0F28A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vAlign w:val="center"/>
          </w:tcPr>
          <w:p w14:paraId="6671C8B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31" w:type="dxa"/>
            <w:vAlign w:val="center"/>
          </w:tcPr>
          <w:p w14:paraId="29F90E3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羊水细胞排培养基</w:t>
            </w:r>
          </w:p>
        </w:tc>
        <w:tc>
          <w:tcPr>
            <w:tcW w:w="5272" w:type="dxa"/>
            <w:vAlign w:val="top"/>
          </w:tcPr>
          <w:p w14:paraId="3869D4F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1、用于体外培养羊水细胞，以获取足够的细胞量供后续遗传学分析；</w:t>
            </w:r>
          </w:p>
          <w:p w14:paraId="391F24B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2、为满足实验室的不同量选择，可提供大小不同规格包装；-18℃以下保存：有效期：≥18个月。</w:t>
            </w:r>
          </w:p>
          <w:p w14:paraId="64ED9E0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3、能用于羊水细胞消化法培养，原位法培养。培养基包装无菌，PH值稳定，结晶不易出现。能供羊水细胞高质量，平顺生长。</w:t>
            </w:r>
          </w:p>
          <w:p w14:paraId="751409F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有省级产诊中心试用经验（提供省级产前诊断机构应用原位培养技术相关证明材料）</w:t>
            </w:r>
          </w:p>
        </w:tc>
        <w:tc>
          <w:tcPr>
            <w:tcW w:w="1077" w:type="dxa"/>
            <w:vAlign w:val="center"/>
          </w:tcPr>
          <w:p w14:paraId="3D61284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10ml/瓶</w:t>
            </w:r>
          </w:p>
        </w:tc>
        <w:tc>
          <w:tcPr>
            <w:tcW w:w="1077" w:type="dxa"/>
            <w:vAlign w:val="center"/>
          </w:tcPr>
          <w:p w14:paraId="159FCB6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200</w:t>
            </w:r>
          </w:p>
        </w:tc>
        <w:tc>
          <w:tcPr>
            <w:tcW w:w="907" w:type="dxa"/>
            <w:vAlign w:val="center"/>
          </w:tcPr>
          <w:p w14:paraId="060397C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90</w:t>
            </w:r>
          </w:p>
        </w:tc>
      </w:tr>
      <w:tr w14:paraId="67DF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vAlign w:val="center"/>
          </w:tcPr>
          <w:p w14:paraId="770841A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531" w:type="dxa"/>
            <w:vAlign w:val="center"/>
          </w:tcPr>
          <w:p w14:paraId="0E3A7FF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人外周血淋巴细胞培养基</w:t>
            </w:r>
          </w:p>
        </w:tc>
        <w:tc>
          <w:tcPr>
            <w:tcW w:w="5272" w:type="dxa"/>
            <w:vAlign w:val="top"/>
          </w:tcPr>
          <w:p w14:paraId="47EF9AD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1、适用于外周血、脐血等细胞的培养，用于细胞遗传学分析；</w:t>
            </w:r>
          </w:p>
          <w:p w14:paraId="4F2216C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2、-18℃以下保存，有效期≥12个月；</w:t>
            </w:r>
          </w:p>
          <w:p w14:paraId="7835015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3、培养基包装无菌，PH值稳定，长期使用接种外周血标本时无生长异常波动，收取细胞质量稳定。</w:t>
            </w:r>
          </w:p>
        </w:tc>
        <w:tc>
          <w:tcPr>
            <w:tcW w:w="1077" w:type="dxa"/>
            <w:vAlign w:val="center"/>
          </w:tcPr>
          <w:p w14:paraId="3E63B28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5ml/瓶</w:t>
            </w:r>
          </w:p>
        </w:tc>
        <w:tc>
          <w:tcPr>
            <w:tcW w:w="1077" w:type="dxa"/>
            <w:vAlign w:val="center"/>
          </w:tcPr>
          <w:p w14:paraId="5591F22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1000</w:t>
            </w:r>
          </w:p>
        </w:tc>
        <w:tc>
          <w:tcPr>
            <w:tcW w:w="907" w:type="dxa"/>
            <w:vAlign w:val="center"/>
          </w:tcPr>
          <w:p w14:paraId="79D9C08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24.78</w:t>
            </w:r>
          </w:p>
        </w:tc>
      </w:tr>
      <w:tr w14:paraId="20AB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vAlign w:val="center"/>
          </w:tcPr>
          <w:p w14:paraId="58FC8E3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531" w:type="dxa"/>
            <w:vAlign w:val="center"/>
          </w:tcPr>
          <w:p w14:paraId="5CD6F4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吉姆萨染色液</w:t>
            </w:r>
          </w:p>
        </w:tc>
        <w:tc>
          <w:tcPr>
            <w:tcW w:w="5272" w:type="dxa"/>
            <w:vAlign w:val="top"/>
          </w:tcPr>
          <w:p w14:paraId="3E59E71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1、具有医疗器械注册证或一类备案凭证，符合临床应用要求；</w:t>
            </w:r>
          </w:p>
          <w:p w14:paraId="6589ABC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2、用途：用于组织细胞学染色从而鉴别骨髓和其他造血组织（淋巴结）中的白细胞，还可用于鉴定某些微生物；</w:t>
            </w:r>
          </w:p>
          <w:p w14:paraId="655DB18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3、染液质量稳定，杂质少，染片质量高</w:t>
            </w:r>
          </w:p>
        </w:tc>
        <w:tc>
          <w:tcPr>
            <w:tcW w:w="1077" w:type="dxa"/>
            <w:vAlign w:val="center"/>
          </w:tcPr>
          <w:p w14:paraId="7A5EC4D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500ml/瓶</w:t>
            </w:r>
          </w:p>
        </w:tc>
        <w:tc>
          <w:tcPr>
            <w:tcW w:w="1077" w:type="dxa"/>
            <w:vAlign w:val="center"/>
          </w:tcPr>
          <w:p w14:paraId="1370A94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07" w:type="dxa"/>
            <w:vAlign w:val="center"/>
          </w:tcPr>
          <w:p w14:paraId="530D9A7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1180</w:t>
            </w:r>
          </w:p>
        </w:tc>
      </w:tr>
      <w:tr w14:paraId="0E94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vAlign w:val="center"/>
          </w:tcPr>
          <w:p w14:paraId="577BB9B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531" w:type="dxa"/>
            <w:vAlign w:val="center"/>
          </w:tcPr>
          <w:p w14:paraId="0335087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胰酶分带溶液</w:t>
            </w:r>
          </w:p>
        </w:tc>
        <w:tc>
          <w:tcPr>
            <w:tcW w:w="5272" w:type="dxa"/>
            <w:vAlign w:val="top"/>
          </w:tcPr>
          <w:p w14:paraId="53E972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1、具有医疗器械注册证或一类备案凭证，符合临床应用要求；</w:t>
            </w:r>
          </w:p>
          <w:p w14:paraId="33DE5DF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2、预期用途：用于染色体G显带制备，临床上用于染色体检查；</w:t>
            </w:r>
          </w:p>
        </w:tc>
        <w:tc>
          <w:tcPr>
            <w:tcW w:w="1077" w:type="dxa"/>
            <w:vAlign w:val="center"/>
          </w:tcPr>
          <w:p w14:paraId="6EF9DF2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10ml/瓶</w:t>
            </w:r>
          </w:p>
        </w:tc>
        <w:tc>
          <w:tcPr>
            <w:tcW w:w="1077" w:type="dxa"/>
            <w:vAlign w:val="center"/>
          </w:tcPr>
          <w:p w14:paraId="624922C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907" w:type="dxa"/>
            <w:vAlign w:val="center"/>
          </w:tcPr>
          <w:p w14:paraId="48E4587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</w:tr>
      <w:tr w14:paraId="2DADF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vAlign w:val="center"/>
          </w:tcPr>
          <w:p w14:paraId="2B9DE0F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531" w:type="dxa"/>
            <w:vAlign w:val="center"/>
          </w:tcPr>
          <w:p w14:paraId="4FC3C83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胰酶消化溶液</w:t>
            </w:r>
          </w:p>
        </w:tc>
        <w:tc>
          <w:tcPr>
            <w:tcW w:w="5272" w:type="dxa"/>
            <w:vAlign w:val="top"/>
          </w:tcPr>
          <w:p w14:paraId="614B042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1、具有医疗器械注册证或一类备案凭证，符合临床应用要求；</w:t>
            </w:r>
          </w:p>
          <w:p w14:paraId="7A9D98C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2、预期用途：使培养的细胞从贴壁状态转变为悬浮状态；</w:t>
            </w:r>
          </w:p>
        </w:tc>
        <w:tc>
          <w:tcPr>
            <w:tcW w:w="1077" w:type="dxa"/>
            <w:vAlign w:val="center"/>
          </w:tcPr>
          <w:p w14:paraId="4231BDA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1ml/支</w:t>
            </w:r>
          </w:p>
        </w:tc>
        <w:tc>
          <w:tcPr>
            <w:tcW w:w="1077" w:type="dxa"/>
            <w:vAlign w:val="center"/>
          </w:tcPr>
          <w:p w14:paraId="2D82F15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907" w:type="dxa"/>
            <w:vAlign w:val="center"/>
          </w:tcPr>
          <w:p w14:paraId="3C8725C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 w14:paraId="73CF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vAlign w:val="center"/>
          </w:tcPr>
          <w:p w14:paraId="6D16F74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531" w:type="dxa"/>
            <w:vAlign w:val="center"/>
          </w:tcPr>
          <w:p w14:paraId="20EDEF6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秋水仙碱溶液</w:t>
            </w:r>
          </w:p>
        </w:tc>
        <w:tc>
          <w:tcPr>
            <w:tcW w:w="5272" w:type="dxa"/>
            <w:vAlign w:val="top"/>
          </w:tcPr>
          <w:p w14:paraId="5652AA7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1、具有医疗器械注册证或一类备案凭证，符合临床应用要求；</w:t>
            </w:r>
          </w:p>
          <w:p w14:paraId="3477C90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2、预期用途：用于染色体检查中延缓着丝点分裂，抑制纺锤体形成，终止细胞有丝分裂于分裂中期；</w:t>
            </w:r>
          </w:p>
        </w:tc>
        <w:tc>
          <w:tcPr>
            <w:tcW w:w="1077" w:type="dxa"/>
            <w:vAlign w:val="center"/>
          </w:tcPr>
          <w:p w14:paraId="3348756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1ml/支</w:t>
            </w:r>
          </w:p>
        </w:tc>
        <w:tc>
          <w:tcPr>
            <w:tcW w:w="1077" w:type="dxa"/>
            <w:vAlign w:val="center"/>
          </w:tcPr>
          <w:p w14:paraId="4DF2139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907" w:type="dxa"/>
            <w:vAlign w:val="center"/>
          </w:tcPr>
          <w:p w14:paraId="664A551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</w:tr>
      <w:tr w14:paraId="31DC6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vAlign w:val="center"/>
          </w:tcPr>
          <w:p w14:paraId="1F1D0BB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531" w:type="dxa"/>
            <w:vAlign w:val="center"/>
          </w:tcPr>
          <w:p w14:paraId="6C78872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碱性缓冲液</w:t>
            </w:r>
          </w:p>
        </w:tc>
        <w:tc>
          <w:tcPr>
            <w:tcW w:w="5272" w:type="dxa"/>
            <w:vAlign w:val="top"/>
          </w:tcPr>
          <w:p w14:paraId="7E0D43D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1、具有医疗器械注册证或一类备案凭证，符合临床应用要求；</w:t>
            </w:r>
          </w:p>
        </w:tc>
        <w:tc>
          <w:tcPr>
            <w:tcW w:w="1077" w:type="dxa"/>
            <w:vAlign w:val="center"/>
          </w:tcPr>
          <w:p w14:paraId="49ADAF6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10ml/瓶</w:t>
            </w:r>
          </w:p>
        </w:tc>
        <w:tc>
          <w:tcPr>
            <w:tcW w:w="1077" w:type="dxa"/>
            <w:vAlign w:val="center"/>
          </w:tcPr>
          <w:p w14:paraId="4EFA297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907" w:type="dxa"/>
            <w:vAlign w:val="center"/>
          </w:tcPr>
          <w:p w14:paraId="16D5C81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</w:tbl>
    <w:p w14:paraId="1D192B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</w:pPr>
    </w:p>
    <w:p w14:paraId="0EE006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>其他要求：如核型实验出现相关问题，供应商须在48小时内安排技术工程师上门处理。</w:t>
      </w:r>
    </w:p>
    <w:p w14:paraId="7D0C79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8"/>
          <w:lang w:val="en-US" w:eastAsia="zh-CN"/>
        </w:rPr>
        <w:t xml:space="preserve">          招标完成后，试剂需试用二个月时间，符合实验结果方可正式下订单。</w:t>
      </w:r>
    </w:p>
    <w:sectPr>
      <w:pgSz w:w="11906" w:h="16838"/>
      <w:pgMar w:top="1440" w:right="56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F60DC5"/>
    <w:rsid w:val="03551AE2"/>
    <w:rsid w:val="089A5D32"/>
    <w:rsid w:val="190E0214"/>
    <w:rsid w:val="1A512912"/>
    <w:rsid w:val="2AA22CC9"/>
    <w:rsid w:val="2F680730"/>
    <w:rsid w:val="33FD6402"/>
    <w:rsid w:val="369815D3"/>
    <w:rsid w:val="3B3667AF"/>
    <w:rsid w:val="3DB341AD"/>
    <w:rsid w:val="3E822E7B"/>
    <w:rsid w:val="40976E05"/>
    <w:rsid w:val="40F64BB5"/>
    <w:rsid w:val="40FD2AEA"/>
    <w:rsid w:val="415754B7"/>
    <w:rsid w:val="43FC7F30"/>
    <w:rsid w:val="4F065404"/>
    <w:rsid w:val="514C077C"/>
    <w:rsid w:val="60E65B06"/>
    <w:rsid w:val="6254691A"/>
    <w:rsid w:val="62E169C2"/>
    <w:rsid w:val="651B254B"/>
    <w:rsid w:val="6772119C"/>
    <w:rsid w:val="6CF00FFA"/>
    <w:rsid w:val="701E19E6"/>
    <w:rsid w:val="769311B6"/>
    <w:rsid w:val="78727DD5"/>
    <w:rsid w:val="7B733E1E"/>
    <w:rsid w:val="7CB000DE"/>
    <w:rsid w:val="7EEC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="50" w:afterLines="50" w:afterAutospacing="0" w:line="360" w:lineRule="auto"/>
      <w:jc w:val="center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rPr>
      <w:rFonts w:ascii="宋体" w:hAnsi="宋体"/>
      <w:kern w:val="0"/>
      <w:sz w:val="20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color w:val="000000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2022-04-25T08:53:00Z</dcterms:created>
  <dc:creator>Administrator</dc:creator>
  <cp:lastModifiedBy>Administrator</cp:lastModifiedBy>
  <dcterms:modified xsi:type="dcterms:W3CDTF">2026-07-09T07:16:52Z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D0A83AD838F940C3B9F8643579D8AFFE_13</vt:lpwstr>
  </property>
</Properties>
</file>