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5CA2D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00" w:afterAutospacing="0" w:line="840" w:lineRule="atLeast"/>
        <w:ind w:left="0" w:right="0" w:firstLine="0"/>
        <w:jc w:val="center"/>
        <w:rPr>
          <w:rFonts w:hint="eastAsia" w:asciiTheme="majorEastAsia" w:hAnsiTheme="majorEastAsia" w:eastAsiaTheme="majorEastAsia" w:cstheme="majorEastAsia"/>
          <w:b/>
          <w:bCs/>
          <w:i w:val="0"/>
          <w:iCs w:val="0"/>
          <w:caps w:val="0"/>
          <w:color w:val="333333"/>
          <w:spacing w:val="0"/>
          <w:sz w:val="32"/>
          <w:szCs w:val="32"/>
          <w:lang w:val="en-US" w:eastAsia="zh-CN"/>
        </w:rPr>
      </w:pPr>
      <w:bookmarkStart w:id="0" w:name="_Toc482084457"/>
      <w:bookmarkStart w:id="1" w:name="_Toc31402"/>
      <w:bookmarkStart w:id="2" w:name="_Toc220232390"/>
      <w:bookmarkStart w:id="3" w:name="_Toc192522107"/>
      <w:bookmarkStart w:id="4" w:name="_Toc14416"/>
      <w:bookmarkStart w:id="5" w:name="_Toc19096"/>
      <w:bookmarkStart w:id="6" w:name="_Toc170667279"/>
      <w:r>
        <w:rPr>
          <w:rFonts w:hint="eastAsia" w:ascii="Arial" w:hAnsi="Arial" w:cs="Arial"/>
          <w:b/>
          <w:bCs/>
          <w:i w:val="0"/>
          <w:iCs w:val="0"/>
          <w:caps w:val="0"/>
          <w:color w:val="333333"/>
          <w:spacing w:val="0"/>
          <w:sz w:val="48"/>
          <w:szCs w:val="48"/>
          <w:shd w:val="clear" w:fill="FFFFFF"/>
          <w:lang w:val="en-US" w:eastAsia="zh-CN"/>
        </w:rPr>
        <w:t xml:space="preserve"> </w:t>
      </w:r>
      <w:r>
        <w:rPr>
          <w:rFonts w:hint="eastAsia" w:asciiTheme="majorEastAsia" w:hAnsiTheme="majorEastAsia" w:eastAsiaTheme="majorEastAsia" w:cstheme="majorEastAsia"/>
          <w:b/>
          <w:bCs/>
          <w:i w:val="0"/>
          <w:iCs w:val="0"/>
          <w:caps w:val="0"/>
          <w:color w:val="333333"/>
          <w:spacing w:val="0"/>
          <w:sz w:val="32"/>
          <w:szCs w:val="32"/>
          <w:shd w:val="clear" w:fill="FFFFFF"/>
        </w:rPr>
        <w:t>宿州市立医院</w:t>
      </w:r>
      <w:r>
        <w:rPr>
          <w:rFonts w:hint="eastAsia" w:asciiTheme="majorEastAsia" w:hAnsiTheme="majorEastAsia" w:eastAsiaTheme="majorEastAsia" w:cstheme="majorEastAsia"/>
          <w:b/>
          <w:bCs/>
          <w:i w:val="0"/>
          <w:iCs w:val="0"/>
          <w:caps w:val="0"/>
          <w:color w:val="333333"/>
          <w:spacing w:val="0"/>
          <w:sz w:val="32"/>
          <w:szCs w:val="32"/>
          <w:shd w:val="clear" w:fill="FFFFFF"/>
          <w:lang w:val="en-US" w:eastAsia="zh-CN"/>
        </w:rPr>
        <w:t>放射PACS/RIS系统维保</w:t>
      </w:r>
      <w:r>
        <w:rPr>
          <w:rFonts w:hint="eastAsia" w:asciiTheme="majorEastAsia" w:hAnsiTheme="majorEastAsia" w:eastAsiaTheme="majorEastAsia" w:cstheme="majorEastAsia"/>
          <w:b/>
          <w:bCs/>
          <w:i w:val="0"/>
          <w:iCs w:val="0"/>
          <w:caps w:val="0"/>
          <w:color w:val="333333"/>
          <w:spacing w:val="0"/>
          <w:sz w:val="32"/>
          <w:szCs w:val="32"/>
          <w:shd w:val="clear" w:fill="FFFFFF"/>
        </w:rPr>
        <w:t>采购项目</w:t>
      </w:r>
      <w:r>
        <w:rPr>
          <w:rFonts w:hint="eastAsia" w:asciiTheme="majorEastAsia" w:hAnsiTheme="majorEastAsia" w:eastAsiaTheme="majorEastAsia" w:cstheme="majorEastAsia"/>
          <w:b/>
          <w:bCs/>
          <w:i w:val="0"/>
          <w:iCs w:val="0"/>
          <w:caps w:val="0"/>
          <w:color w:val="333333"/>
          <w:spacing w:val="0"/>
          <w:sz w:val="32"/>
          <w:szCs w:val="32"/>
          <w:shd w:val="clear" w:fill="FFFFFF"/>
          <w:lang w:val="en-US" w:eastAsia="zh-CN"/>
        </w:rPr>
        <w:t>需求文档</w:t>
      </w:r>
    </w:p>
    <w:bookmarkEnd w:id="0"/>
    <w:bookmarkEnd w:id="1"/>
    <w:bookmarkEnd w:id="2"/>
    <w:bookmarkEnd w:id="3"/>
    <w:bookmarkEnd w:id="4"/>
    <w:bookmarkEnd w:id="5"/>
    <w:bookmarkEnd w:id="6"/>
    <w:p w14:paraId="2CA31394">
      <w:pPr>
        <w:spacing w:line="288" w:lineRule="auto"/>
        <w:ind w:firstLine="560" w:firstLineChars="200"/>
        <w:rPr>
          <w:rFonts w:hint="eastAsia" w:ascii="仿宋" w:hAnsi="仿宋" w:eastAsia="仿宋" w:cs="仿宋"/>
          <w:sz w:val="28"/>
          <w:szCs w:val="28"/>
          <w:lang w:val="zh-CN"/>
        </w:rPr>
      </w:pPr>
      <w:bookmarkStart w:id="7" w:name="_Toc482084459"/>
      <w:bookmarkStart w:id="8" w:name="_Toc170667281"/>
      <w:bookmarkStart w:id="9" w:name="_Toc462234312"/>
      <w:bookmarkStart w:id="10" w:name="_Toc30135"/>
      <w:bookmarkStart w:id="11" w:name="_Toc28940"/>
      <w:bookmarkStart w:id="12" w:name="_Toc23845"/>
      <w:r>
        <w:rPr>
          <w:rFonts w:hint="eastAsia" w:ascii="仿宋" w:hAnsi="仿宋" w:eastAsia="仿宋" w:cs="仿宋"/>
          <w:sz w:val="28"/>
          <w:szCs w:val="28"/>
          <w:lang w:val="zh-CN"/>
        </w:rPr>
        <w:t>宿州市立医院放射影像管理信息系统（PACS/RIS系统）的运维服务期限已到期。为保障系统的连续、安全和高效运行，确保医院各项放射影像业务的正常开展，维持医疗信息化系统的稳定性和可靠性，现有必要对该系统进行续期维保服务。</w:t>
      </w:r>
    </w:p>
    <w:p w14:paraId="6810CBB2">
      <w:pPr>
        <w:spacing w:line="288" w:lineRule="auto"/>
        <w:ind w:firstLine="560" w:firstLineChars="200"/>
        <w:rPr>
          <w:rFonts w:hint="eastAsia" w:ascii="仿宋" w:hAnsi="仿宋" w:eastAsia="仿宋" w:cs="仿宋"/>
          <w:sz w:val="28"/>
          <w:szCs w:val="28"/>
          <w:lang w:val="zh-CN"/>
        </w:rPr>
      </w:pPr>
      <w:r>
        <w:rPr>
          <w:rFonts w:hint="eastAsia" w:ascii="仿宋" w:hAnsi="仿宋" w:eastAsia="仿宋" w:cs="仿宋"/>
          <w:sz w:val="28"/>
          <w:szCs w:val="28"/>
          <w:lang w:val="zh-CN"/>
        </w:rPr>
        <w:t>通过本次维保项目的实施，将持续为医院提供系统级别的技术保障与专业支持，确保PACS/RIS系统能够在7×24小时不间断运行环境下，长期保持优良性能状态，从而有效支撑临床诊断、科室协作及医院整体信息化水平的稳步提升。维保服务的开展不仅能够在系统出现故障或异常时提供快速响应和修复，还能通过日常巡检与优化手段，最大限度降低系统风险，保障医院医疗服务的连续性、安全性与高效性。</w:t>
      </w:r>
    </w:p>
    <w:p w14:paraId="53ED3498">
      <w:pPr>
        <w:pStyle w:val="3"/>
        <w:tabs>
          <w:tab w:val="left" w:pos="720"/>
        </w:tabs>
        <w:spacing w:before="0" w:after="0"/>
        <w:jc w:val="left"/>
        <w:rPr>
          <w:rFonts w:hint="eastAsia" w:ascii="仿宋" w:hAnsi="仿宋" w:eastAsia="仿宋" w:cs="仿宋"/>
          <w:color w:val="000000"/>
          <w:sz w:val="28"/>
          <w:szCs w:val="28"/>
          <w:lang w:val="zh-CN" w:eastAsia="zh-CN"/>
        </w:rPr>
      </w:pPr>
      <w:r>
        <w:rPr>
          <w:rFonts w:hint="eastAsia" w:ascii="仿宋" w:hAnsi="仿宋" w:eastAsia="仿宋" w:cs="仿宋"/>
          <w:color w:val="000000"/>
          <w:sz w:val="28"/>
          <w:szCs w:val="28"/>
          <w:lang w:val="en-US" w:eastAsia="zh-CN"/>
        </w:rPr>
        <w:t>一、</w:t>
      </w:r>
      <w:r>
        <w:rPr>
          <w:rFonts w:hint="eastAsia" w:ascii="仿宋" w:hAnsi="仿宋" w:eastAsia="仿宋" w:cs="仿宋"/>
          <w:color w:val="000000"/>
          <w:sz w:val="28"/>
          <w:szCs w:val="28"/>
          <w:lang w:val="zh-CN" w:eastAsia="zh-CN"/>
        </w:rPr>
        <w:t>维护内容</w:t>
      </w:r>
    </w:p>
    <w:p w14:paraId="5B7EC51D">
      <w:pPr>
        <w:spacing w:line="288" w:lineRule="auto"/>
        <w:ind w:firstLine="560" w:firstLineChars="200"/>
        <w:rPr>
          <w:rFonts w:hint="eastAsia" w:ascii="仿宋" w:hAnsi="仿宋" w:eastAsia="仿宋" w:cs="仿宋"/>
          <w:sz w:val="28"/>
          <w:szCs w:val="28"/>
          <w:lang w:val="zh-CN"/>
        </w:rPr>
      </w:pPr>
      <w:r>
        <w:rPr>
          <w:rFonts w:hint="eastAsia" w:ascii="仿宋" w:hAnsi="仿宋" w:eastAsia="仿宋" w:cs="仿宋"/>
          <w:sz w:val="28"/>
          <w:szCs w:val="28"/>
          <w:lang w:val="zh-CN"/>
        </w:rPr>
        <w:t>维保服务的核心目标是确保宿州市立医院放射影像管理信息系统（PACS/RIS系统）在整个运行周期内稳定、安全、高效地运作。服务方应根据医院信息化环境的特点和业务需求，提供全面的系统维护与技术支持服务，协助用户及数据库管理员共同维护系统的良好运转状态。具体的软件维护服务内容包括以下几个方面：</w:t>
      </w:r>
    </w:p>
    <w:p w14:paraId="01449803">
      <w:pPr>
        <w:spacing w:line="288" w:lineRule="auto"/>
        <w:rPr>
          <w:rFonts w:hint="eastAsia" w:ascii="仿宋" w:hAnsi="仿宋" w:eastAsia="仿宋" w:cs="仿宋"/>
          <w:b/>
          <w:bCs/>
          <w:sz w:val="28"/>
          <w:szCs w:val="28"/>
          <w:lang w:val="zh-CN"/>
        </w:rPr>
      </w:pPr>
      <w:r>
        <w:rPr>
          <w:rFonts w:hint="eastAsia" w:ascii="仿宋" w:hAnsi="仿宋" w:eastAsia="仿宋" w:cs="仿宋"/>
          <w:b/>
          <w:bCs/>
          <w:sz w:val="28"/>
          <w:szCs w:val="28"/>
          <w:lang w:val="zh-CN"/>
        </w:rPr>
        <w:t>（一）用户培训</w:t>
      </w:r>
    </w:p>
    <w:p w14:paraId="7CCF1BFE">
      <w:pPr>
        <w:spacing w:line="288" w:lineRule="auto"/>
        <w:ind w:firstLine="560" w:firstLineChars="200"/>
        <w:rPr>
          <w:rFonts w:hint="eastAsia" w:ascii="仿宋" w:hAnsi="仿宋" w:eastAsia="仿宋" w:cs="仿宋"/>
          <w:sz w:val="28"/>
          <w:szCs w:val="28"/>
          <w:lang w:val="zh-CN"/>
        </w:rPr>
      </w:pPr>
      <w:r>
        <w:rPr>
          <w:rFonts w:hint="eastAsia" w:ascii="仿宋" w:hAnsi="仿宋" w:eastAsia="仿宋" w:cs="仿宋"/>
          <w:sz w:val="28"/>
          <w:szCs w:val="28"/>
          <w:lang w:val="zh-CN"/>
        </w:rPr>
        <w:t>在系统正式运行和日常使用过程中，服务方</w:t>
      </w:r>
      <w:r>
        <w:rPr>
          <w:rFonts w:hint="eastAsia" w:ascii="仿宋" w:hAnsi="仿宋" w:eastAsia="仿宋" w:cs="仿宋"/>
          <w:sz w:val="28"/>
          <w:szCs w:val="28"/>
          <w:lang w:val="en-US" w:eastAsia="zh-CN"/>
        </w:rPr>
        <w:t>应</w:t>
      </w:r>
      <w:r>
        <w:rPr>
          <w:rFonts w:hint="eastAsia" w:ascii="仿宋" w:hAnsi="仿宋" w:eastAsia="仿宋" w:cs="仿宋"/>
          <w:sz w:val="28"/>
          <w:szCs w:val="28"/>
          <w:lang w:val="zh-CN"/>
        </w:rPr>
        <w:t>持续提供多层次、多形式的培训服务。培训内容涵盖系统应用操作、系统管理维护、数据备份恢复、用户权限设置及日常操作规范等内容。培训对象包括放射科医生、技师、登记人员、系统管理员及新入职员工等。</w:t>
      </w:r>
      <w:r>
        <w:rPr>
          <w:rFonts w:hint="eastAsia" w:ascii="仿宋" w:hAnsi="仿宋" w:eastAsia="仿宋" w:cs="仿宋"/>
          <w:sz w:val="28"/>
          <w:szCs w:val="28"/>
          <w:lang w:val="zh-CN"/>
        </w:rPr>
        <w:br w:type="textWrapping"/>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val="zh-CN"/>
        </w:rPr>
        <w:t>服务方</w:t>
      </w:r>
      <w:r>
        <w:rPr>
          <w:rFonts w:hint="eastAsia" w:ascii="仿宋" w:hAnsi="仿宋" w:eastAsia="仿宋" w:cs="仿宋"/>
          <w:sz w:val="28"/>
          <w:szCs w:val="28"/>
          <w:lang w:val="en-US" w:eastAsia="zh-CN"/>
        </w:rPr>
        <w:t>应</w:t>
      </w:r>
      <w:r>
        <w:rPr>
          <w:rFonts w:hint="eastAsia" w:ascii="仿宋" w:hAnsi="仿宋" w:eastAsia="仿宋" w:cs="仿宋"/>
          <w:sz w:val="28"/>
          <w:szCs w:val="28"/>
          <w:lang w:val="zh-CN"/>
        </w:rPr>
        <w:t>结合医院的使用实际，制定详细的培训计划与时间安排，确保不同岗位的用户都能熟练掌握相关功能的使用方法。同时，对在系统运行中出现的新问题或新需求，提供针对性的专项培训和现场答疑，帮助用户快速适应系统操作流程，提升工作效率和信息化应用能力。</w:t>
      </w:r>
    </w:p>
    <w:p w14:paraId="72DCB65D">
      <w:pPr>
        <w:spacing w:line="288" w:lineRule="auto"/>
        <w:rPr>
          <w:rFonts w:hint="eastAsia" w:ascii="仿宋" w:hAnsi="仿宋" w:eastAsia="仿宋" w:cs="仿宋"/>
          <w:b/>
          <w:bCs/>
          <w:sz w:val="28"/>
          <w:szCs w:val="28"/>
          <w:lang w:val="zh-CN"/>
        </w:rPr>
      </w:pPr>
      <w:r>
        <w:rPr>
          <w:rFonts w:hint="eastAsia" w:ascii="仿宋" w:hAnsi="仿宋" w:eastAsia="仿宋" w:cs="仿宋"/>
          <w:b/>
          <w:bCs/>
          <w:sz w:val="28"/>
          <w:szCs w:val="28"/>
          <w:lang w:val="zh-CN"/>
        </w:rPr>
        <w:t>（二）数据库管理与维护</w:t>
      </w:r>
    </w:p>
    <w:p w14:paraId="4C224C57">
      <w:pPr>
        <w:spacing w:line="288" w:lineRule="auto"/>
        <w:ind w:firstLine="560" w:firstLineChars="200"/>
        <w:rPr>
          <w:rFonts w:hint="eastAsia" w:ascii="仿宋" w:hAnsi="仿宋" w:eastAsia="仿宋" w:cs="仿宋"/>
          <w:sz w:val="28"/>
          <w:szCs w:val="28"/>
          <w:lang w:val="zh-CN"/>
        </w:rPr>
      </w:pPr>
      <w:r>
        <w:rPr>
          <w:rFonts w:hint="eastAsia" w:ascii="仿宋" w:hAnsi="仿宋" w:eastAsia="仿宋" w:cs="仿宋"/>
          <w:sz w:val="28"/>
          <w:szCs w:val="28"/>
          <w:lang w:val="zh-CN"/>
        </w:rPr>
        <w:t>数据库是PACS/RIS系统稳定运行的核心。服务方应在系统维保期间，提供完善的数据库管理与优化服务。包括对数据库运行状态、性能指标、数据完整性和安全性进行定期监测与检查，确保数据库在高并发访问和大数据量环境下的稳定性与响应速度。</w:t>
      </w:r>
      <w:r>
        <w:rPr>
          <w:rFonts w:hint="eastAsia" w:ascii="仿宋" w:hAnsi="仿宋" w:eastAsia="仿宋" w:cs="仿宋"/>
          <w:sz w:val="28"/>
          <w:szCs w:val="28"/>
          <w:lang w:val="zh-CN"/>
        </w:rPr>
        <w:br w:type="textWrapping"/>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val="zh-CN"/>
        </w:rPr>
        <w:t>此外，服务方应根据医院实际情况，适时执行数据库优化策略，如索引调整、日志压缩及定期备份，防止因数据增长或异常操作导致系统性能下降。同时，在必要时协助用户进行数据恢复演练与灾难恢复测试，确保数据安全可控、性能优良、运行流畅。</w:t>
      </w:r>
    </w:p>
    <w:p w14:paraId="2D9F2B59">
      <w:pPr>
        <w:spacing w:line="288" w:lineRule="auto"/>
        <w:rPr>
          <w:rFonts w:hint="eastAsia" w:ascii="仿宋" w:hAnsi="仿宋" w:eastAsia="仿宋" w:cs="仿宋"/>
          <w:b/>
          <w:bCs/>
          <w:sz w:val="28"/>
          <w:szCs w:val="28"/>
          <w:lang w:val="zh-CN"/>
        </w:rPr>
      </w:pPr>
      <w:r>
        <w:rPr>
          <w:rFonts w:hint="eastAsia" w:ascii="仿宋" w:hAnsi="仿宋" w:eastAsia="仿宋" w:cs="仿宋"/>
          <w:b/>
          <w:bCs/>
          <w:sz w:val="28"/>
          <w:szCs w:val="28"/>
          <w:lang w:val="zh-CN"/>
        </w:rPr>
        <w:t>（三）故障排除与异常处理</w:t>
      </w:r>
    </w:p>
    <w:p w14:paraId="4AEB964C">
      <w:pPr>
        <w:spacing w:line="288" w:lineRule="auto"/>
        <w:ind w:firstLine="560" w:firstLineChars="200"/>
        <w:rPr>
          <w:rFonts w:hint="eastAsia" w:ascii="仿宋" w:hAnsi="仿宋" w:eastAsia="仿宋" w:cs="仿宋"/>
          <w:sz w:val="28"/>
          <w:szCs w:val="28"/>
          <w:lang w:val="zh-CN"/>
        </w:rPr>
      </w:pPr>
      <w:r>
        <w:rPr>
          <w:rFonts w:hint="eastAsia" w:ascii="仿宋" w:hAnsi="仿宋" w:eastAsia="仿宋" w:cs="仿宋"/>
          <w:sz w:val="28"/>
          <w:szCs w:val="28"/>
          <w:lang w:val="zh-CN"/>
        </w:rPr>
        <w:t>在系统运行期间，服务方应提供全方位的故障排查与异常处理服务。对于系统软件、网络通信、接口连接、用户登录、影像调阅、报告生成等环节中出现的各类异常问题，服务方应通过专业技术手段进行快速诊断、定位和修复。</w:t>
      </w:r>
      <w:r>
        <w:rPr>
          <w:rFonts w:hint="eastAsia" w:ascii="仿宋" w:hAnsi="仿宋" w:eastAsia="仿宋" w:cs="仿宋"/>
          <w:sz w:val="28"/>
          <w:szCs w:val="28"/>
          <w:lang w:val="zh-CN"/>
        </w:rPr>
        <w:br w:type="textWrapping"/>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val="zh-CN"/>
        </w:rPr>
        <w:t>针对不同级别的故障，服务方</w:t>
      </w:r>
      <w:r>
        <w:rPr>
          <w:rFonts w:hint="eastAsia" w:ascii="仿宋" w:hAnsi="仿宋" w:eastAsia="仿宋" w:cs="仿宋"/>
          <w:sz w:val="28"/>
          <w:szCs w:val="28"/>
          <w:lang w:val="en-US" w:eastAsia="zh-CN"/>
        </w:rPr>
        <w:t>应</w:t>
      </w:r>
      <w:r>
        <w:rPr>
          <w:rFonts w:hint="eastAsia" w:ascii="仿宋" w:hAnsi="仿宋" w:eastAsia="仿宋" w:cs="仿宋"/>
          <w:sz w:val="28"/>
          <w:szCs w:val="28"/>
          <w:lang w:val="zh-CN"/>
        </w:rPr>
        <w:t>制定分级响应机制：一般问题通过远程方式即时处理，重大故障将第一时间派遣技术工程师前往现场。整个过程严格执行服务响应时限要求，确保系统故障得到快速修复、业务中断时间最小化，从而保障放射影像业务的连续运行与临床诊断的顺利开展。</w:t>
      </w:r>
    </w:p>
    <w:p w14:paraId="3B4CBCB7">
      <w:pPr>
        <w:spacing w:line="288" w:lineRule="auto"/>
        <w:rPr>
          <w:rFonts w:hint="eastAsia" w:ascii="仿宋" w:hAnsi="仿宋" w:eastAsia="仿宋" w:cs="仿宋"/>
          <w:b/>
          <w:bCs/>
          <w:sz w:val="28"/>
          <w:szCs w:val="28"/>
          <w:lang w:val="zh-CN"/>
        </w:rPr>
      </w:pPr>
      <w:r>
        <w:rPr>
          <w:rFonts w:hint="eastAsia" w:ascii="仿宋" w:hAnsi="仿宋" w:eastAsia="仿宋" w:cs="仿宋"/>
          <w:b/>
          <w:bCs/>
          <w:sz w:val="28"/>
          <w:szCs w:val="28"/>
          <w:lang w:val="zh-CN"/>
        </w:rPr>
        <w:t>（四）系统灾难恢复服务</w:t>
      </w:r>
    </w:p>
    <w:p w14:paraId="5F6F9E97">
      <w:pPr>
        <w:spacing w:line="288" w:lineRule="auto"/>
        <w:ind w:firstLine="560" w:firstLineChars="200"/>
        <w:rPr>
          <w:rFonts w:hint="eastAsia" w:ascii="仿宋" w:hAnsi="仿宋" w:eastAsia="仿宋" w:cs="仿宋"/>
          <w:sz w:val="28"/>
          <w:szCs w:val="28"/>
          <w:lang w:val="zh-CN"/>
        </w:rPr>
      </w:pPr>
      <w:r>
        <w:rPr>
          <w:rFonts w:hint="eastAsia" w:ascii="仿宋" w:hAnsi="仿宋" w:eastAsia="仿宋" w:cs="仿宋"/>
          <w:sz w:val="28"/>
          <w:szCs w:val="28"/>
          <w:lang w:val="zh-CN"/>
        </w:rPr>
        <w:t>在系统运行过程中，如遇到服务器故障、存储异常、数据库崩溃、恶意攻击等严重事件，服务方应启动灾难恢复机制。通过预先制定的应急响应与数据备份策略，协助用户在最短时间内恢复系统功能与数据完整性，尽可能减少系统停机时间与业务影响。</w:t>
      </w:r>
      <w:r>
        <w:rPr>
          <w:rFonts w:hint="eastAsia" w:ascii="仿宋" w:hAnsi="仿宋" w:eastAsia="仿宋" w:cs="仿宋"/>
          <w:sz w:val="28"/>
          <w:szCs w:val="28"/>
          <w:lang w:val="zh-CN"/>
        </w:rPr>
        <w:br w:type="textWrapping"/>
      </w:r>
      <w:r>
        <w:rPr>
          <w:rFonts w:hint="eastAsia" w:ascii="仿宋" w:hAnsi="仿宋" w:eastAsia="仿宋" w:cs="仿宋"/>
          <w:b/>
          <w:bCs/>
          <w:sz w:val="28"/>
          <w:szCs w:val="28"/>
          <w:lang w:val="en-US" w:eastAsia="zh-CN"/>
        </w:rPr>
        <w:t xml:space="preserve"> </w:t>
      </w:r>
      <w:r>
        <w:rPr>
          <w:rFonts w:hint="eastAsia" w:ascii="仿宋" w:hAnsi="仿宋" w:eastAsia="仿宋" w:cs="仿宋"/>
          <w:b/>
          <w:bCs/>
          <w:sz w:val="28"/>
          <w:szCs w:val="28"/>
          <w:lang w:val="zh-CN"/>
        </w:rPr>
        <w:t>（五）热线技术服务</w:t>
      </w:r>
    </w:p>
    <w:p w14:paraId="5F23CD74">
      <w:pPr>
        <w:spacing w:line="288" w:lineRule="auto"/>
        <w:ind w:firstLine="560" w:firstLineChars="200"/>
        <w:rPr>
          <w:rFonts w:hint="eastAsia" w:ascii="仿宋" w:hAnsi="仿宋" w:eastAsia="仿宋" w:cs="仿宋"/>
          <w:sz w:val="28"/>
          <w:szCs w:val="28"/>
          <w:lang w:val="zh-CN"/>
        </w:rPr>
      </w:pPr>
      <w:r>
        <w:rPr>
          <w:rFonts w:hint="eastAsia" w:ascii="仿宋" w:hAnsi="仿宋" w:eastAsia="仿宋" w:cs="仿宋"/>
          <w:sz w:val="28"/>
          <w:szCs w:val="28"/>
          <w:lang w:val="zh-CN"/>
        </w:rPr>
        <w:t>为确保用户在日常使用中遇到问题时能够获得快速支持，服务方设立7×24小时技术服务热线。用户可通过</w:t>
      </w:r>
      <w:r>
        <w:rPr>
          <w:rFonts w:hint="eastAsia" w:ascii="仿宋" w:hAnsi="仿宋" w:eastAsia="仿宋" w:cs="仿宋"/>
          <w:sz w:val="28"/>
          <w:szCs w:val="28"/>
          <w:lang w:val="en-US" w:eastAsia="zh-CN"/>
        </w:rPr>
        <w:t>400</w:t>
      </w:r>
      <w:r>
        <w:rPr>
          <w:rFonts w:hint="eastAsia" w:ascii="仿宋" w:hAnsi="仿宋" w:eastAsia="仿宋" w:cs="仿宋"/>
          <w:sz w:val="28"/>
          <w:szCs w:val="28"/>
          <w:lang w:val="zh-CN"/>
        </w:rPr>
        <w:t>电话、微信、电子邮件等</w:t>
      </w:r>
      <w:r>
        <w:rPr>
          <w:rFonts w:hint="eastAsia" w:ascii="仿宋" w:hAnsi="仿宋" w:eastAsia="仿宋" w:cs="仿宋"/>
          <w:sz w:val="28"/>
          <w:szCs w:val="28"/>
          <w:lang w:val="en-US" w:eastAsia="zh-CN"/>
        </w:rPr>
        <w:t>多种</w:t>
      </w:r>
      <w:r>
        <w:rPr>
          <w:rFonts w:hint="eastAsia" w:ascii="仿宋" w:hAnsi="仿宋" w:eastAsia="仿宋" w:cs="仿宋"/>
          <w:sz w:val="28"/>
          <w:szCs w:val="28"/>
          <w:lang w:val="zh-CN"/>
        </w:rPr>
        <w:t>方式联系维护工程师，获得即时技术指导与问题解答。</w:t>
      </w:r>
      <w:r>
        <w:rPr>
          <w:rFonts w:hint="eastAsia" w:ascii="仿宋" w:hAnsi="仿宋" w:eastAsia="仿宋" w:cs="仿宋"/>
          <w:sz w:val="28"/>
          <w:szCs w:val="28"/>
          <w:lang w:val="zh-CN"/>
        </w:rPr>
        <w:br w:type="textWrapping"/>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val="zh-CN"/>
        </w:rPr>
        <w:t>热线服务不仅限于简单咨询，还可远程辅助用户进行操作、参数检查、权限配置等。对于医院日常使用中遇到的常见问题和系统使用疑问，技术人员将提供详细指导和解决方案，确保用户问题得到及时响应与妥善解决。</w:t>
      </w:r>
    </w:p>
    <w:p w14:paraId="50773AB1">
      <w:pPr>
        <w:spacing w:line="288" w:lineRule="auto"/>
        <w:rPr>
          <w:rFonts w:hint="eastAsia" w:ascii="仿宋" w:hAnsi="仿宋" w:eastAsia="仿宋" w:cs="仿宋"/>
          <w:b/>
          <w:bCs/>
          <w:sz w:val="28"/>
          <w:szCs w:val="28"/>
          <w:lang w:val="zh-CN" w:eastAsia="zh-CN"/>
        </w:rPr>
      </w:pPr>
      <w:r>
        <w:rPr>
          <w:rFonts w:hint="eastAsia" w:ascii="仿宋" w:hAnsi="仿宋" w:eastAsia="仿宋" w:cs="仿宋"/>
          <w:b/>
          <w:bCs/>
          <w:sz w:val="28"/>
          <w:szCs w:val="28"/>
          <w:lang w:val="zh-CN" w:eastAsia="zh-CN"/>
        </w:rPr>
        <w:t>（六）远程技术服务</w:t>
      </w:r>
    </w:p>
    <w:p w14:paraId="63F23EDF">
      <w:pPr>
        <w:spacing w:line="288" w:lineRule="auto"/>
        <w:ind w:firstLine="560" w:firstLineChars="200"/>
        <w:rPr>
          <w:rFonts w:hint="eastAsia" w:ascii="仿宋" w:hAnsi="仿宋" w:eastAsia="仿宋" w:cs="仿宋"/>
          <w:sz w:val="28"/>
          <w:szCs w:val="28"/>
          <w:lang w:val="zh-CN"/>
        </w:rPr>
      </w:pPr>
      <w:r>
        <w:rPr>
          <w:rFonts w:hint="eastAsia" w:ascii="仿宋" w:hAnsi="仿宋" w:eastAsia="仿宋" w:cs="仿宋"/>
          <w:sz w:val="28"/>
          <w:szCs w:val="28"/>
          <w:lang w:val="zh-CN"/>
        </w:rPr>
        <w:t>当系统在运行中出现功能异常、性能下降或其他技术问题时，服务方技术工程师可在医院授权的安全堡垒机环境下，通过远程方式直接连接至系统服务器或工作站进行诊断与维护。</w:t>
      </w:r>
      <w:r>
        <w:rPr>
          <w:rFonts w:hint="eastAsia" w:ascii="仿宋" w:hAnsi="仿宋" w:eastAsia="仿宋" w:cs="仿宋"/>
          <w:sz w:val="28"/>
          <w:szCs w:val="28"/>
          <w:lang w:val="zh-CN"/>
        </w:rPr>
        <w:br w:type="textWrapping"/>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val="zh-CN"/>
        </w:rPr>
        <w:t>远程服务具有响应速度快、操作高效、风险可控等特点，可在不影响医院正常业务的前提下，快速完成系统调试、参数优化、日志分析和问题修复，减少现场干预时间，大幅提升问题处理效率。</w:t>
      </w:r>
    </w:p>
    <w:p w14:paraId="067A7570">
      <w:pPr>
        <w:spacing w:line="288" w:lineRule="auto"/>
        <w:rPr>
          <w:rFonts w:hint="eastAsia" w:ascii="仿宋" w:hAnsi="仿宋" w:eastAsia="仿宋" w:cs="仿宋"/>
          <w:b/>
          <w:bCs/>
          <w:sz w:val="28"/>
          <w:szCs w:val="28"/>
          <w:lang w:val="zh-CN" w:eastAsia="zh-CN"/>
        </w:rPr>
      </w:pPr>
      <w:r>
        <w:rPr>
          <w:rFonts w:hint="eastAsia" w:ascii="仿宋" w:hAnsi="仿宋" w:eastAsia="仿宋" w:cs="仿宋"/>
          <w:b/>
          <w:bCs/>
          <w:sz w:val="28"/>
          <w:szCs w:val="28"/>
          <w:lang w:val="zh-CN" w:eastAsia="zh-CN"/>
        </w:rPr>
        <w:t>（七）现场技术服务</w:t>
      </w:r>
    </w:p>
    <w:p w14:paraId="5F310608">
      <w:pPr>
        <w:spacing w:line="288" w:lineRule="auto"/>
        <w:ind w:firstLine="560" w:firstLineChars="200"/>
        <w:rPr>
          <w:rFonts w:hint="eastAsia" w:ascii="仿宋" w:hAnsi="仿宋" w:eastAsia="仿宋" w:cs="仿宋"/>
          <w:sz w:val="28"/>
          <w:szCs w:val="28"/>
          <w:lang w:val="zh-CN"/>
        </w:rPr>
      </w:pPr>
      <w:r>
        <w:rPr>
          <w:rFonts w:hint="eastAsia" w:ascii="仿宋" w:hAnsi="仿宋" w:eastAsia="仿宋" w:cs="仿宋"/>
          <w:sz w:val="28"/>
          <w:szCs w:val="28"/>
          <w:lang w:val="zh-CN"/>
        </w:rPr>
        <w:t>对于经远程技术支持仍无法解决的复杂问题，服务方应在与医院沟通确认后，按照双方约定的响应时限，及时派遣专业技术人员前往现场提供服务。现场服务包括系统检测、软件修复、硬件协调、接口调试、性能优化及使用指导等内容。</w:t>
      </w:r>
      <w:r>
        <w:rPr>
          <w:rFonts w:hint="eastAsia" w:ascii="仿宋" w:hAnsi="仿宋" w:eastAsia="仿宋" w:cs="仿宋"/>
          <w:sz w:val="28"/>
          <w:szCs w:val="28"/>
          <w:lang w:val="zh-CN"/>
        </w:rPr>
        <w:br w:type="textWrapping"/>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val="zh-CN"/>
        </w:rPr>
        <w:t>在现场服务过程中，技术人员将对系统运行环境进行全面排查，并出具维护记录与整改报告，确保问题得到根本性解决。同时，在必要时协助用户开展系统操作培训或工作流程优化，进一步提升医院信息系统的运行质量和使用体验。</w:t>
      </w:r>
    </w:p>
    <w:p w14:paraId="5D2F35B3">
      <w:pPr>
        <w:pStyle w:val="3"/>
        <w:tabs>
          <w:tab w:val="left" w:pos="720"/>
        </w:tabs>
        <w:spacing w:before="0" w:after="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二、技术参数</w:t>
      </w:r>
    </w:p>
    <w:p w14:paraId="40AB1AD7">
      <w:pPr>
        <w:tabs>
          <w:tab w:val="left" w:pos="-720"/>
        </w:tabs>
        <w:suppressAutoHyphens/>
        <w:spacing w:after="78"/>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具体服务内容</w:t>
      </w:r>
    </w:p>
    <w:p w14:paraId="0B76042E">
      <w:pPr>
        <w:pStyle w:val="16"/>
        <w:numPr>
          <w:ilvl w:val="0"/>
          <w:numId w:val="1"/>
        </w:numPr>
        <w:tabs>
          <w:tab w:val="left" w:pos="-720"/>
        </w:tabs>
        <w:suppressAutoHyphens/>
        <w:spacing w:after="78"/>
        <w:ind w:firstLineChars="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维护标准</w:t>
      </w:r>
    </w:p>
    <w:tbl>
      <w:tblPr>
        <w:tblStyle w:val="1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66"/>
        <w:gridCol w:w="1010"/>
        <w:gridCol w:w="1211"/>
        <w:gridCol w:w="5329"/>
      </w:tblGrid>
      <w:tr w14:paraId="77BA86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461" w:type="pct"/>
          </w:tcPr>
          <w:p w14:paraId="498B19E6">
            <w:pPr>
              <w:pStyle w:val="17"/>
              <w:snapToGrid w:val="0"/>
              <w:jc w:val="center"/>
              <w:rPr>
                <w:rFonts w:hint="eastAsia" w:ascii="仿宋" w:hAnsi="仿宋" w:eastAsia="仿宋" w:cs="仿宋"/>
                <w:sz w:val="28"/>
                <w:szCs w:val="28"/>
              </w:rPr>
            </w:pPr>
            <w:r>
              <w:rPr>
                <w:rFonts w:hint="eastAsia" w:ascii="仿宋" w:hAnsi="仿宋" w:eastAsia="仿宋" w:cs="仿宋"/>
                <w:sz w:val="28"/>
                <w:szCs w:val="28"/>
              </w:rPr>
              <w:t>序号</w:t>
            </w:r>
          </w:p>
        </w:tc>
        <w:tc>
          <w:tcPr>
            <w:tcW w:w="607" w:type="pct"/>
          </w:tcPr>
          <w:p w14:paraId="786D6771">
            <w:pPr>
              <w:pStyle w:val="17"/>
              <w:snapToGrid w:val="0"/>
              <w:jc w:val="center"/>
              <w:rPr>
                <w:rFonts w:hint="eastAsia" w:ascii="仿宋" w:hAnsi="仿宋" w:eastAsia="仿宋" w:cs="仿宋"/>
                <w:sz w:val="28"/>
                <w:szCs w:val="28"/>
              </w:rPr>
            </w:pPr>
            <w:r>
              <w:rPr>
                <w:rFonts w:hint="eastAsia" w:ascii="仿宋" w:hAnsi="仿宋" w:eastAsia="仿宋" w:cs="仿宋"/>
                <w:sz w:val="28"/>
                <w:szCs w:val="28"/>
              </w:rPr>
              <w:t>服务内容</w:t>
            </w:r>
          </w:p>
        </w:tc>
        <w:tc>
          <w:tcPr>
            <w:tcW w:w="728" w:type="pct"/>
          </w:tcPr>
          <w:p w14:paraId="1826408E">
            <w:pPr>
              <w:pStyle w:val="17"/>
              <w:snapToGrid w:val="0"/>
              <w:rPr>
                <w:rFonts w:hint="eastAsia" w:ascii="仿宋" w:hAnsi="仿宋" w:eastAsia="仿宋" w:cs="仿宋"/>
                <w:sz w:val="28"/>
                <w:szCs w:val="28"/>
              </w:rPr>
            </w:pPr>
            <w:r>
              <w:rPr>
                <w:rFonts w:hint="eastAsia" w:ascii="仿宋" w:hAnsi="仿宋" w:eastAsia="仿宋" w:cs="仿宋"/>
                <w:sz w:val="28"/>
                <w:szCs w:val="28"/>
              </w:rPr>
              <w:t>服务标准</w:t>
            </w:r>
          </w:p>
        </w:tc>
        <w:tc>
          <w:tcPr>
            <w:tcW w:w="3205" w:type="pct"/>
          </w:tcPr>
          <w:p w14:paraId="0E874DA6">
            <w:pPr>
              <w:pStyle w:val="17"/>
              <w:snapToGrid w:val="0"/>
              <w:jc w:val="center"/>
              <w:rPr>
                <w:rFonts w:hint="eastAsia" w:ascii="仿宋" w:hAnsi="仿宋" w:eastAsia="仿宋" w:cs="仿宋"/>
                <w:sz w:val="28"/>
                <w:szCs w:val="28"/>
              </w:rPr>
            </w:pPr>
            <w:r>
              <w:rPr>
                <w:rFonts w:hint="eastAsia" w:ascii="仿宋" w:hAnsi="仿宋" w:eastAsia="仿宋" w:cs="仿宋"/>
                <w:sz w:val="28"/>
                <w:szCs w:val="28"/>
              </w:rPr>
              <w:t>备注</w:t>
            </w:r>
          </w:p>
        </w:tc>
      </w:tr>
      <w:tr w14:paraId="25BB43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461" w:type="pct"/>
            <w:vAlign w:val="center"/>
          </w:tcPr>
          <w:p w14:paraId="49C35152">
            <w:pPr>
              <w:pStyle w:val="17"/>
              <w:snapToGrid w:val="0"/>
              <w:jc w:val="center"/>
              <w:rPr>
                <w:rFonts w:hint="eastAsia" w:ascii="仿宋" w:hAnsi="仿宋" w:eastAsia="仿宋" w:cs="仿宋"/>
                <w:sz w:val="28"/>
                <w:szCs w:val="28"/>
              </w:rPr>
            </w:pPr>
            <w:r>
              <w:rPr>
                <w:rFonts w:hint="eastAsia" w:ascii="仿宋" w:hAnsi="仿宋" w:eastAsia="仿宋" w:cs="仿宋"/>
                <w:sz w:val="28"/>
                <w:szCs w:val="28"/>
              </w:rPr>
              <w:t>1</w:t>
            </w:r>
          </w:p>
        </w:tc>
        <w:tc>
          <w:tcPr>
            <w:tcW w:w="607" w:type="pct"/>
            <w:vAlign w:val="center"/>
          </w:tcPr>
          <w:p w14:paraId="65139546">
            <w:pPr>
              <w:pStyle w:val="17"/>
              <w:snapToGrid w:val="0"/>
              <w:jc w:val="both"/>
              <w:rPr>
                <w:rFonts w:hint="eastAsia" w:ascii="仿宋" w:hAnsi="仿宋" w:eastAsia="仿宋" w:cs="仿宋"/>
                <w:sz w:val="28"/>
                <w:szCs w:val="28"/>
              </w:rPr>
            </w:pPr>
            <w:r>
              <w:rPr>
                <w:rFonts w:hint="eastAsia" w:ascii="仿宋" w:hAnsi="仿宋" w:eastAsia="仿宋" w:cs="仿宋"/>
                <w:sz w:val="28"/>
                <w:szCs w:val="28"/>
              </w:rPr>
              <w:t>电话支持服务</w:t>
            </w:r>
          </w:p>
        </w:tc>
        <w:tc>
          <w:tcPr>
            <w:tcW w:w="728" w:type="pct"/>
            <w:vAlign w:val="center"/>
          </w:tcPr>
          <w:p w14:paraId="3B527A24">
            <w:pPr>
              <w:pStyle w:val="17"/>
              <w:snapToGrid w:val="0"/>
              <w:jc w:val="left"/>
              <w:rPr>
                <w:rFonts w:hint="eastAsia" w:ascii="仿宋" w:hAnsi="仿宋" w:eastAsia="仿宋" w:cs="仿宋"/>
                <w:sz w:val="28"/>
                <w:szCs w:val="28"/>
              </w:rPr>
            </w:pPr>
            <w:r>
              <w:rPr>
                <w:rFonts w:hint="eastAsia" w:ascii="仿宋" w:hAnsi="仿宋" w:eastAsia="仿宋" w:cs="仿宋"/>
                <w:sz w:val="28"/>
                <w:szCs w:val="28"/>
              </w:rPr>
              <w:t>7*24 小时</w:t>
            </w:r>
          </w:p>
        </w:tc>
        <w:tc>
          <w:tcPr>
            <w:tcW w:w="3205" w:type="pct"/>
            <w:vAlign w:val="center"/>
          </w:tcPr>
          <w:p w14:paraId="66249D81">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电话支持服务响应时间：1 小时</w:t>
            </w:r>
          </w:p>
        </w:tc>
      </w:tr>
      <w:tr w14:paraId="5E7210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461" w:type="pct"/>
            <w:vAlign w:val="center"/>
          </w:tcPr>
          <w:p w14:paraId="1C125205">
            <w:pPr>
              <w:pStyle w:val="17"/>
              <w:snapToGrid w:val="0"/>
              <w:jc w:val="center"/>
              <w:rPr>
                <w:rFonts w:hint="eastAsia" w:ascii="仿宋" w:hAnsi="仿宋" w:eastAsia="仿宋" w:cs="仿宋"/>
                <w:sz w:val="28"/>
                <w:szCs w:val="28"/>
              </w:rPr>
            </w:pPr>
            <w:r>
              <w:rPr>
                <w:rFonts w:hint="eastAsia" w:ascii="仿宋" w:hAnsi="仿宋" w:eastAsia="仿宋" w:cs="仿宋"/>
                <w:sz w:val="28"/>
                <w:szCs w:val="28"/>
              </w:rPr>
              <w:t>2</w:t>
            </w:r>
          </w:p>
        </w:tc>
        <w:tc>
          <w:tcPr>
            <w:tcW w:w="607" w:type="pct"/>
            <w:vAlign w:val="center"/>
          </w:tcPr>
          <w:p w14:paraId="05E14A42">
            <w:pPr>
              <w:pStyle w:val="17"/>
              <w:snapToGrid w:val="0"/>
              <w:jc w:val="both"/>
              <w:rPr>
                <w:rFonts w:hint="eastAsia" w:ascii="仿宋" w:hAnsi="仿宋" w:eastAsia="仿宋" w:cs="仿宋"/>
                <w:sz w:val="28"/>
                <w:szCs w:val="28"/>
              </w:rPr>
            </w:pPr>
            <w:r>
              <w:rPr>
                <w:rFonts w:hint="eastAsia" w:ascii="仿宋" w:hAnsi="仿宋" w:eastAsia="仿宋" w:cs="仿宋"/>
                <w:sz w:val="28"/>
                <w:szCs w:val="28"/>
              </w:rPr>
              <w:t>网络远程支持服务</w:t>
            </w:r>
          </w:p>
        </w:tc>
        <w:tc>
          <w:tcPr>
            <w:tcW w:w="728" w:type="pct"/>
            <w:vAlign w:val="center"/>
          </w:tcPr>
          <w:p w14:paraId="2EEA818C">
            <w:pPr>
              <w:pStyle w:val="17"/>
              <w:snapToGrid w:val="0"/>
              <w:jc w:val="left"/>
              <w:rPr>
                <w:rFonts w:hint="eastAsia" w:ascii="仿宋" w:hAnsi="仿宋" w:eastAsia="仿宋" w:cs="仿宋"/>
                <w:sz w:val="28"/>
                <w:szCs w:val="28"/>
              </w:rPr>
            </w:pPr>
            <w:r>
              <w:rPr>
                <w:rFonts w:hint="eastAsia" w:ascii="仿宋" w:hAnsi="仿宋" w:eastAsia="仿宋" w:cs="仿宋"/>
                <w:sz w:val="28"/>
                <w:szCs w:val="28"/>
              </w:rPr>
              <w:t>7*24 小时</w:t>
            </w:r>
          </w:p>
        </w:tc>
        <w:tc>
          <w:tcPr>
            <w:tcW w:w="3205" w:type="pct"/>
            <w:vAlign w:val="center"/>
          </w:tcPr>
          <w:p w14:paraId="75789AD8">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网络远程支持服务响应时间：2 小时</w:t>
            </w:r>
          </w:p>
          <w:p w14:paraId="2ED93925">
            <w:pPr>
              <w:pStyle w:val="17"/>
              <w:snapToGrid w:val="0"/>
              <w:jc w:val="left"/>
              <w:rPr>
                <w:rFonts w:hint="eastAsia" w:ascii="仿宋" w:hAnsi="仿宋" w:eastAsia="仿宋" w:cs="仿宋"/>
                <w:sz w:val="28"/>
                <w:szCs w:val="28"/>
                <w:lang w:eastAsia="zh-CN"/>
              </w:rPr>
            </w:pPr>
            <w:r>
              <w:rPr>
                <w:rFonts w:hint="eastAsia" w:ascii="仿宋" w:hAnsi="仿宋" w:eastAsia="仿宋" w:cs="仿宋"/>
                <w:spacing w:val="4"/>
                <w:sz w:val="28"/>
                <w:szCs w:val="28"/>
                <w:lang w:eastAsia="zh-CN"/>
              </w:rPr>
              <w:t>最终用户提供外网远程登录的工具与账号给</w:t>
            </w:r>
            <w:r>
              <w:rPr>
                <w:rFonts w:hint="eastAsia" w:ascii="仿宋" w:hAnsi="仿宋" w:eastAsia="仿宋" w:cs="仿宋"/>
                <w:spacing w:val="-12"/>
                <w:sz w:val="28"/>
                <w:szCs w:val="28"/>
                <w:lang w:eastAsia="zh-CN"/>
              </w:rPr>
              <w:t>中标公司服务团队，此账号的有效期与双方合</w:t>
            </w:r>
            <w:r>
              <w:rPr>
                <w:rFonts w:hint="eastAsia" w:ascii="仿宋" w:hAnsi="仿宋" w:eastAsia="仿宋" w:cs="仿宋"/>
                <w:sz w:val="28"/>
                <w:szCs w:val="28"/>
                <w:lang w:eastAsia="zh-CN"/>
              </w:rPr>
              <w:t>作的期限同步。</w:t>
            </w:r>
          </w:p>
        </w:tc>
      </w:tr>
      <w:tr w14:paraId="7748F1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461" w:type="pct"/>
            <w:vMerge w:val="restart"/>
            <w:vAlign w:val="center"/>
          </w:tcPr>
          <w:p w14:paraId="58FCDE1F">
            <w:pPr>
              <w:pStyle w:val="17"/>
              <w:snapToGrid w:val="0"/>
              <w:jc w:val="center"/>
              <w:rPr>
                <w:rFonts w:hint="eastAsia" w:ascii="仿宋" w:hAnsi="仿宋" w:eastAsia="仿宋" w:cs="仿宋"/>
                <w:sz w:val="28"/>
                <w:szCs w:val="28"/>
              </w:rPr>
            </w:pPr>
            <w:r>
              <w:rPr>
                <w:rFonts w:hint="eastAsia" w:ascii="仿宋" w:hAnsi="仿宋" w:eastAsia="仿宋" w:cs="仿宋"/>
                <w:sz w:val="28"/>
                <w:szCs w:val="28"/>
              </w:rPr>
              <w:t>3</w:t>
            </w:r>
          </w:p>
        </w:tc>
        <w:tc>
          <w:tcPr>
            <w:tcW w:w="607" w:type="pct"/>
            <w:vMerge w:val="restart"/>
            <w:vAlign w:val="center"/>
          </w:tcPr>
          <w:p w14:paraId="77E2392E">
            <w:pPr>
              <w:pStyle w:val="17"/>
              <w:snapToGrid w:val="0"/>
              <w:jc w:val="both"/>
              <w:rPr>
                <w:rFonts w:hint="eastAsia" w:ascii="仿宋" w:hAnsi="仿宋" w:eastAsia="仿宋" w:cs="仿宋"/>
                <w:sz w:val="28"/>
                <w:szCs w:val="28"/>
              </w:rPr>
            </w:pPr>
            <w:r>
              <w:rPr>
                <w:rFonts w:hint="eastAsia" w:ascii="仿宋" w:hAnsi="仿宋" w:eastAsia="仿宋" w:cs="仿宋"/>
                <w:sz w:val="28"/>
                <w:szCs w:val="28"/>
              </w:rPr>
              <w:t>现场服务</w:t>
            </w:r>
          </w:p>
        </w:tc>
        <w:tc>
          <w:tcPr>
            <w:tcW w:w="728" w:type="pct"/>
            <w:vAlign w:val="center"/>
          </w:tcPr>
          <w:p w14:paraId="3CB88575">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I级</w:t>
            </w:r>
            <w:r>
              <w:rPr>
                <w:rFonts w:hint="eastAsia" w:ascii="仿宋" w:hAnsi="仿宋" w:eastAsia="仿宋" w:cs="仿宋"/>
                <w:spacing w:val="4"/>
                <w:sz w:val="28"/>
                <w:szCs w:val="28"/>
                <w:lang w:eastAsia="zh-CN"/>
              </w:rPr>
              <w:t xml:space="preserve">故障， </w:t>
            </w:r>
            <w:r>
              <w:rPr>
                <w:rFonts w:hint="eastAsia" w:ascii="仿宋" w:hAnsi="仿宋" w:eastAsia="仿宋" w:cs="仿宋"/>
                <w:sz w:val="28"/>
                <w:szCs w:val="28"/>
                <w:lang w:eastAsia="zh-CN"/>
              </w:rPr>
              <w:t>7*24小时；</w:t>
            </w:r>
          </w:p>
          <w:p w14:paraId="0DE4BAFD">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II、III</w:t>
            </w:r>
            <w:r>
              <w:rPr>
                <w:rFonts w:hint="eastAsia" w:ascii="仿宋" w:hAnsi="仿宋" w:eastAsia="仿宋" w:cs="仿宋"/>
                <w:spacing w:val="-1"/>
                <w:sz w:val="28"/>
                <w:szCs w:val="28"/>
                <w:lang w:eastAsia="zh-CN"/>
              </w:rPr>
              <w:t xml:space="preserve"> </w:t>
            </w:r>
            <w:r>
              <w:rPr>
                <w:rFonts w:hint="eastAsia" w:ascii="仿宋" w:hAnsi="仿宋" w:eastAsia="仿宋" w:cs="仿宋"/>
                <w:sz w:val="28"/>
                <w:szCs w:val="28"/>
                <w:lang w:eastAsia="zh-CN"/>
              </w:rPr>
              <w:t>级故障，5*8 小时；</w:t>
            </w:r>
          </w:p>
        </w:tc>
        <w:tc>
          <w:tcPr>
            <w:tcW w:w="3205" w:type="pct"/>
            <w:vAlign w:val="center"/>
          </w:tcPr>
          <w:p w14:paraId="1AE63B74">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I 级：系统宕机</w:t>
            </w:r>
          </w:p>
          <w:p w14:paraId="0D8385D2">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II 级：性能故障</w:t>
            </w:r>
          </w:p>
          <w:p w14:paraId="09B17101">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III 级：单点故障</w:t>
            </w:r>
          </w:p>
        </w:tc>
      </w:tr>
      <w:tr w14:paraId="59A19F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461" w:type="pct"/>
            <w:vMerge w:val="continue"/>
            <w:tcBorders>
              <w:top w:val="nil"/>
            </w:tcBorders>
            <w:vAlign w:val="center"/>
          </w:tcPr>
          <w:p w14:paraId="445945EE">
            <w:pPr>
              <w:autoSpaceDE w:val="0"/>
              <w:autoSpaceDN w:val="0"/>
              <w:snapToGrid w:val="0"/>
              <w:jc w:val="center"/>
              <w:rPr>
                <w:rFonts w:hint="eastAsia" w:ascii="仿宋" w:hAnsi="仿宋" w:eastAsia="仿宋" w:cs="仿宋"/>
                <w:sz w:val="28"/>
                <w:szCs w:val="28"/>
                <w:lang w:eastAsia="zh-CN"/>
              </w:rPr>
            </w:pPr>
          </w:p>
        </w:tc>
        <w:tc>
          <w:tcPr>
            <w:tcW w:w="607" w:type="pct"/>
            <w:vMerge w:val="continue"/>
            <w:tcBorders>
              <w:top w:val="nil"/>
            </w:tcBorders>
            <w:vAlign w:val="center"/>
          </w:tcPr>
          <w:p w14:paraId="2FDC9B98">
            <w:pPr>
              <w:autoSpaceDE w:val="0"/>
              <w:autoSpaceDN w:val="0"/>
              <w:snapToGrid w:val="0"/>
              <w:jc w:val="both"/>
              <w:rPr>
                <w:rFonts w:hint="eastAsia" w:ascii="仿宋" w:hAnsi="仿宋" w:eastAsia="仿宋" w:cs="仿宋"/>
                <w:sz w:val="28"/>
                <w:szCs w:val="28"/>
                <w:lang w:eastAsia="zh-CN"/>
              </w:rPr>
            </w:pPr>
          </w:p>
        </w:tc>
        <w:tc>
          <w:tcPr>
            <w:tcW w:w="728" w:type="pct"/>
            <w:vAlign w:val="center"/>
          </w:tcPr>
          <w:p w14:paraId="3D49F1C8">
            <w:pPr>
              <w:pStyle w:val="17"/>
              <w:snapToGrid w:val="0"/>
              <w:jc w:val="left"/>
              <w:rPr>
                <w:rFonts w:hint="eastAsia" w:ascii="仿宋" w:hAnsi="仿宋" w:eastAsia="仿宋" w:cs="仿宋"/>
                <w:sz w:val="28"/>
                <w:szCs w:val="28"/>
              </w:rPr>
            </w:pPr>
            <w:r>
              <w:rPr>
                <w:rFonts w:hint="eastAsia" w:ascii="仿宋" w:hAnsi="仿宋" w:eastAsia="仿宋" w:cs="仿宋"/>
                <w:sz w:val="28"/>
                <w:szCs w:val="28"/>
              </w:rPr>
              <w:t>上门服务</w:t>
            </w:r>
          </w:p>
        </w:tc>
        <w:tc>
          <w:tcPr>
            <w:tcW w:w="3205" w:type="pct"/>
            <w:vAlign w:val="center"/>
          </w:tcPr>
          <w:p w14:paraId="58CD5E25">
            <w:pPr>
              <w:pStyle w:val="17"/>
              <w:snapToGrid w:val="0"/>
              <w:jc w:val="left"/>
              <w:rPr>
                <w:rFonts w:hint="eastAsia" w:ascii="仿宋" w:hAnsi="仿宋" w:eastAsia="仿宋" w:cs="仿宋"/>
                <w:sz w:val="28"/>
                <w:szCs w:val="28"/>
                <w:lang w:eastAsia="zh-CN"/>
              </w:rPr>
            </w:pPr>
            <w:r>
              <w:rPr>
                <w:rFonts w:hint="eastAsia" w:ascii="仿宋" w:hAnsi="仿宋" w:eastAsia="仿宋" w:cs="仿宋"/>
                <w:spacing w:val="-12"/>
                <w:sz w:val="28"/>
                <w:szCs w:val="28"/>
                <w:lang w:eastAsia="zh-CN"/>
              </w:rPr>
              <w:t>当无法远程处理故障时，正常营业时间工程师</w:t>
            </w:r>
            <w:r>
              <w:rPr>
                <w:rFonts w:hint="eastAsia" w:ascii="仿宋" w:hAnsi="仿宋" w:eastAsia="仿宋" w:cs="仿宋"/>
                <w:sz w:val="28"/>
                <w:szCs w:val="28"/>
                <w:lang w:eastAsia="zh-CN"/>
              </w:rPr>
              <w:t>8</w:t>
            </w:r>
            <w:r>
              <w:rPr>
                <w:rFonts w:hint="eastAsia" w:ascii="仿宋" w:hAnsi="仿宋" w:eastAsia="仿宋" w:cs="仿宋"/>
                <w:spacing w:val="-1"/>
                <w:sz w:val="28"/>
                <w:szCs w:val="28"/>
                <w:lang w:eastAsia="zh-CN"/>
              </w:rPr>
              <w:t xml:space="preserve"> </w:t>
            </w:r>
            <w:r>
              <w:rPr>
                <w:rFonts w:hint="eastAsia" w:ascii="仿宋" w:hAnsi="仿宋" w:eastAsia="仿宋" w:cs="仿宋"/>
                <w:spacing w:val="-9"/>
                <w:sz w:val="28"/>
                <w:szCs w:val="28"/>
                <w:lang w:eastAsia="zh-CN"/>
              </w:rPr>
              <w:t>小时内到场。其他时间第二个工作日上门服</w:t>
            </w:r>
            <w:r>
              <w:rPr>
                <w:rFonts w:hint="eastAsia" w:ascii="仿宋" w:hAnsi="仿宋" w:eastAsia="仿宋" w:cs="仿宋"/>
                <w:sz w:val="28"/>
                <w:szCs w:val="28"/>
                <w:lang w:eastAsia="zh-CN"/>
              </w:rPr>
              <w:t>务。</w:t>
            </w:r>
          </w:p>
        </w:tc>
      </w:tr>
      <w:tr w14:paraId="5F00E8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461" w:type="pct"/>
            <w:vAlign w:val="center"/>
          </w:tcPr>
          <w:p w14:paraId="2862D88F">
            <w:pPr>
              <w:pStyle w:val="17"/>
              <w:snapToGrid w:val="0"/>
              <w:jc w:val="center"/>
              <w:rPr>
                <w:rFonts w:hint="eastAsia" w:ascii="仿宋" w:hAnsi="仿宋" w:eastAsia="仿宋" w:cs="仿宋"/>
                <w:sz w:val="28"/>
                <w:szCs w:val="28"/>
              </w:rPr>
            </w:pPr>
            <w:r>
              <w:rPr>
                <w:rFonts w:hint="eastAsia" w:ascii="仿宋" w:hAnsi="仿宋" w:eastAsia="仿宋" w:cs="仿宋"/>
                <w:sz w:val="28"/>
                <w:szCs w:val="28"/>
              </w:rPr>
              <w:t>4</w:t>
            </w:r>
          </w:p>
        </w:tc>
        <w:tc>
          <w:tcPr>
            <w:tcW w:w="607" w:type="pct"/>
            <w:vAlign w:val="center"/>
          </w:tcPr>
          <w:p w14:paraId="731AAD6E">
            <w:pPr>
              <w:pStyle w:val="17"/>
              <w:snapToGrid w:val="0"/>
              <w:jc w:val="both"/>
              <w:rPr>
                <w:rFonts w:hint="eastAsia" w:ascii="仿宋" w:hAnsi="仿宋" w:eastAsia="仿宋" w:cs="仿宋"/>
                <w:sz w:val="28"/>
                <w:szCs w:val="28"/>
              </w:rPr>
            </w:pPr>
            <w:r>
              <w:rPr>
                <w:rFonts w:hint="eastAsia" w:ascii="仿宋" w:hAnsi="仿宋" w:eastAsia="仿宋" w:cs="仿宋"/>
                <w:sz w:val="28"/>
                <w:szCs w:val="28"/>
              </w:rPr>
              <w:t>系统正常运转时间</w:t>
            </w:r>
          </w:p>
        </w:tc>
        <w:tc>
          <w:tcPr>
            <w:tcW w:w="728" w:type="pct"/>
            <w:vAlign w:val="center"/>
          </w:tcPr>
          <w:p w14:paraId="617C39BD">
            <w:pPr>
              <w:pStyle w:val="17"/>
              <w:snapToGrid w:val="0"/>
              <w:jc w:val="left"/>
              <w:rPr>
                <w:rFonts w:hint="eastAsia" w:ascii="仿宋" w:hAnsi="仿宋" w:eastAsia="仿宋" w:cs="仿宋"/>
                <w:sz w:val="28"/>
                <w:szCs w:val="28"/>
              </w:rPr>
            </w:pPr>
            <w:r>
              <w:rPr>
                <w:rFonts w:hint="eastAsia" w:ascii="仿宋" w:hAnsi="仿宋" w:eastAsia="仿宋" w:cs="仿宋"/>
                <w:sz w:val="28"/>
                <w:szCs w:val="28"/>
              </w:rPr>
              <w:t>&gt;95%</w:t>
            </w:r>
          </w:p>
        </w:tc>
        <w:tc>
          <w:tcPr>
            <w:tcW w:w="3205" w:type="pct"/>
            <w:vAlign w:val="center"/>
          </w:tcPr>
          <w:p w14:paraId="75BFED56">
            <w:pPr>
              <w:pStyle w:val="17"/>
              <w:snapToGrid w:val="0"/>
              <w:jc w:val="left"/>
              <w:rPr>
                <w:rFonts w:hint="eastAsia" w:ascii="仿宋" w:hAnsi="仿宋" w:eastAsia="仿宋" w:cs="仿宋"/>
                <w:sz w:val="28"/>
                <w:szCs w:val="28"/>
              </w:rPr>
            </w:pPr>
          </w:p>
        </w:tc>
      </w:tr>
      <w:tr w14:paraId="31198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461" w:type="pct"/>
            <w:vAlign w:val="center"/>
          </w:tcPr>
          <w:p w14:paraId="40ED7519">
            <w:pPr>
              <w:pStyle w:val="17"/>
              <w:snapToGrid w:val="0"/>
              <w:jc w:val="center"/>
              <w:rPr>
                <w:rFonts w:hint="eastAsia" w:ascii="仿宋" w:hAnsi="仿宋" w:eastAsia="仿宋" w:cs="仿宋"/>
                <w:sz w:val="28"/>
                <w:szCs w:val="28"/>
              </w:rPr>
            </w:pPr>
            <w:r>
              <w:rPr>
                <w:rFonts w:hint="eastAsia" w:ascii="仿宋" w:hAnsi="仿宋" w:eastAsia="仿宋" w:cs="仿宋"/>
                <w:sz w:val="28"/>
                <w:szCs w:val="28"/>
              </w:rPr>
              <w:t>5</w:t>
            </w:r>
          </w:p>
        </w:tc>
        <w:tc>
          <w:tcPr>
            <w:tcW w:w="607" w:type="pct"/>
            <w:vAlign w:val="center"/>
          </w:tcPr>
          <w:p w14:paraId="70B22322">
            <w:pPr>
              <w:pStyle w:val="17"/>
              <w:snapToGrid w:val="0"/>
              <w:jc w:val="both"/>
              <w:rPr>
                <w:rFonts w:hint="eastAsia" w:ascii="仿宋" w:hAnsi="仿宋" w:eastAsia="仿宋" w:cs="仿宋"/>
                <w:sz w:val="28"/>
                <w:szCs w:val="28"/>
              </w:rPr>
            </w:pPr>
            <w:r>
              <w:rPr>
                <w:rFonts w:hint="eastAsia" w:ascii="仿宋" w:hAnsi="仿宋" w:eastAsia="仿宋" w:cs="仿宋"/>
                <w:sz w:val="28"/>
                <w:szCs w:val="28"/>
              </w:rPr>
              <w:t>法定节假日值班</w:t>
            </w:r>
          </w:p>
        </w:tc>
        <w:tc>
          <w:tcPr>
            <w:tcW w:w="728" w:type="pct"/>
            <w:vAlign w:val="center"/>
          </w:tcPr>
          <w:p w14:paraId="7CFAD47F">
            <w:pPr>
              <w:pStyle w:val="17"/>
              <w:snapToGrid w:val="0"/>
              <w:jc w:val="left"/>
              <w:rPr>
                <w:rFonts w:hint="eastAsia" w:ascii="仿宋" w:hAnsi="仿宋" w:eastAsia="仿宋" w:cs="仿宋"/>
                <w:sz w:val="28"/>
                <w:szCs w:val="28"/>
              </w:rPr>
            </w:pPr>
            <w:r>
              <w:rPr>
                <w:rFonts w:hint="eastAsia" w:ascii="仿宋" w:hAnsi="仿宋" w:eastAsia="仿宋" w:cs="仿宋"/>
                <w:sz w:val="28"/>
                <w:szCs w:val="28"/>
              </w:rPr>
              <w:t>电话/网络远程值守</w:t>
            </w:r>
          </w:p>
        </w:tc>
        <w:tc>
          <w:tcPr>
            <w:tcW w:w="3205" w:type="pct"/>
            <w:vAlign w:val="center"/>
          </w:tcPr>
          <w:p w14:paraId="3DB703CC">
            <w:pPr>
              <w:pStyle w:val="17"/>
              <w:snapToGrid w:val="0"/>
              <w:jc w:val="left"/>
              <w:rPr>
                <w:rFonts w:hint="eastAsia" w:ascii="仿宋" w:hAnsi="仿宋" w:eastAsia="仿宋" w:cs="仿宋"/>
                <w:sz w:val="28"/>
                <w:szCs w:val="28"/>
                <w:lang w:eastAsia="zh-CN"/>
              </w:rPr>
            </w:pPr>
            <w:r>
              <w:rPr>
                <w:rFonts w:hint="eastAsia" w:ascii="仿宋" w:hAnsi="仿宋" w:eastAsia="仿宋" w:cs="仿宋"/>
                <w:spacing w:val="-12"/>
                <w:sz w:val="28"/>
                <w:szCs w:val="28"/>
                <w:lang w:eastAsia="zh-CN"/>
              </w:rPr>
              <w:t>每逢重大节假日，安排工程师提供假日系统远</w:t>
            </w:r>
            <w:r>
              <w:rPr>
                <w:rFonts w:hint="eastAsia" w:ascii="仿宋" w:hAnsi="仿宋" w:eastAsia="仿宋" w:cs="仿宋"/>
                <w:sz w:val="28"/>
                <w:szCs w:val="28"/>
                <w:lang w:eastAsia="zh-CN"/>
              </w:rPr>
              <w:t>程运行技术支持。</w:t>
            </w:r>
          </w:p>
        </w:tc>
      </w:tr>
      <w:tr w14:paraId="23159E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461" w:type="pct"/>
            <w:vAlign w:val="center"/>
          </w:tcPr>
          <w:p w14:paraId="3B3A3085">
            <w:pPr>
              <w:pStyle w:val="17"/>
              <w:snapToGrid w:val="0"/>
              <w:jc w:val="center"/>
              <w:rPr>
                <w:rFonts w:hint="eastAsia" w:ascii="仿宋" w:hAnsi="仿宋" w:eastAsia="仿宋" w:cs="仿宋"/>
                <w:sz w:val="28"/>
                <w:szCs w:val="28"/>
              </w:rPr>
            </w:pPr>
            <w:r>
              <w:rPr>
                <w:rFonts w:hint="eastAsia" w:ascii="仿宋" w:hAnsi="仿宋" w:eastAsia="仿宋" w:cs="仿宋"/>
                <w:sz w:val="28"/>
                <w:szCs w:val="28"/>
              </w:rPr>
              <w:t>6</w:t>
            </w:r>
          </w:p>
        </w:tc>
        <w:tc>
          <w:tcPr>
            <w:tcW w:w="607" w:type="pct"/>
            <w:vAlign w:val="center"/>
          </w:tcPr>
          <w:p w14:paraId="42642413">
            <w:pPr>
              <w:pStyle w:val="17"/>
              <w:snapToGrid w:val="0"/>
              <w:jc w:val="both"/>
              <w:rPr>
                <w:rFonts w:hint="eastAsia" w:ascii="仿宋" w:hAnsi="仿宋" w:eastAsia="仿宋" w:cs="仿宋"/>
                <w:sz w:val="28"/>
                <w:szCs w:val="28"/>
              </w:rPr>
            </w:pPr>
            <w:r>
              <w:rPr>
                <w:rFonts w:hint="eastAsia" w:ascii="仿宋" w:hAnsi="仿宋" w:eastAsia="仿宋" w:cs="仿宋"/>
                <w:sz w:val="28"/>
                <w:szCs w:val="28"/>
              </w:rPr>
              <w:t>系统保养维护</w:t>
            </w:r>
          </w:p>
        </w:tc>
        <w:tc>
          <w:tcPr>
            <w:tcW w:w="728" w:type="pct"/>
            <w:vAlign w:val="center"/>
          </w:tcPr>
          <w:p w14:paraId="16C8CADE">
            <w:pPr>
              <w:pStyle w:val="17"/>
              <w:snapToGrid w:val="0"/>
              <w:jc w:val="left"/>
              <w:rPr>
                <w:rFonts w:hint="eastAsia" w:ascii="仿宋" w:hAnsi="仿宋" w:eastAsia="仿宋" w:cs="仿宋"/>
                <w:sz w:val="28"/>
                <w:szCs w:val="28"/>
              </w:rPr>
            </w:pPr>
            <w:r>
              <w:rPr>
                <w:rFonts w:hint="eastAsia" w:ascii="仿宋" w:hAnsi="仿宋" w:eastAsia="仿宋" w:cs="仿宋"/>
                <w:sz w:val="28"/>
                <w:szCs w:val="28"/>
              </w:rPr>
              <w:t>每年 1 次</w:t>
            </w:r>
          </w:p>
        </w:tc>
        <w:tc>
          <w:tcPr>
            <w:tcW w:w="3205" w:type="pct"/>
            <w:vAlign w:val="center"/>
          </w:tcPr>
          <w:p w14:paraId="301B5195">
            <w:pPr>
              <w:pStyle w:val="17"/>
              <w:snapToGrid w:val="0"/>
              <w:jc w:val="left"/>
              <w:rPr>
                <w:rFonts w:hint="eastAsia" w:ascii="仿宋" w:hAnsi="仿宋" w:eastAsia="仿宋" w:cs="仿宋"/>
                <w:sz w:val="28"/>
                <w:szCs w:val="28"/>
                <w:lang w:eastAsia="zh-CN"/>
              </w:rPr>
            </w:pPr>
            <w:r>
              <w:rPr>
                <w:rFonts w:hint="eastAsia" w:ascii="仿宋" w:hAnsi="仿宋" w:eastAsia="仿宋" w:cs="仿宋"/>
                <w:spacing w:val="4"/>
                <w:sz w:val="28"/>
                <w:szCs w:val="28"/>
                <w:lang w:eastAsia="zh-CN"/>
              </w:rPr>
              <w:t>高级技术工程师医院现场系统健康检查及性</w:t>
            </w:r>
            <w:r>
              <w:rPr>
                <w:rFonts w:hint="eastAsia" w:ascii="仿宋" w:hAnsi="仿宋" w:eastAsia="仿宋" w:cs="仿宋"/>
                <w:spacing w:val="-13"/>
                <w:sz w:val="28"/>
                <w:szCs w:val="28"/>
                <w:lang w:eastAsia="zh-CN"/>
              </w:rPr>
              <w:t>能优化。包括操作系统、数据库和程序软件的</w:t>
            </w:r>
            <w:r>
              <w:rPr>
                <w:rFonts w:hint="eastAsia" w:ascii="仿宋" w:hAnsi="仿宋" w:eastAsia="仿宋" w:cs="仿宋"/>
                <w:sz w:val="28"/>
                <w:szCs w:val="28"/>
                <w:lang w:eastAsia="zh-CN"/>
              </w:rPr>
              <w:t>安全检查和性能优化。</w:t>
            </w:r>
          </w:p>
        </w:tc>
      </w:tr>
    </w:tbl>
    <w:p w14:paraId="6E49DAAF">
      <w:pPr>
        <w:pStyle w:val="17"/>
        <w:tabs>
          <w:tab w:val="left" w:pos="1660"/>
          <w:tab w:val="left" w:pos="2789"/>
        </w:tabs>
        <w:snapToGrid w:val="0"/>
        <w:ind w:left="5"/>
        <w:rPr>
          <w:rFonts w:hint="eastAsia" w:ascii="仿宋" w:hAnsi="仿宋" w:eastAsia="仿宋" w:cs="仿宋"/>
          <w:sz w:val="28"/>
          <w:szCs w:val="28"/>
          <w:lang w:eastAsia="zh-CN"/>
        </w:rPr>
      </w:pPr>
    </w:p>
    <w:p w14:paraId="75C7DFF1">
      <w:pPr>
        <w:pStyle w:val="17"/>
        <w:tabs>
          <w:tab w:val="left" w:pos="1660"/>
          <w:tab w:val="left" w:pos="2789"/>
        </w:tabs>
        <w:snapToGrid w:val="0"/>
        <w:ind w:left="5"/>
        <w:rPr>
          <w:rFonts w:hint="eastAsia" w:ascii="仿宋" w:hAnsi="仿宋" w:eastAsia="仿宋" w:cs="仿宋"/>
          <w:sz w:val="28"/>
          <w:szCs w:val="28"/>
          <w:lang w:eastAsia="zh-CN"/>
        </w:rPr>
      </w:pPr>
    </w:p>
    <w:p w14:paraId="73A59C89">
      <w:pPr>
        <w:pStyle w:val="17"/>
        <w:tabs>
          <w:tab w:val="left" w:pos="1660"/>
          <w:tab w:val="left" w:pos="2789"/>
        </w:tabs>
        <w:snapToGrid w:val="0"/>
        <w:ind w:left="5"/>
        <w:rPr>
          <w:rFonts w:hint="eastAsia" w:ascii="仿宋" w:hAnsi="仿宋" w:eastAsia="仿宋" w:cs="仿宋"/>
          <w:sz w:val="28"/>
          <w:szCs w:val="28"/>
          <w:lang w:eastAsia="zh-CN"/>
        </w:rPr>
      </w:pPr>
    </w:p>
    <w:p w14:paraId="22576DCD">
      <w:pPr>
        <w:pStyle w:val="16"/>
        <w:numPr>
          <w:ilvl w:val="0"/>
          <w:numId w:val="1"/>
        </w:numPr>
        <w:tabs>
          <w:tab w:val="left" w:pos="-720"/>
        </w:tabs>
        <w:suppressAutoHyphens/>
        <w:spacing w:after="78"/>
        <w:ind w:firstLineChars="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日常涉及的维护/维修工作内容</w:t>
      </w:r>
      <w:r>
        <w:rPr>
          <w:rFonts w:hint="eastAsia" w:ascii="仿宋" w:hAnsi="仿宋" w:eastAsia="仿宋" w:cs="仿宋"/>
          <w:b/>
          <w:bCs/>
          <w:color w:val="000000" w:themeColor="text1"/>
          <w:sz w:val="28"/>
          <w:szCs w:val="28"/>
          <w14:textFill>
            <w14:solidFill>
              <w14:schemeClr w14:val="tx1"/>
            </w14:solidFill>
          </w14:textFill>
        </w:rPr>
        <w:tab/>
      </w:r>
      <w:r>
        <w:rPr>
          <w:rFonts w:hint="eastAsia" w:ascii="仿宋" w:hAnsi="仿宋" w:eastAsia="仿宋" w:cs="仿宋"/>
          <w:b/>
          <w:bCs/>
          <w:color w:val="000000" w:themeColor="text1"/>
          <w:sz w:val="28"/>
          <w:szCs w:val="28"/>
          <w14:textFill>
            <w14:solidFill>
              <w14:schemeClr w14:val="tx1"/>
            </w14:solidFill>
          </w14:textFill>
        </w:rPr>
        <w:tab/>
      </w:r>
    </w:p>
    <w:tbl>
      <w:tblPr>
        <w:tblStyle w:val="1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104"/>
        <w:gridCol w:w="1241"/>
        <w:gridCol w:w="4248"/>
        <w:gridCol w:w="1723"/>
      </w:tblGrid>
      <w:tr w14:paraId="467BEE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664" w:type="pct"/>
          </w:tcPr>
          <w:p w14:paraId="0F1C1F7A">
            <w:pPr>
              <w:pStyle w:val="17"/>
              <w:snapToGrid w:val="0"/>
              <w:jc w:val="center"/>
              <w:rPr>
                <w:rFonts w:hint="eastAsia" w:ascii="仿宋" w:hAnsi="仿宋" w:eastAsia="仿宋" w:cs="仿宋"/>
                <w:sz w:val="28"/>
                <w:szCs w:val="28"/>
              </w:rPr>
            </w:pPr>
            <w:r>
              <w:rPr>
                <w:rFonts w:hint="eastAsia" w:ascii="仿宋" w:hAnsi="仿宋" w:eastAsia="仿宋" w:cs="仿宋"/>
                <w:sz w:val="28"/>
                <w:szCs w:val="28"/>
              </w:rPr>
              <w:t>使用科室</w:t>
            </w:r>
          </w:p>
        </w:tc>
        <w:tc>
          <w:tcPr>
            <w:tcW w:w="746" w:type="pct"/>
          </w:tcPr>
          <w:p w14:paraId="44F0422B">
            <w:pPr>
              <w:pStyle w:val="17"/>
              <w:snapToGrid w:val="0"/>
              <w:jc w:val="center"/>
              <w:rPr>
                <w:rFonts w:hint="eastAsia" w:ascii="仿宋" w:hAnsi="仿宋" w:eastAsia="仿宋" w:cs="仿宋"/>
                <w:sz w:val="28"/>
                <w:szCs w:val="28"/>
              </w:rPr>
            </w:pPr>
            <w:r>
              <w:rPr>
                <w:rFonts w:hint="eastAsia" w:ascii="仿宋" w:hAnsi="仿宋" w:eastAsia="仿宋" w:cs="仿宋"/>
                <w:sz w:val="28"/>
                <w:szCs w:val="28"/>
              </w:rPr>
              <w:t>应用系统</w:t>
            </w:r>
          </w:p>
        </w:tc>
        <w:tc>
          <w:tcPr>
            <w:tcW w:w="2554" w:type="pct"/>
          </w:tcPr>
          <w:p w14:paraId="502743F6">
            <w:pPr>
              <w:pStyle w:val="17"/>
              <w:snapToGrid w:val="0"/>
              <w:jc w:val="center"/>
              <w:rPr>
                <w:rFonts w:hint="eastAsia" w:ascii="仿宋" w:hAnsi="仿宋" w:eastAsia="仿宋" w:cs="仿宋"/>
                <w:sz w:val="28"/>
                <w:szCs w:val="28"/>
              </w:rPr>
            </w:pPr>
            <w:r>
              <w:rPr>
                <w:rFonts w:hint="eastAsia" w:ascii="仿宋" w:hAnsi="仿宋" w:eastAsia="仿宋" w:cs="仿宋"/>
                <w:sz w:val="28"/>
                <w:szCs w:val="28"/>
              </w:rPr>
              <w:t>服务内容</w:t>
            </w:r>
          </w:p>
        </w:tc>
        <w:tc>
          <w:tcPr>
            <w:tcW w:w="1036" w:type="pct"/>
          </w:tcPr>
          <w:p w14:paraId="0D671421">
            <w:pPr>
              <w:pStyle w:val="17"/>
              <w:snapToGrid w:val="0"/>
              <w:jc w:val="center"/>
              <w:rPr>
                <w:rFonts w:hint="eastAsia" w:ascii="仿宋" w:hAnsi="仿宋" w:eastAsia="仿宋" w:cs="仿宋"/>
                <w:sz w:val="28"/>
                <w:szCs w:val="28"/>
              </w:rPr>
            </w:pPr>
            <w:r>
              <w:rPr>
                <w:rFonts w:hint="eastAsia" w:ascii="仿宋" w:hAnsi="仿宋" w:eastAsia="仿宋" w:cs="仿宋"/>
                <w:sz w:val="28"/>
                <w:szCs w:val="28"/>
              </w:rPr>
              <w:t>备注</w:t>
            </w:r>
          </w:p>
        </w:tc>
      </w:tr>
      <w:tr w14:paraId="7FF96F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664" w:type="pct"/>
            <w:vAlign w:val="center"/>
          </w:tcPr>
          <w:p w14:paraId="1B8182DA">
            <w:pPr>
              <w:pStyle w:val="17"/>
              <w:snapToGrid w:val="0"/>
              <w:jc w:val="both"/>
              <w:rPr>
                <w:rFonts w:hint="eastAsia" w:ascii="仿宋" w:hAnsi="仿宋" w:eastAsia="仿宋" w:cs="仿宋"/>
                <w:sz w:val="28"/>
                <w:szCs w:val="28"/>
              </w:rPr>
            </w:pPr>
            <w:r>
              <w:rPr>
                <w:rFonts w:hint="eastAsia" w:ascii="仿宋" w:hAnsi="仿宋" w:eastAsia="仿宋" w:cs="仿宋"/>
                <w:sz w:val="28"/>
                <w:szCs w:val="28"/>
              </w:rPr>
              <w:t>放射科</w:t>
            </w:r>
          </w:p>
        </w:tc>
        <w:tc>
          <w:tcPr>
            <w:tcW w:w="746" w:type="pct"/>
            <w:vAlign w:val="center"/>
          </w:tcPr>
          <w:p w14:paraId="5285AAA7">
            <w:pPr>
              <w:pStyle w:val="17"/>
              <w:snapToGrid w:val="0"/>
              <w:jc w:val="both"/>
              <w:rPr>
                <w:rFonts w:hint="eastAsia" w:ascii="仿宋" w:hAnsi="仿宋" w:eastAsia="仿宋" w:cs="仿宋"/>
                <w:sz w:val="28"/>
                <w:szCs w:val="28"/>
              </w:rPr>
            </w:pPr>
            <w:r>
              <w:rPr>
                <w:rFonts w:hint="eastAsia" w:ascii="仿宋" w:hAnsi="仿宋" w:eastAsia="仿宋" w:cs="仿宋"/>
                <w:sz w:val="28"/>
                <w:szCs w:val="28"/>
              </w:rPr>
              <w:t>RIS 系统</w:t>
            </w:r>
          </w:p>
        </w:tc>
        <w:tc>
          <w:tcPr>
            <w:tcW w:w="2554" w:type="pct"/>
            <w:vAlign w:val="center"/>
          </w:tcPr>
          <w:p w14:paraId="6CF0B11E">
            <w:pPr>
              <w:pStyle w:val="17"/>
              <w:snapToGrid w:val="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1</w:t>
            </w:r>
            <w:r>
              <w:rPr>
                <w:rFonts w:hint="eastAsia" w:ascii="仿宋" w:hAnsi="仿宋" w:eastAsia="仿宋" w:cs="仿宋"/>
                <w:spacing w:val="-7"/>
                <w:sz w:val="28"/>
                <w:szCs w:val="28"/>
                <w:lang w:eastAsia="zh-CN"/>
              </w:rPr>
              <w:t>、 客户端日常维护，包括客户端配置维护、</w:t>
            </w:r>
            <w:r>
              <w:rPr>
                <w:rFonts w:hint="eastAsia" w:ascii="仿宋" w:hAnsi="仿宋" w:eastAsia="仿宋" w:cs="仿宋"/>
                <w:spacing w:val="3"/>
                <w:sz w:val="28"/>
                <w:szCs w:val="28"/>
                <w:lang w:eastAsia="zh-CN"/>
              </w:rPr>
              <w:t>患者信息变更、检查信息变更、登记接口</w:t>
            </w:r>
            <w:r>
              <w:rPr>
                <w:rFonts w:hint="eastAsia" w:ascii="仿宋" w:hAnsi="仿宋" w:eastAsia="仿宋" w:cs="仿宋"/>
                <w:spacing w:val="-14"/>
                <w:sz w:val="28"/>
                <w:szCs w:val="28"/>
                <w:lang w:eastAsia="zh-CN"/>
              </w:rPr>
              <w:t>维护、指导新客户端安装部署</w:t>
            </w:r>
            <w:r>
              <w:rPr>
                <w:rFonts w:hint="eastAsia" w:ascii="仿宋" w:hAnsi="仿宋" w:eastAsia="仿宋" w:cs="仿宋"/>
                <w:sz w:val="28"/>
                <w:szCs w:val="28"/>
                <w:lang w:eastAsia="zh-CN"/>
              </w:rPr>
              <w:t>（根据需要</w:t>
            </w:r>
            <w:r>
              <w:rPr>
                <w:rFonts w:hint="eastAsia" w:ascii="仿宋" w:hAnsi="仿宋" w:eastAsia="仿宋" w:cs="仿宋"/>
                <w:spacing w:val="-120"/>
                <w:sz w:val="28"/>
                <w:szCs w:val="28"/>
                <w:lang w:eastAsia="zh-CN"/>
              </w:rPr>
              <w:t>）</w:t>
            </w:r>
            <w:r>
              <w:rPr>
                <w:rFonts w:hint="eastAsia" w:ascii="仿宋" w:hAnsi="仿宋" w:eastAsia="仿宋" w:cs="仿宋"/>
                <w:spacing w:val="-12"/>
                <w:sz w:val="28"/>
                <w:szCs w:val="28"/>
                <w:lang w:eastAsia="zh-CN"/>
              </w:rPr>
              <w:t>。</w:t>
            </w:r>
          </w:p>
          <w:p w14:paraId="68C7ADAD">
            <w:pPr>
              <w:pStyle w:val="17"/>
              <w:snapToGrid w:val="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2</w:t>
            </w:r>
            <w:r>
              <w:rPr>
                <w:rFonts w:hint="eastAsia" w:ascii="仿宋" w:hAnsi="仿宋" w:eastAsia="仿宋" w:cs="仿宋"/>
                <w:spacing w:val="-6"/>
                <w:sz w:val="28"/>
                <w:szCs w:val="28"/>
                <w:lang w:eastAsia="zh-CN"/>
              </w:rPr>
              <w:t>、 人员字典、检查项目字典、疾病代码字典等各类系统字典的维护。</w:t>
            </w:r>
          </w:p>
          <w:p w14:paraId="4F5EC7B3">
            <w:pPr>
              <w:pStyle w:val="17"/>
              <w:snapToGrid w:val="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3</w:t>
            </w:r>
            <w:r>
              <w:rPr>
                <w:rFonts w:hint="eastAsia" w:ascii="仿宋" w:hAnsi="仿宋" w:eastAsia="仿宋" w:cs="仿宋"/>
                <w:spacing w:val="-8"/>
                <w:sz w:val="28"/>
                <w:szCs w:val="28"/>
                <w:lang w:eastAsia="zh-CN"/>
              </w:rPr>
              <w:t>、 打印模板和全局报告模板维护。</w:t>
            </w:r>
          </w:p>
          <w:p w14:paraId="021FEF8E">
            <w:pPr>
              <w:pStyle w:val="17"/>
              <w:snapToGrid w:val="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4</w:t>
            </w:r>
            <w:r>
              <w:rPr>
                <w:rFonts w:hint="eastAsia" w:ascii="仿宋" w:hAnsi="仿宋" w:eastAsia="仿宋" w:cs="仿宋"/>
                <w:spacing w:val="-8"/>
                <w:sz w:val="28"/>
                <w:szCs w:val="28"/>
                <w:lang w:eastAsia="zh-CN"/>
              </w:rPr>
              <w:t>、 各类报表的统计汇总模板维护。</w:t>
            </w:r>
          </w:p>
          <w:p w14:paraId="1E35BFAE">
            <w:pPr>
              <w:pStyle w:val="17"/>
              <w:snapToGrid w:val="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5</w:t>
            </w:r>
            <w:r>
              <w:rPr>
                <w:rFonts w:hint="eastAsia" w:ascii="仿宋" w:hAnsi="仿宋" w:eastAsia="仿宋" w:cs="仿宋"/>
                <w:spacing w:val="-7"/>
                <w:sz w:val="28"/>
                <w:szCs w:val="28"/>
                <w:lang w:eastAsia="zh-CN"/>
              </w:rPr>
              <w:t>、 服务端各类应用服务的维护，包括报告自</w:t>
            </w:r>
            <w:r>
              <w:rPr>
                <w:rFonts w:hint="eastAsia" w:ascii="仿宋" w:hAnsi="仿宋" w:eastAsia="仿宋" w:cs="仿宋"/>
                <w:spacing w:val="-9"/>
                <w:sz w:val="28"/>
                <w:szCs w:val="28"/>
                <w:lang w:eastAsia="zh-CN"/>
              </w:rPr>
              <w:t>动分发服务、公告板服务、实时通讯服务、</w:t>
            </w:r>
            <w:r>
              <w:rPr>
                <w:rFonts w:hint="eastAsia" w:ascii="仿宋" w:hAnsi="仿宋" w:eastAsia="仿宋" w:cs="仿宋"/>
                <w:sz w:val="28"/>
                <w:szCs w:val="28"/>
                <w:lang w:eastAsia="zh-CN"/>
              </w:rPr>
              <w:t>PDF</w:t>
            </w:r>
            <w:r>
              <w:rPr>
                <w:rFonts w:hint="eastAsia" w:ascii="仿宋" w:hAnsi="仿宋" w:eastAsia="仿宋" w:cs="仿宋"/>
                <w:spacing w:val="2"/>
                <w:sz w:val="28"/>
                <w:szCs w:val="28"/>
                <w:lang w:eastAsia="zh-CN"/>
              </w:rPr>
              <w:t xml:space="preserve"> </w:t>
            </w:r>
            <w:r>
              <w:rPr>
                <w:rFonts w:hint="eastAsia" w:ascii="仿宋" w:hAnsi="仿宋" w:eastAsia="仿宋" w:cs="仿宋"/>
                <w:spacing w:val="4"/>
                <w:sz w:val="28"/>
                <w:szCs w:val="28"/>
                <w:lang w:eastAsia="zh-CN"/>
              </w:rPr>
              <w:t>报告生成服务（如有）</w:t>
            </w:r>
            <w:r>
              <w:rPr>
                <w:rFonts w:hint="eastAsia" w:ascii="仿宋" w:hAnsi="仿宋" w:eastAsia="仿宋" w:cs="仿宋"/>
                <w:spacing w:val="3"/>
                <w:sz w:val="28"/>
                <w:szCs w:val="28"/>
                <w:lang w:eastAsia="zh-CN"/>
              </w:rPr>
              <w:t>和预约平台服务（如有）。</w:t>
            </w:r>
          </w:p>
          <w:p w14:paraId="0F072652">
            <w:pPr>
              <w:pStyle w:val="17"/>
              <w:snapToGrid w:val="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6、 SQL Server 数据库日常维护，包括各类视图维护、检查数据库大小、检查数据库备</w:t>
            </w:r>
          </w:p>
          <w:p w14:paraId="2055D36F">
            <w:pPr>
              <w:pStyle w:val="17"/>
              <w:snapToGrid w:val="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份大小、检查维护计划任务运行情况等。</w:t>
            </w:r>
          </w:p>
        </w:tc>
        <w:tc>
          <w:tcPr>
            <w:tcW w:w="1036" w:type="pct"/>
            <w:vAlign w:val="center"/>
          </w:tcPr>
          <w:p w14:paraId="179D1348">
            <w:pPr>
              <w:pStyle w:val="17"/>
              <w:snapToGrid w:val="0"/>
              <w:jc w:val="both"/>
              <w:rPr>
                <w:rFonts w:hint="eastAsia" w:ascii="仿宋" w:hAnsi="仿宋" w:eastAsia="仿宋" w:cs="仿宋"/>
                <w:sz w:val="28"/>
                <w:szCs w:val="28"/>
              </w:rPr>
            </w:pPr>
            <w:r>
              <w:rPr>
                <w:rFonts w:hint="eastAsia" w:ascii="仿宋" w:hAnsi="仿宋" w:eastAsia="仿宋" w:cs="仿宋"/>
                <w:sz w:val="28"/>
                <w:szCs w:val="28"/>
              </w:rPr>
              <w:t>放射科业务信息管理</w:t>
            </w:r>
          </w:p>
        </w:tc>
      </w:tr>
      <w:tr w14:paraId="5E3AD6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664" w:type="pct"/>
            <w:vAlign w:val="center"/>
          </w:tcPr>
          <w:p w14:paraId="1F317A08">
            <w:pPr>
              <w:pStyle w:val="17"/>
              <w:snapToGrid w:val="0"/>
              <w:jc w:val="both"/>
              <w:rPr>
                <w:rFonts w:hint="eastAsia" w:ascii="仿宋" w:hAnsi="仿宋" w:eastAsia="仿宋" w:cs="仿宋"/>
                <w:sz w:val="28"/>
                <w:szCs w:val="28"/>
              </w:rPr>
            </w:pPr>
            <w:r>
              <w:rPr>
                <w:rFonts w:hint="eastAsia" w:ascii="仿宋" w:hAnsi="仿宋" w:eastAsia="仿宋" w:cs="仿宋"/>
                <w:sz w:val="28"/>
                <w:szCs w:val="28"/>
              </w:rPr>
              <w:t>放射科</w:t>
            </w:r>
          </w:p>
        </w:tc>
        <w:tc>
          <w:tcPr>
            <w:tcW w:w="746" w:type="pct"/>
            <w:vAlign w:val="center"/>
          </w:tcPr>
          <w:p w14:paraId="48235082">
            <w:pPr>
              <w:pStyle w:val="17"/>
              <w:snapToGrid w:val="0"/>
              <w:jc w:val="both"/>
              <w:rPr>
                <w:rFonts w:hint="eastAsia" w:ascii="仿宋" w:hAnsi="仿宋" w:eastAsia="仿宋" w:cs="仿宋"/>
                <w:sz w:val="28"/>
                <w:szCs w:val="28"/>
              </w:rPr>
            </w:pPr>
            <w:r>
              <w:rPr>
                <w:rFonts w:hint="eastAsia" w:ascii="仿宋" w:hAnsi="仿宋" w:eastAsia="仿宋" w:cs="仿宋"/>
                <w:sz w:val="28"/>
                <w:szCs w:val="28"/>
              </w:rPr>
              <w:t>Broker 系统</w:t>
            </w:r>
          </w:p>
        </w:tc>
        <w:tc>
          <w:tcPr>
            <w:tcW w:w="2554" w:type="pct"/>
            <w:vAlign w:val="center"/>
          </w:tcPr>
          <w:p w14:paraId="0DD46FA2">
            <w:pPr>
              <w:pStyle w:val="17"/>
              <w:snapToGrid w:val="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1、 设备 Worklist 接口维护。</w:t>
            </w:r>
          </w:p>
          <w:p w14:paraId="29CB5C9D">
            <w:pPr>
              <w:pStyle w:val="17"/>
              <w:snapToGrid w:val="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2、 影像图像到图通知接口维护。</w:t>
            </w:r>
          </w:p>
          <w:p w14:paraId="79ACC6CD">
            <w:pPr>
              <w:pStyle w:val="17"/>
              <w:snapToGrid w:val="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3、 现有与第三方接口维护，包括（如有）： HIS 接口、电子病历接口、全院信息集成平台接口等等。</w:t>
            </w:r>
          </w:p>
          <w:p w14:paraId="7453A985">
            <w:pPr>
              <w:pStyle w:val="17"/>
              <w:snapToGrid w:val="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4、 SQL Server 数据库日常维护，包括检查数</w:t>
            </w:r>
          </w:p>
          <w:p w14:paraId="489B47AE">
            <w:pPr>
              <w:pStyle w:val="17"/>
              <w:snapToGrid w:val="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据库大小、检查数据库备份大小、检查维护计划任务运行情况等。</w:t>
            </w:r>
          </w:p>
        </w:tc>
        <w:tc>
          <w:tcPr>
            <w:tcW w:w="1036" w:type="pct"/>
            <w:vAlign w:val="center"/>
          </w:tcPr>
          <w:p w14:paraId="0819BB80">
            <w:pPr>
              <w:pStyle w:val="17"/>
              <w:snapToGrid w:val="0"/>
              <w:jc w:val="both"/>
              <w:rPr>
                <w:rFonts w:hint="eastAsia" w:ascii="仿宋" w:hAnsi="仿宋" w:eastAsia="仿宋" w:cs="仿宋"/>
                <w:sz w:val="28"/>
                <w:szCs w:val="28"/>
              </w:rPr>
            </w:pPr>
            <w:r>
              <w:rPr>
                <w:rFonts w:hint="eastAsia" w:ascii="仿宋" w:hAnsi="仿宋" w:eastAsia="仿宋" w:cs="仿宋"/>
                <w:sz w:val="28"/>
                <w:szCs w:val="28"/>
              </w:rPr>
              <w:t>集成信息及集成接口管理</w:t>
            </w:r>
          </w:p>
        </w:tc>
      </w:tr>
      <w:tr w14:paraId="19671F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664" w:type="pct"/>
            <w:vAlign w:val="center"/>
          </w:tcPr>
          <w:p w14:paraId="1241AF0E">
            <w:pPr>
              <w:pStyle w:val="17"/>
              <w:snapToGrid w:val="0"/>
              <w:jc w:val="both"/>
              <w:rPr>
                <w:rFonts w:hint="eastAsia" w:ascii="仿宋" w:hAnsi="仿宋" w:eastAsia="仿宋" w:cs="仿宋"/>
                <w:sz w:val="28"/>
                <w:szCs w:val="28"/>
              </w:rPr>
            </w:pPr>
            <w:r>
              <w:rPr>
                <w:rFonts w:hint="eastAsia" w:ascii="仿宋" w:hAnsi="仿宋" w:eastAsia="仿宋" w:cs="仿宋"/>
                <w:sz w:val="28"/>
                <w:szCs w:val="28"/>
              </w:rPr>
              <w:t>放射科</w:t>
            </w:r>
          </w:p>
        </w:tc>
        <w:tc>
          <w:tcPr>
            <w:tcW w:w="746" w:type="pct"/>
            <w:vAlign w:val="center"/>
          </w:tcPr>
          <w:p w14:paraId="07677F4A">
            <w:pPr>
              <w:pStyle w:val="17"/>
              <w:snapToGrid w:val="0"/>
              <w:jc w:val="both"/>
              <w:rPr>
                <w:rFonts w:hint="eastAsia" w:ascii="仿宋" w:hAnsi="仿宋" w:eastAsia="仿宋" w:cs="仿宋"/>
                <w:sz w:val="28"/>
                <w:szCs w:val="28"/>
              </w:rPr>
            </w:pPr>
            <w:r>
              <w:rPr>
                <w:rFonts w:hint="eastAsia" w:ascii="仿宋" w:hAnsi="仿宋" w:eastAsia="仿宋" w:cs="仿宋"/>
                <w:sz w:val="28"/>
                <w:szCs w:val="28"/>
              </w:rPr>
              <w:t>PACS系统</w:t>
            </w:r>
          </w:p>
        </w:tc>
        <w:tc>
          <w:tcPr>
            <w:tcW w:w="2554" w:type="pct"/>
            <w:vAlign w:val="center"/>
          </w:tcPr>
          <w:p w14:paraId="288AEAD0">
            <w:pPr>
              <w:pStyle w:val="17"/>
              <w:snapToGrid w:val="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1</w:t>
            </w:r>
            <w:r>
              <w:rPr>
                <w:rFonts w:hint="eastAsia" w:ascii="仿宋" w:hAnsi="仿宋" w:eastAsia="仿宋" w:cs="仿宋"/>
                <w:spacing w:val="-6"/>
                <w:sz w:val="28"/>
                <w:szCs w:val="28"/>
                <w:lang w:eastAsia="zh-CN"/>
              </w:rPr>
              <w:t>、 服务端应用服务的维护，如图像接收与存储</w:t>
            </w:r>
          </w:p>
          <w:p w14:paraId="745EF87D">
            <w:pPr>
              <w:pStyle w:val="17"/>
              <w:snapToGrid w:val="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2、 Oracle 数据库维护，包括检查数据库使用百分比、检查数据库备份大小、检查数据库备份情况等。</w:t>
            </w:r>
          </w:p>
          <w:p w14:paraId="7A6FC5D3">
            <w:pPr>
              <w:pStyle w:val="17"/>
              <w:snapToGrid w:val="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3、 数据库性能维护</w:t>
            </w:r>
          </w:p>
          <w:p w14:paraId="2D051794">
            <w:pPr>
              <w:pStyle w:val="17"/>
              <w:snapToGrid w:val="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4、 图像存储空间</w:t>
            </w:r>
          </w:p>
          <w:p w14:paraId="37666035">
            <w:pPr>
              <w:pStyle w:val="17"/>
              <w:snapToGrid w:val="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5、 检查图像匹配、拆分和合并等一致性问题</w:t>
            </w:r>
          </w:p>
          <w:p w14:paraId="6D85AA1E">
            <w:pPr>
              <w:pStyle w:val="17"/>
              <w:snapToGrid w:val="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6、 图像数据的备份（如果有）</w:t>
            </w:r>
          </w:p>
          <w:p w14:paraId="086D3A38">
            <w:pPr>
              <w:pStyle w:val="17"/>
              <w:snapToGrid w:val="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7、 PACS 客户端日常问题处理，包括：医生的系统操作问题、显卡驱动适合的绘图方法设置、客户端个性化设置、DP（挂片协议）个性化设置指导、影像数据导出导入。</w:t>
            </w:r>
          </w:p>
        </w:tc>
        <w:tc>
          <w:tcPr>
            <w:tcW w:w="1036" w:type="pct"/>
            <w:vAlign w:val="center"/>
          </w:tcPr>
          <w:p w14:paraId="615F204D">
            <w:pPr>
              <w:pStyle w:val="17"/>
              <w:snapToGrid w:val="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医学</w:t>
            </w:r>
            <w:r>
              <w:rPr>
                <w:rFonts w:hint="eastAsia" w:ascii="仿宋" w:hAnsi="仿宋" w:eastAsia="仿宋" w:cs="仿宋"/>
                <w:color w:val="333333"/>
                <w:sz w:val="28"/>
                <w:szCs w:val="28"/>
                <w:lang w:eastAsia="zh-CN"/>
              </w:rPr>
              <w:t>影像归档和通信管理</w:t>
            </w:r>
          </w:p>
        </w:tc>
      </w:tr>
      <w:tr w14:paraId="465FAB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664" w:type="pct"/>
            <w:vAlign w:val="center"/>
          </w:tcPr>
          <w:p w14:paraId="242BE4A5">
            <w:pPr>
              <w:pStyle w:val="19"/>
              <w:autoSpaceDE w:val="0"/>
              <w:autoSpaceDN w:val="0"/>
              <w:snapToGrid w:val="0"/>
              <w:spacing w:line="240" w:lineRule="auto"/>
              <w:jc w:val="both"/>
              <w:rPr>
                <w:rFonts w:hint="eastAsia" w:ascii="仿宋" w:hAnsi="仿宋" w:eastAsia="仿宋" w:cs="仿宋"/>
                <w:bCs w:val="0"/>
                <w:color w:val="auto"/>
                <w:sz w:val="28"/>
                <w:szCs w:val="28"/>
                <w:lang w:eastAsia="en-US"/>
              </w:rPr>
            </w:pPr>
            <w:r>
              <w:rPr>
                <w:rFonts w:hint="eastAsia" w:ascii="仿宋" w:hAnsi="仿宋" w:eastAsia="仿宋" w:cs="仿宋"/>
                <w:bCs w:val="0"/>
                <w:color w:val="auto"/>
                <w:sz w:val="28"/>
                <w:szCs w:val="28"/>
                <w:lang w:eastAsia="en-US"/>
              </w:rPr>
              <w:t>临床科室</w:t>
            </w:r>
          </w:p>
        </w:tc>
        <w:tc>
          <w:tcPr>
            <w:tcW w:w="746" w:type="pct"/>
            <w:vAlign w:val="center"/>
          </w:tcPr>
          <w:p w14:paraId="42EF52F3">
            <w:pPr>
              <w:pStyle w:val="19"/>
              <w:autoSpaceDE w:val="0"/>
              <w:autoSpaceDN w:val="0"/>
              <w:snapToGrid w:val="0"/>
              <w:spacing w:line="240" w:lineRule="auto"/>
              <w:jc w:val="both"/>
              <w:rPr>
                <w:rFonts w:hint="eastAsia" w:ascii="仿宋" w:hAnsi="仿宋" w:eastAsia="仿宋" w:cs="仿宋"/>
                <w:bCs w:val="0"/>
                <w:color w:val="auto"/>
                <w:sz w:val="28"/>
                <w:szCs w:val="28"/>
                <w:lang w:eastAsia="en-US"/>
              </w:rPr>
            </w:pPr>
            <w:r>
              <w:rPr>
                <w:rFonts w:hint="eastAsia" w:ascii="仿宋" w:hAnsi="仿宋" w:eastAsia="仿宋" w:cs="仿宋"/>
                <w:bCs w:val="0"/>
                <w:color w:val="auto"/>
                <w:sz w:val="28"/>
                <w:szCs w:val="28"/>
                <w:lang w:eastAsia="en-US"/>
              </w:rPr>
              <w:t>临床影像服务系统</w:t>
            </w:r>
          </w:p>
        </w:tc>
        <w:tc>
          <w:tcPr>
            <w:tcW w:w="2554" w:type="pct"/>
            <w:vAlign w:val="center"/>
          </w:tcPr>
          <w:p w14:paraId="724E1947">
            <w:pPr>
              <w:pStyle w:val="17"/>
              <w:snapToGrid w:val="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1、 确保图像和报告匹配。</w:t>
            </w:r>
          </w:p>
          <w:p w14:paraId="392CB34D">
            <w:pPr>
              <w:pStyle w:val="17"/>
              <w:snapToGrid w:val="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2、 临床医生的系统操作可能碰到的问题等。</w:t>
            </w:r>
          </w:p>
          <w:p w14:paraId="02E76A37">
            <w:pPr>
              <w:pStyle w:val="17"/>
              <w:snapToGrid w:val="0"/>
              <w:jc w:val="both"/>
              <w:rPr>
                <w:rFonts w:hint="eastAsia" w:ascii="仿宋" w:hAnsi="仿宋" w:eastAsia="仿宋" w:cs="仿宋"/>
                <w:sz w:val="28"/>
                <w:szCs w:val="28"/>
              </w:rPr>
            </w:pPr>
            <w:r>
              <w:rPr>
                <w:rFonts w:hint="eastAsia" w:ascii="仿宋" w:hAnsi="仿宋" w:eastAsia="仿宋" w:cs="仿宋"/>
                <w:sz w:val="28"/>
                <w:szCs w:val="28"/>
                <w:lang w:eastAsia="zh-CN"/>
              </w:rPr>
              <w:t>3、 调图阅图等问题</w:t>
            </w:r>
          </w:p>
        </w:tc>
        <w:tc>
          <w:tcPr>
            <w:tcW w:w="1036" w:type="pct"/>
            <w:vAlign w:val="center"/>
          </w:tcPr>
          <w:p w14:paraId="02E28046">
            <w:pPr>
              <w:pStyle w:val="19"/>
              <w:autoSpaceDE w:val="0"/>
              <w:autoSpaceDN w:val="0"/>
              <w:snapToGrid w:val="0"/>
              <w:spacing w:line="240" w:lineRule="auto"/>
              <w:jc w:val="both"/>
              <w:rPr>
                <w:rFonts w:hint="eastAsia" w:ascii="仿宋" w:hAnsi="仿宋" w:eastAsia="仿宋" w:cs="仿宋"/>
                <w:b/>
                <w:sz w:val="28"/>
                <w:szCs w:val="28"/>
                <w:lang w:eastAsia="en-US"/>
              </w:rPr>
            </w:pPr>
          </w:p>
        </w:tc>
      </w:tr>
    </w:tbl>
    <w:p w14:paraId="5F32670A">
      <w:pPr>
        <w:widowControl/>
        <w:jc w:val="left"/>
        <w:rPr>
          <w:rFonts w:hint="eastAsia" w:ascii="仿宋" w:hAnsi="仿宋" w:eastAsia="仿宋" w:cs="仿宋"/>
          <w:color w:val="3F3F3F"/>
          <w:kern w:val="0"/>
          <w:sz w:val="28"/>
          <w:szCs w:val="28"/>
        </w:rPr>
      </w:pPr>
    </w:p>
    <w:p w14:paraId="2BA7C1DA">
      <w:pPr>
        <w:pStyle w:val="16"/>
        <w:numPr>
          <w:ilvl w:val="0"/>
          <w:numId w:val="1"/>
        </w:numPr>
        <w:tabs>
          <w:tab w:val="left" w:pos="-720"/>
        </w:tabs>
        <w:suppressAutoHyphens/>
        <w:spacing w:after="78"/>
        <w:ind w:firstLineChars="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日常保养内容</w:t>
      </w:r>
    </w:p>
    <w:tbl>
      <w:tblPr>
        <w:tblStyle w:val="18"/>
        <w:tblW w:w="8091" w:type="dxa"/>
        <w:tblInd w:w="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889"/>
        <w:gridCol w:w="981"/>
        <w:gridCol w:w="4483"/>
        <w:gridCol w:w="1738"/>
      </w:tblGrid>
      <w:tr w14:paraId="59388F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889" w:type="dxa"/>
          </w:tcPr>
          <w:p w14:paraId="5DC48C27">
            <w:pPr>
              <w:pStyle w:val="17"/>
              <w:snapToGrid w:val="0"/>
              <w:jc w:val="center"/>
              <w:rPr>
                <w:rFonts w:hint="eastAsia" w:ascii="仿宋" w:hAnsi="仿宋" w:eastAsia="仿宋" w:cs="仿宋"/>
                <w:sz w:val="28"/>
                <w:szCs w:val="28"/>
              </w:rPr>
            </w:pPr>
            <w:r>
              <w:rPr>
                <w:rFonts w:hint="eastAsia" w:ascii="仿宋" w:hAnsi="仿宋" w:eastAsia="仿宋" w:cs="仿宋"/>
                <w:sz w:val="28"/>
                <w:szCs w:val="28"/>
              </w:rPr>
              <w:t>使用科室</w:t>
            </w:r>
          </w:p>
        </w:tc>
        <w:tc>
          <w:tcPr>
            <w:tcW w:w="981" w:type="dxa"/>
          </w:tcPr>
          <w:p w14:paraId="5841AAB4">
            <w:pPr>
              <w:pStyle w:val="17"/>
              <w:snapToGrid w:val="0"/>
              <w:jc w:val="center"/>
              <w:rPr>
                <w:rFonts w:hint="eastAsia" w:ascii="仿宋" w:hAnsi="仿宋" w:eastAsia="仿宋" w:cs="仿宋"/>
                <w:sz w:val="28"/>
                <w:szCs w:val="28"/>
              </w:rPr>
            </w:pPr>
            <w:r>
              <w:rPr>
                <w:rFonts w:hint="eastAsia" w:ascii="仿宋" w:hAnsi="仿宋" w:eastAsia="仿宋" w:cs="仿宋"/>
                <w:sz w:val="28"/>
                <w:szCs w:val="28"/>
              </w:rPr>
              <w:t>应用系统</w:t>
            </w:r>
          </w:p>
        </w:tc>
        <w:tc>
          <w:tcPr>
            <w:tcW w:w="4483" w:type="dxa"/>
          </w:tcPr>
          <w:p w14:paraId="6A3EA2DD">
            <w:pPr>
              <w:pStyle w:val="17"/>
              <w:snapToGrid w:val="0"/>
              <w:jc w:val="center"/>
              <w:rPr>
                <w:rFonts w:hint="eastAsia" w:ascii="仿宋" w:hAnsi="仿宋" w:eastAsia="仿宋" w:cs="仿宋"/>
                <w:sz w:val="28"/>
                <w:szCs w:val="28"/>
              </w:rPr>
            </w:pPr>
            <w:r>
              <w:rPr>
                <w:rFonts w:hint="eastAsia" w:ascii="仿宋" w:hAnsi="仿宋" w:eastAsia="仿宋" w:cs="仿宋"/>
                <w:sz w:val="28"/>
                <w:szCs w:val="28"/>
              </w:rPr>
              <w:t>服务内容</w:t>
            </w:r>
          </w:p>
        </w:tc>
        <w:tc>
          <w:tcPr>
            <w:tcW w:w="1738" w:type="dxa"/>
          </w:tcPr>
          <w:p w14:paraId="7FFAF291">
            <w:pPr>
              <w:pStyle w:val="17"/>
              <w:snapToGrid w:val="0"/>
              <w:jc w:val="center"/>
              <w:rPr>
                <w:rFonts w:hint="eastAsia" w:ascii="仿宋" w:hAnsi="仿宋" w:eastAsia="仿宋" w:cs="仿宋"/>
                <w:sz w:val="28"/>
                <w:szCs w:val="28"/>
              </w:rPr>
            </w:pPr>
            <w:r>
              <w:rPr>
                <w:rFonts w:hint="eastAsia" w:ascii="仿宋" w:hAnsi="仿宋" w:eastAsia="仿宋" w:cs="仿宋"/>
                <w:sz w:val="28"/>
                <w:szCs w:val="28"/>
              </w:rPr>
              <w:t>备注</w:t>
            </w:r>
          </w:p>
        </w:tc>
      </w:tr>
      <w:tr w14:paraId="096D98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889" w:type="dxa"/>
            <w:vAlign w:val="center"/>
          </w:tcPr>
          <w:p w14:paraId="69DE42BB">
            <w:pPr>
              <w:pStyle w:val="17"/>
              <w:snapToGrid w:val="0"/>
              <w:jc w:val="left"/>
              <w:rPr>
                <w:rFonts w:hint="eastAsia" w:ascii="仿宋" w:hAnsi="仿宋" w:eastAsia="仿宋" w:cs="仿宋"/>
                <w:sz w:val="28"/>
                <w:szCs w:val="28"/>
              </w:rPr>
            </w:pPr>
            <w:r>
              <w:rPr>
                <w:rFonts w:hint="eastAsia" w:ascii="仿宋" w:hAnsi="仿宋" w:eastAsia="仿宋" w:cs="仿宋"/>
                <w:sz w:val="28"/>
                <w:szCs w:val="28"/>
              </w:rPr>
              <w:t>放射科</w:t>
            </w:r>
          </w:p>
        </w:tc>
        <w:tc>
          <w:tcPr>
            <w:tcW w:w="981" w:type="dxa"/>
            <w:vAlign w:val="center"/>
          </w:tcPr>
          <w:p w14:paraId="0EB2DDE6">
            <w:pPr>
              <w:pStyle w:val="17"/>
              <w:snapToGrid w:val="0"/>
              <w:jc w:val="left"/>
              <w:rPr>
                <w:rFonts w:hint="eastAsia" w:ascii="仿宋" w:hAnsi="仿宋" w:eastAsia="仿宋" w:cs="仿宋"/>
                <w:sz w:val="28"/>
                <w:szCs w:val="28"/>
              </w:rPr>
            </w:pPr>
            <w:r>
              <w:rPr>
                <w:rFonts w:hint="eastAsia" w:ascii="仿宋" w:hAnsi="仿宋" w:eastAsia="仿宋" w:cs="仿宋"/>
                <w:sz w:val="28"/>
                <w:szCs w:val="28"/>
              </w:rPr>
              <w:t>RIS 系统</w:t>
            </w:r>
          </w:p>
        </w:tc>
        <w:tc>
          <w:tcPr>
            <w:tcW w:w="4483" w:type="dxa"/>
            <w:vAlign w:val="center"/>
          </w:tcPr>
          <w:p w14:paraId="7EF76B7C">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1、 服务器： CPU 使用率内存占用率</w:t>
            </w:r>
          </w:p>
          <w:p w14:paraId="74E37751">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虚拟内存使用情况</w:t>
            </w:r>
          </w:p>
          <w:p w14:paraId="5565679E">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服务器 None Page Pool 使用情况各磁盘的空间使用情况</w:t>
            </w:r>
          </w:p>
          <w:p w14:paraId="2E4508B8">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磁盘 I/O 性能网络负载情况</w:t>
            </w:r>
          </w:p>
          <w:p w14:paraId="296C3909">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Windows 警报事件处理</w:t>
            </w:r>
          </w:p>
          <w:p w14:paraId="37D4DEF8">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防火墙运行情况</w:t>
            </w:r>
          </w:p>
          <w:p w14:paraId="7C7A9B9E">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服务器重启测试</w:t>
            </w:r>
          </w:p>
          <w:p w14:paraId="06B10033">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2、 数据库:</w:t>
            </w:r>
          </w:p>
          <w:p w14:paraId="4F616B7C">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数据库状态</w:t>
            </w:r>
          </w:p>
          <w:p w14:paraId="67654E69">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数据库空间使用情况数据库增长率</w:t>
            </w:r>
          </w:p>
          <w:p w14:paraId="347DEE3C">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数据库日志大小数据库内存大小</w:t>
            </w:r>
          </w:p>
          <w:p w14:paraId="5E293056">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数据库维护计划任务运行情况</w:t>
            </w:r>
          </w:p>
          <w:p w14:paraId="6D304A73">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数据库警报日志分析查看</w:t>
            </w:r>
          </w:p>
        </w:tc>
        <w:tc>
          <w:tcPr>
            <w:tcW w:w="1738" w:type="dxa"/>
            <w:vAlign w:val="center"/>
          </w:tcPr>
          <w:p w14:paraId="70A51D9A">
            <w:pPr>
              <w:pStyle w:val="17"/>
              <w:snapToGrid w:val="0"/>
              <w:jc w:val="left"/>
              <w:rPr>
                <w:rFonts w:hint="eastAsia" w:ascii="仿宋" w:hAnsi="仿宋" w:eastAsia="仿宋" w:cs="仿宋"/>
                <w:sz w:val="28"/>
                <w:szCs w:val="28"/>
              </w:rPr>
            </w:pPr>
            <w:r>
              <w:rPr>
                <w:rFonts w:hint="eastAsia" w:ascii="仿宋" w:hAnsi="仿宋" w:eastAsia="仿宋" w:cs="仿宋"/>
                <w:sz w:val="28"/>
                <w:szCs w:val="28"/>
              </w:rPr>
              <w:t>放射科业务信息管理</w:t>
            </w:r>
          </w:p>
        </w:tc>
      </w:tr>
      <w:tr w14:paraId="3187A7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889" w:type="dxa"/>
            <w:vAlign w:val="center"/>
          </w:tcPr>
          <w:p w14:paraId="4C805492">
            <w:pPr>
              <w:pStyle w:val="17"/>
              <w:snapToGrid w:val="0"/>
              <w:jc w:val="left"/>
              <w:rPr>
                <w:rFonts w:hint="eastAsia" w:ascii="仿宋" w:hAnsi="仿宋" w:eastAsia="仿宋" w:cs="仿宋"/>
                <w:b/>
                <w:sz w:val="28"/>
                <w:szCs w:val="28"/>
                <w:lang w:eastAsia="zh-CN"/>
              </w:rPr>
            </w:pPr>
          </w:p>
          <w:p w14:paraId="7239385B">
            <w:pPr>
              <w:pStyle w:val="17"/>
              <w:snapToGrid w:val="0"/>
              <w:jc w:val="left"/>
              <w:rPr>
                <w:rFonts w:hint="eastAsia" w:ascii="仿宋" w:hAnsi="仿宋" w:eastAsia="仿宋" w:cs="仿宋"/>
                <w:b/>
                <w:sz w:val="28"/>
                <w:szCs w:val="28"/>
                <w:lang w:eastAsia="zh-CN"/>
              </w:rPr>
            </w:pPr>
          </w:p>
          <w:p w14:paraId="1833FAAA">
            <w:pPr>
              <w:pStyle w:val="17"/>
              <w:snapToGrid w:val="0"/>
              <w:jc w:val="left"/>
              <w:rPr>
                <w:rFonts w:hint="eastAsia" w:ascii="仿宋" w:hAnsi="仿宋" w:eastAsia="仿宋" w:cs="仿宋"/>
                <w:b/>
                <w:sz w:val="28"/>
                <w:szCs w:val="28"/>
                <w:lang w:eastAsia="zh-CN"/>
              </w:rPr>
            </w:pPr>
          </w:p>
          <w:p w14:paraId="1D240C20">
            <w:pPr>
              <w:pStyle w:val="17"/>
              <w:snapToGrid w:val="0"/>
              <w:jc w:val="left"/>
              <w:rPr>
                <w:rFonts w:hint="eastAsia" w:ascii="仿宋" w:hAnsi="仿宋" w:eastAsia="仿宋" w:cs="仿宋"/>
                <w:b/>
                <w:sz w:val="28"/>
                <w:szCs w:val="28"/>
                <w:lang w:eastAsia="zh-CN"/>
              </w:rPr>
            </w:pPr>
          </w:p>
          <w:p w14:paraId="0AF1DC3A">
            <w:pPr>
              <w:pStyle w:val="17"/>
              <w:snapToGrid w:val="0"/>
              <w:jc w:val="left"/>
              <w:rPr>
                <w:rFonts w:hint="eastAsia" w:ascii="仿宋" w:hAnsi="仿宋" w:eastAsia="仿宋" w:cs="仿宋"/>
                <w:b/>
                <w:sz w:val="28"/>
                <w:szCs w:val="28"/>
                <w:lang w:eastAsia="zh-CN"/>
              </w:rPr>
            </w:pPr>
          </w:p>
          <w:p w14:paraId="7B9A642D">
            <w:pPr>
              <w:pStyle w:val="17"/>
              <w:snapToGrid w:val="0"/>
              <w:jc w:val="left"/>
              <w:rPr>
                <w:rFonts w:hint="eastAsia" w:ascii="仿宋" w:hAnsi="仿宋" w:eastAsia="仿宋" w:cs="仿宋"/>
                <w:b/>
                <w:sz w:val="28"/>
                <w:szCs w:val="28"/>
                <w:lang w:eastAsia="zh-CN"/>
              </w:rPr>
            </w:pPr>
          </w:p>
          <w:p w14:paraId="6D01FAA5">
            <w:pPr>
              <w:pStyle w:val="17"/>
              <w:snapToGrid w:val="0"/>
              <w:jc w:val="left"/>
              <w:rPr>
                <w:rFonts w:hint="eastAsia" w:ascii="仿宋" w:hAnsi="仿宋" w:eastAsia="仿宋" w:cs="仿宋"/>
                <w:b/>
                <w:sz w:val="28"/>
                <w:szCs w:val="28"/>
                <w:lang w:eastAsia="zh-CN"/>
              </w:rPr>
            </w:pPr>
          </w:p>
          <w:p w14:paraId="7FF98625">
            <w:pPr>
              <w:pStyle w:val="17"/>
              <w:snapToGrid w:val="0"/>
              <w:jc w:val="left"/>
              <w:rPr>
                <w:rFonts w:hint="eastAsia" w:ascii="仿宋" w:hAnsi="仿宋" w:eastAsia="仿宋" w:cs="仿宋"/>
                <w:b/>
                <w:sz w:val="28"/>
                <w:szCs w:val="28"/>
                <w:lang w:eastAsia="zh-CN"/>
              </w:rPr>
            </w:pPr>
          </w:p>
          <w:p w14:paraId="229C4389">
            <w:pPr>
              <w:pStyle w:val="17"/>
              <w:snapToGrid w:val="0"/>
              <w:jc w:val="left"/>
              <w:rPr>
                <w:rFonts w:hint="eastAsia" w:ascii="仿宋" w:hAnsi="仿宋" w:eastAsia="仿宋" w:cs="仿宋"/>
                <w:b/>
                <w:sz w:val="28"/>
                <w:szCs w:val="28"/>
                <w:lang w:eastAsia="zh-CN"/>
              </w:rPr>
            </w:pPr>
          </w:p>
          <w:p w14:paraId="5FD7AF9E">
            <w:pPr>
              <w:pStyle w:val="17"/>
              <w:snapToGrid w:val="0"/>
              <w:jc w:val="left"/>
              <w:rPr>
                <w:rFonts w:hint="eastAsia" w:ascii="仿宋" w:hAnsi="仿宋" w:eastAsia="仿宋" w:cs="仿宋"/>
                <w:b/>
                <w:sz w:val="28"/>
                <w:szCs w:val="28"/>
                <w:lang w:eastAsia="zh-CN"/>
              </w:rPr>
            </w:pPr>
          </w:p>
          <w:p w14:paraId="707919DC">
            <w:pPr>
              <w:pStyle w:val="17"/>
              <w:snapToGrid w:val="0"/>
              <w:jc w:val="left"/>
              <w:rPr>
                <w:rFonts w:hint="eastAsia" w:ascii="仿宋" w:hAnsi="仿宋" w:eastAsia="仿宋" w:cs="仿宋"/>
                <w:b/>
                <w:sz w:val="28"/>
                <w:szCs w:val="28"/>
                <w:lang w:eastAsia="zh-CN"/>
              </w:rPr>
            </w:pPr>
          </w:p>
          <w:p w14:paraId="70E2087A">
            <w:pPr>
              <w:pStyle w:val="17"/>
              <w:snapToGrid w:val="0"/>
              <w:jc w:val="left"/>
              <w:rPr>
                <w:rFonts w:hint="eastAsia" w:ascii="仿宋" w:hAnsi="仿宋" w:eastAsia="仿宋" w:cs="仿宋"/>
                <w:b/>
                <w:sz w:val="28"/>
                <w:szCs w:val="28"/>
                <w:lang w:eastAsia="zh-CN"/>
              </w:rPr>
            </w:pPr>
          </w:p>
          <w:p w14:paraId="2A6C1E64">
            <w:pPr>
              <w:pStyle w:val="17"/>
              <w:snapToGrid w:val="0"/>
              <w:jc w:val="left"/>
              <w:rPr>
                <w:rFonts w:hint="eastAsia" w:ascii="仿宋" w:hAnsi="仿宋" w:eastAsia="仿宋" w:cs="仿宋"/>
                <w:b/>
                <w:sz w:val="28"/>
                <w:szCs w:val="28"/>
                <w:lang w:eastAsia="zh-CN"/>
              </w:rPr>
            </w:pPr>
          </w:p>
          <w:p w14:paraId="10D6B5BA">
            <w:pPr>
              <w:pStyle w:val="17"/>
              <w:snapToGrid w:val="0"/>
              <w:jc w:val="left"/>
              <w:rPr>
                <w:rFonts w:hint="eastAsia" w:ascii="仿宋" w:hAnsi="仿宋" w:eastAsia="仿宋" w:cs="仿宋"/>
                <w:b/>
                <w:sz w:val="28"/>
                <w:szCs w:val="28"/>
                <w:lang w:eastAsia="zh-CN"/>
              </w:rPr>
            </w:pPr>
          </w:p>
          <w:p w14:paraId="18065A6B">
            <w:pPr>
              <w:pStyle w:val="17"/>
              <w:snapToGrid w:val="0"/>
              <w:jc w:val="left"/>
              <w:rPr>
                <w:rFonts w:hint="eastAsia" w:ascii="仿宋" w:hAnsi="仿宋" w:eastAsia="仿宋" w:cs="仿宋"/>
                <w:sz w:val="28"/>
                <w:szCs w:val="28"/>
              </w:rPr>
            </w:pPr>
            <w:r>
              <w:rPr>
                <w:rFonts w:hint="eastAsia" w:ascii="仿宋" w:hAnsi="仿宋" w:eastAsia="仿宋" w:cs="仿宋"/>
                <w:sz w:val="28"/>
                <w:szCs w:val="28"/>
              </w:rPr>
              <w:t>放射科</w:t>
            </w:r>
          </w:p>
        </w:tc>
        <w:tc>
          <w:tcPr>
            <w:tcW w:w="981" w:type="dxa"/>
            <w:vAlign w:val="center"/>
          </w:tcPr>
          <w:p w14:paraId="46C7770A">
            <w:pPr>
              <w:pStyle w:val="17"/>
              <w:snapToGrid w:val="0"/>
              <w:jc w:val="left"/>
              <w:rPr>
                <w:rFonts w:hint="eastAsia" w:ascii="仿宋" w:hAnsi="仿宋" w:eastAsia="仿宋" w:cs="仿宋"/>
                <w:b/>
                <w:sz w:val="28"/>
                <w:szCs w:val="28"/>
              </w:rPr>
            </w:pPr>
          </w:p>
          <w:p w14:paraId="6D2E8F00">
            <w:pPr>
              <w:pStyle w:val="17"/>
              <w:snapToGrid w:val="0"/>
              <w:jc w:val="left"/>
              <w:rPr>
                <w:rFonts w:hint="eastAsia" w:ascii="仿宋" w:hAnsi="仿宋" w:eastAsia="仿宋" w:cs="仿宋"/>
                <w:b/>
                <w:sz w:val="28"/>
                <w:szCs w:val="28"/>
              </w:rPr>
            </w:pPr>
          </w:p>
          <w:p w14:paraId="2E30E112">
            <w:pPr>
              <w:pStyle w:val="17"/>
              <w:snapToGrid w:val="0"/>
              <w:jc w:val="left"/>
              <w:rPr>
                <w:rFonts w:hint="eastAsia" w:ascii="仿宋" w:hAnsi="仿宋" w:eastAsia="仿宋" w:cs="仿宋"/>
                <w:b/>
                <w:sz w:val="28"/>
                <w:szCs w:val="28"/>
              </w:rPr>
            </w:pPr>
          </w:p>
          <w:p w14:paraId="243742F0">
            <w:pPr>
              <w:pStyle w:val="17"/>
              <w:snapToGrid w:val="0"/>
              <w:jc w:val="left"/>
              <w:rPr>
                <w:rFonts w:hint="eastAsia" w:ascii="仿宋" w:hAnsi="仿宋" w:eastAsia="仿宋" w:cs="仿宋"/>
                <w:b/>
                <w:sz w:val="28"/>
                <w:szCs w:val="28"/>
              </w:rPr>
            </w:pPr>
          </w:p>
          <w:p w14:paraId="770FAB07">
            <w:pPr>
              <w:pStyle w:val="17"/>
              <w:snapToGrid w:val="0"/>
              <w:jc w:val="left"/>
              <w:rPr>
                <w:rFonts w:hint="eastAsia" w:ascii="仿宋" w:hAnsi="仿宋" w:eastAsia="仿宋" w:cs="仿宋"/>
                <w:b/>
                <w:sz w:val="28"/>
                <w:szCs w:val="28"/>
              </w:rPr>
            </w:pPr>
          </w:p>
          <w:p w14:paraId="2F213470">
            <w:pPr>
              <w:pStyle w:val="17"/>
              <w:snapToGrid w:val="0"/>
              <w:jc w:val="left"/>
              <w:rPr>
                <w:rFonts w:hint="eastAsia" w:ascii="仿宋" w:hAnsi="仿宋" w:eastAsia="仿宋" w:cs="仿宋"/>
                <w:b/>
                <w:sz w:val="28"/>
                <w:szCs w:val="28"/>
              </w:rPr>
            </w:pPr>
          </w:p>
          <w:p w14:paraId="27E58122">
            <w:pPr>
              <w:pStyle w:val="17"/>
              <w:snapToGrid w:val="0"/>
              <w:jc w:val="left"/>
              <w:rPr>
                <w:rFonts w:hint="eastAsia" w:ascii="仿宋" w:hAnsi="仿宋" w:eastAsia="仿宋" w:cs="仿宋"/>
                <w:b/>
                <w:sz w:val="28"/>
                <w:szCs w:val="28"/>
              </w:rPr>
            </w:pPr>
          </w:p>
          <w:p w14:paraId="2A97C407">
            <w:pPr>
              <w:pStyle w:val="17"/>
              <w:snapToGrid w:val="0"/>
              <w:jc w:val="left"/>
              <w:rPr>
                <w:rFonts w:hint="eastAsia" w:ascii="仿宋" w:hAnsi="仿宋" w:eastAsia="仿宋" w:cs="仿宋"/>
                <w:b/>
                <w:sz w:val="28"/>
                <w:szCs w:val="28"/>
              </w:rPr>
            </w:pPr>
          </w:p>
          <w:p w14:paraId="1B480FBF">
            <w:pPr>
              <w:pStyle w:val="17"/>
              <w:snapToGrid w:val="0"/>
              <w:jc w:val="left"/>
              <w:rPr>
                <w:rFonts w:hint="eastAsia" w:ascii="仿宋" w:hAnsi="仿宋" w:eastAsia="仿宋" w:cs="仿宋"/>
                <w:b/>
                <w:sz w:val="28"/>
                <w:szCs w:val="28"/>
              </w:rPr>
            </w:pPr>
          </w:p>
          <w:p w14:paraId="3690C5A3">
            <w:pPr>
              <w:pStyle w:val="17"/>
              <w:snapToGrid w:val="0"/>
              <w:jc w:val="left"/>
              <w:rPr>
                <w:rFonts w:hint="eastAsia" w:ascii="仿宋" w:hAnsi="仿宋" w:eastAsia="仿宋" w:cs="仿宋"/>
                <w:b/>
                <w:sz w:val="28"/>
                <w:szCs w:val="28"/>
              </w:rPr>
            </w:pPr>
          </w:p>
          <w:p w14:paraId="6AFAE158">
            <w:pPr>
              <w:pStyle w:val="17"/>
              <w:snapToGrid w:val="0"/>
              <w:jc w:val="left"/>
              <w:rPr>
                <w:rFonts w:hint="eastAsia" w:ascii="仿宋" w:hAnsi="仿宋" w:eastAsia="仿宋" w:cs="仿宋"/>
                <w:b/>
                <w:sz w:val="28"/>
                <w:szCs w:val="28"/>
              </w:rPr>
            </w:pPr>
          </w:p>
          <w:p w14:paraId="35A3D2B9">
            <w:pPr>
              <w:pStyle w:val="17"/>
              <w:snapToGrid w:val="0"/>
              <w:jc w:val="left"/>
              <w:rPr>
                <w:rFonts w:hint="eastAsia" w:ascii="仿宋" w:hAnsi="仿宋" w:eastAsia="仿宋" w:cs="仿宋"/>
                <w:b/>
                <w:sz w:val="28"/>
                <w:szCs w:val="28"/>
              </w:rPr>
            </w:pPr>
          </w:p>
          <w:p w14:paraId="68D7D04E">
            <w:pPr>
              <w:pStyle w:val="17"/>
              <w:snapToGrid w:val="0"/>
              <w:jc w:val="left"/>
              <w:rPr>
                <w:rFonts w:hint="eastAsia" w:ascii="仿宋" w:hAnsi="仿宋" w:eastAsia="仿宋" w:cs="仿宋"/>
                <w:b/>
                <w:sz w:val="28"/>
                <w:szCs w:val="28"/>
              </w:rPr>
            </w:pPr>
          </w:p>
          <w:p w14:paraId="3A5F3D04">
            <w:pPr>
              <w:pStyle w:val="17"/>
              <w:snapToGrid w:val="0"/>
              <w:jc w:val="left"/>
              <w:rPr>
                <w:rFonts w:hint="eastAsia" w:ascii="仿宋" w:hAnsi="仿宋" w:eastAsia="仿宋" w:cs="仿宋"/>
                <w:b/>
                <w:sz w:val="28"/>
                <w:szCs w:val="28"/>
              </w:rPr>
            </w:pPr>
          </w:p>
          <w:p w14:paraId="72B4A5E1">
            <w:pPr>
              <w:pStyle w:val="17"/>
              <w:snapToGrid w:val="0"/>
              <w:jc w:val="left"/>
              <w:rPr>
                <w:rFonts w:hint="eastAsia" w:ascii="仿宋" w:hAnsi="仿宋" w:eastAsia="仿宋" w:cs="仿宋"/>
                <w:sz w:val="28"/>
                <w:szCs w:val="28"/>
              </w:rPr>
            </w:pPr>
            <w:r>
              <w:rPr>
                <w:rFonts w:hint="eastAsia" w:ascii="仿宋" w:hAnsi="仿宋" w:eastAsia="仿宋" w:cs="仿宋"/>
                <w:sz w:val="28"/>
                <w:szCs w:val="28"/>
              </w:rPr>
              <w:t>Broker 系统</w:t>
            </w:r>
          </w:p>
        </w:tc>
        <w:tc>
          <w:tcPr>
            <w:tcW w:w="4483" w:type="dxa"/>
            <w:vAlign w:val="center"/>
          </w:tcPr>
          <w:p w14:paraId="174CAA5E">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1、 服务器</w:t>
            </w:r>
          </w:p>
          <w:p w14:paraId="733094C3">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CPU 使用率内存占用率</w:t>
            </w:r>
          </w:p>
          <w:p w14:paraId="29C7FB05">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虚拟内存使用情况</w:t>
            </w:r>
          </w:p>
          <w:p w14:paraId="77F5C428">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服务器 None Page Pool 使用情况各磁盘的空间使用情况</w:t>
            </w:r>
          </w:p>
          <w:p w14:paraId="2A732E77">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磁盘 I/O 性能网络负载情况</w:t>
            </w:r>
          </w:p>
          <w:p w14:paraId="1FCA4F58">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Windows</w:t>
            </w:r>
            <w:r>
              <w:rPr>
                <w:rFonts w:hint="eastAsia" w:ascii="仿宋" w:hAnsi="仿宋" w:eastAsia="仿宋" w:cs="仿宋"/>
                <w:spacing w:val="-10"/>
                <w:sz w:val="28"/>
                <w:szCs w:val="28"/>
                <w:lang w:eastAsia="zh-CN"/>
              </w:rPr>
              <w:t xml:space="preserve"> </w:t>
            </w:r>
            <w:r>
              <w:rPr>
                <w:rFonts w:hint="eastAsia" w:ascii="仿宋" w:hAnsi="仿宋" w:eastAsia="仿宋" w:cs="仿宋"/>
                <w:spacing w:val="-3"/>
                <w:sz w:val="28"/>
                <w:szCs w:val="28"/>
                <w:lang w:eastAsia="zh-CN"/>
              </w:rPr>
              <w:t>警报事件处理</w:t>
            </w:r>
            <w:r>
              <w:rPr>
                <w:rFonts w:hint="eastAsia" w:ascii="仿宋" w:hAnsi="仿宋" w:eastAsia="仿宋" w:cs="仿宋"/>
                <w:sz w:val="28"/>
                <w:szCs w:val="28"/>
                <w:lang w:eastAsia="zh-CN"/>
              </w:rPr>
              <w:t>防火墙运行情况</w:t>
            </w:r>
          </w:p>
          <w:p w14:paraId="2F529AB7">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服务器重启测试</w:t>
            </w:r>
          </w:p>
          <w:p w14:paraId="0F063DB8">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2、 Interface Management</w:t>
            </w:r>
          </w:p>
          <w:p w14:paraId="7D7A6A25">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各 Worklist 接口的数据及日志情况</w:t>
            </w:r>
          </w:p>
          <w:p w14:paraId="5C471762">
            <w:pPr>
              <w:pStyle w:val="17"/>
              <w:snapToGrid w:val="0"/>
              <w:jc w:val="left"/>
              <w:rPr>
                <w:rFonts w:hint="eastAsia" w:ascii="仿宋" w:hAnsi="仿宋" w:eastAsia="仿宋" w:cs="仿宋"/>
                <w:sz w:val="28"/>
                <w:szCs w:val="28"/>
                <w:lang w:eastAsia="zh-CN"/>
              </w:rPr>
            </w:pPr>
            <w:r>
              <w:rPr>
                <w:rFonts w:hint="eastAsia" w:ascii="仿宋" w:hAnsi="仿宋" w:eastAsia="仿宋" w:cs="仿宋"/>
                <w:spacing w:val="-31"/>
                <w:sz w:val="28"/>
                <w:szCs w:val="28"/>
                <w:lang w:eastAsia="zh-CN"/>
              </w:rPr>
              <w:t xml:space="preserve">各 </w:t>
            </w:r>
            <w:r>
              <w:rPr>
                <w:rFonts w:hint="eastAsia" w:ascii="仿宋" w:hAnsi="仿宋" w:eastAsia="仿宋" w:cs="仿宋"/>
                <w:sz w:val="28"/>
                <w:szCs w:val="28"/>
                <w:lang w:eastAsia="zh-CN"/>
              </w:rPr>
              <w:t xml:space="preserve">SQL OUT </w:t>
            </w:r>
            <w:r>
              <w:rPr>
                <w:rFonts w:hint="eastAsia" w:ascii="仿宋" w:hAnsi="仿宋" w:eastAsia="仿宋" w:cs="仿宋"/>
                <w:spacing w:val="-15"/>
                <w:sz w:val="28"/>
                <w:szCs w:val="28"/>
                <w:lang w:eastAsia="zh-CN"/>
              </w:rPr>
              <w:t>接口</w:t>
            </w:r>
            <w:r>
              <w:rPr>
                <w:rFonts w:hint="eastAsia" w:ascii="仿宋" w:hAnsi="仿宋" w:eastAsia="仿宋" w:cs="仿宋"/>
                <w:sz w:val="28"/>
                <w:szCs w:val="28"/>
                <w:lang w:eastAsia="zh-CN"/>
              </w:rPr>
              <w:t>（第三方系统接口</w:t>
            </w:r>
            <w:r>
              <w:rPr>
                <w:rFonts w:hint="eastAsia" w:ascii="仿宋" w:hAnsi="仿宋" w:eastAsia="仿宋" w:cs="仿宋"/>
                <w:spacing w:val="-32"/>
                <w:sz w:val="28"/>
                <w:szCs w:val="28"/>
                <w:lang w:eastAsia="zh-CN"/>
              </w:rPr>
              <w:t>）</w:t>
            </w:r>
            <w:r>
              <w:rPr>
                <w:rFonts w:hint="eastAsia" w:ascii="仿宋" w:hAnsi="仿宋" w:eastAsia="仿宋" w:cs="仿宋"/>
                <w:spacing w:val="-7"/>
                <w:sz w:val="28"/>
                <w:szCs w:val="28"/>
                <w:lang w:eastAsia="zh-CN"/>
              </w:rPr>
              <w:t>的数</w:t>
            </w:r>
            <w:r>
              <w:rPr>
                <w:rFonts w:hint="eastAsia" w:ascii="仿宋" w:hAnsi="仿宋" w:eastAsia="仿宋" w:cs="仿宋"/>
                <w:sz w:val="28"/>
                <w:szCs w:val="28"/>
                <w:lang w:eastAsia="zh-CN"/>
              </w:rPr>
              <w:t>据及日志情况</w:t>
            </w:r>
          </w:p>
          <w:p w14:paraId="2E58F3E1">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3、 数据库： 数据库状态</w:t>
            </w:r>
          </w:p>
          <w:p w14:paraId="2590BA15">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数据库空间使用情况数据库增长率</w:t>
            </w:r>
          </w:p>
          <w:p w14:paraId="3C3F8C13">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数据库日志大小数据库内存大小</w:t>
            </w:r>
          </w:p>
          <w:p w14:paraId="6CED8393">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数据库维护计划任务运行情况</w:t>
            </w:r>
          </w:p>
          <w:p w14:paraId="6EDD93F6">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rPr>
              <w:t>数据库警报日志</w:t>
            </w:r>
          </w:p>
        </w:tc>
        <w:tc>
          <w:tcPr>
            <w:tcW w:w="1738" w:type="dxa"/>
            <w:vAlign w:val="center"/>
          </w:tcPr>
          <w:p w14:paraId="4582446B">
            <w:pPr>
              <w:pStyle w:val="17"/>
              <w:snapToGrid w:val="0"/>
              <w:jc w:val="left"/>
              <w:rPr>
                <w:rFonts w:hint="eastAsia" w:ascii="仿宋" w:hAnsi="仿宋" w:eastAsia="仿宋" w:cs="仿宋"/>
                <w:sz w:val="28"/>
                <w:szCs w:val="28"/>
              </w:rPr>
            </w:pPr>
            <w:r>
              <w:rPr>
                <w:rFonts w:hint="eastAsia" w:ascii="仿宋" w:hAnsi="仿宋" w:eastAsia="仿宋" w:cs="仿宋"/>
                <w:sz w:val="28"/>
                <w:szCs w:val="28"/>
              </w:rPr>
              <w:t>集成信息及集成接口管理</w:t>
            </w:r>
          </w:p>
        </w:tc>
      </w:tr>
      <w:tr w14:paraId="65C6EC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889" w:type="dxa"/>
            <w:vAlign w:val="center"/>
          </w:tcPr>
          <w:p w14:paraId="3C203999">
            <w:pPr>
              <w:pStyle w:val="17"/>
              <w:snapToGrid w:val="0"/>
              <w:jc w:val="left"/>
              <w:rPr>
                <w:rFonts w:hint="eastAsia" w:ascii="仿宋" w:hAnsi="仿宋" w:eastAsia="仿宋" w:cs="仿宋"/>
                <w:b/>
                <w:sz w:val="28"/>
                <w:szCs w:val="28"/>
              </w:rPr>
            </w:pPr>
          </w:p>
          <w:p w14:paraId="3B4E6BF0">
            <w:pPr>
              <w:pStyle w:val="17"/>
              <w:snapToGrid w:val="0"/>
              <w:jc w:val="left"/>
              <w:rPr>
                <w:rFonts w:hint="eastAsia" w:ascii="仿宋" w:hAnsi="仿宋" w:eastAsia="仿宋" w:cs="仿宋"/>
                <w:b/>
                <w:sz w:val="28"/>
                <w:szCs w:val="28"/>
                <w:lang w:eastAsia="zh-CN"/>
              </w:rPr>
            </w:pPr>
            <w:r>
              <w:rPr>
                <w:rFonts w:hint="eastAsia" w:ascii="仿宋" w:hAnsi="仿宋" w:eastAsia="仿宋" w:cs="仿宋"/>
                <w:sz w:val="28"/>
                <w:szCs w:val="28"/>
              </w:rPr>
              <w:t>放射科</w:t>
            </w:r>
          </w:p>
        </w:tc>
        <w:tc>
          <w:tcPr>
            <w:tcW w:w="981" w:type="dxa"/>
            <w:vAlign w:val="center"/>
          </w:tcPr>
          <w:p w14:paraId="4A8FA95C">
            <w:pPr>
              <w:pStyle w:val="17"/>
              <w:snapToGrid w:val="0"/>
              <w:jc w:val="left"/>
              <w:rPr>
                <w:rFonts w:hint="eastAsia" w:ascii="仿宋" w:hAnsi="仿宋" w:eastAsia="仿宋" w:cs="仿宋"/>
                <w:sz w:val="28"/>
                <w:szCs w:val="28"/>
              </w:rPr>
            </w:pPr>
            <w:r>
              <w:rPr>
                <w:rFonts w:hint="eastAsia" w:ascii="仿宋" w:hAnsi="仿宋" w:eastAsia="仿宋" w:cs="仿宋"/>
                <w:sz w:val="28"/>
                <w:szCs w:val="28"/>
              </w:rPr>
              <w:t>PACS 系</w:t>
            </w:r>
          </w:p>
          <w:p w14:paraId="0460F9BB">
            <w:pPr>
              <w:pStyle w:val="17"/>
              <w:snapToGrid w:val="0"/>
              <w:jc w:val="left"/>
              <w:rPr>
                <w:rFonts w:hint="eastAsia" w:ascii="仿宋" w:hAnsi="仿宋" w:eastAsia="仿宋" w:cs="仿宋"/>
                <w:b/>
                <w:sz w:val="28"/>
                <w:szCs w:val="28"/>
              </w:rPr>
            </w:pPr>
            <w:r>
              <w:rPr>
                <w:rFonts w:hint="eastAsia" w:ascii="仿宋" w:hAnsi="仿宋" w:eastAsia="仿宋" w:cs="仿宋"/>
                <w:sz w:val="28"/>
                <w:szCs w:val="28"/>
              </w:rPr>
              <w:t>统</w:t>
            </w:r>
          </w:p>
        </w:tc>
        <w:tc>
          <w:tcPr>
            <w:tcW w:w="4483" w:type="dxa"/>
            <w:vAlign w:val="center"/>
          </w:tcPr>
          <w:p w14:paraId="17591D1B">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1、 服务器</w:t>
            </w:r>
          </w:p>
          <w:p w14:paraId="50BE41B1">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CPU 使用率</w:t>
            </w:r>
          </w:p>
          <w:p w14:paraId="2DEAF593">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内存占用率</w:t>
            </w:r>
          </w:p>
          <w:p w14:paraId="29DBCCD0">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虚拟内存使用情况</w:t>
            </w:r>
          </w:p>
          <w:p w14:paraId="704D1B2E">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服务器 None Page Pool 使用情况各磁盘的空间使用情况</w:t>
            </w:r>
          </w:p>
          <w:p w14:paraId="5918A8D3">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磁盘 I/O 性能网络负载情况</w:t>
            </w:r>
          </w:p>
          <w:p w14:paraId="22117CE6">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Windows</w:t>
            </w:r>
            <w:r>
              <w:rPr>
                <w:rFonts w:hint="eastAsia" w:ascii="仿宋" w:hAnsi="仿宋" w:eastAsia="仿宋" w:cs="仿宋"/>
                <w:spacing w:val="-10"/>
                <w:sz w:val="28"/>
                <w:szCs w:val="28"/>
                <w:lang w:eastAsia="zh-CN"/>
              </w:rPr>
              <w:t xml:space="preserve"> </w:t>
            </w:r>
            <w:r>
              <w:rPr>
                <w:rFonts w:hint="eastAsia" w:ascii="仿宋" w:hAnsi="仿宋" w:eastAsia="仿宋" w:cs="仿宋"/>
                <w:spacing w:val="-3"/>
                <w:sz w:val="28"/>
                <w:szCs w:val="28"/>
                <w:lang w:eastAsia="zh-CN"/>
              </w:rPr>
              <w:t>警报事件处理</w:t>
            </w:r>
            <w:r>
              <w:rPr>
                <w:rFonts w:hint="eastAsia" w:ascii="仿宋" w:hAnsi="仿宋" w:eastAsia="仿宋" w:cs="仿宋"/>
                <w:sz w:val="28"/>
                <w:szCs w:val="28"/>
                <w:lang w:eastAsia="zh-CN"/>
              </w:rPr>
              <w:t>防火墙运行情况</w:t>
            </w:r>
          </w:p>
          <w:p w14:paraId="13F139A8">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服务器重启测试</w:t>
            </w:r>
          </w:p>
          <w:p w14:paraId="283D9B0E">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2、 PACS 应用系统在线存储使用情况近线存储使用情况各存储水线设置 图像接收端口情况</w:t>
            </w:r>
          </w:p>
          <w:p w14:paraId="5E722454">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InfoRouter 各规则的运行情况近线备份情况</w:t>
            </w:r>
          </w:p>
          <w:p w14:paraId="5BE885DA">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自动删除任务执行情况管理员密码检查</w:t>
            </w:r>
          </w:p>
          <w:p w14:paraId="0263E626">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客户端运行速度图像加载速度</w:t>
            </w:r>
          </w:p>
          <w:p w14:paraId="4D80ED23">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DICOM 图像打印功能DICOM 图像导出导出功能总检查量</w:t>
            </w:r>
          </w:p>
          <w:p w14:paraId="66162D6F">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 xml:space="preserve">年检查量 </w:t>
            </w:r>
            <w:r>
              <w:rPr>
                <w:rFonts w:hint="eastAsia" w:ascii="仿宋" w:hAnsi="仿宋" w:eastAsia="仿宋" w:cs="仿宋"/>
                <w:spacing w:val="-4"/>
                <w:sz w:val="28"/>
                <w:szCs w:val="28"/>
                <w:lang w:eastAsia="zh-CN"/>
              </w:rPr>
              <w:t>检查增长量</w:t>
            </w:r>
          </w:p>
          <w:p w14:paraId="7BD9E45F">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3</w:t>
            </w:r>
            <w:r>
              <w:rPr>
                <w:rFonts w:hint="eastAsia" w:ascii="仿宋" w:hAnsi="仿宋" w:eastAsia="仿宋" w:cs="仿宋"/>
                <w:spacing w:val="-29"/>
                <w:sz w:val="28"/>
                <w:szCs w:val="28"/>
                <w:lang w:eastAsia="zh-CN"/>
              </w:rPr>
              <w:t xml:space="preserve">、 </w:t>
            </w:r>
            <w:r>
              <w:rPr>
                <w:rFonts w:hint="eastAsia" w:ascii="仿宋" w:hAnsi="仿宋" w:eastAsia="仿宋" w:cs="仿宋"/>
                <w:sz w:val="28"/>
                <w:szCs w:val="28"/>
                <w:lang w:eastAsia="zh-CN"/>
              </w:rPr>
              <w:t xml:space="preserve">Oracle </w:t>
            </w:r>
            <w:r>
              <w:rPr>
                <w:rFonts w:hint="eastAsia" w:ascii="仿宋" w:hAnsi="仿宋" w:eastAsia="仿宋" w:cs="仿宋"/>
                <w:spacing w:val="-4"/>
                <w:sz w:val="28"/>
                <w:szCs w:val="28"/>
                <w:lang w:eastAsia="zh-CN"/>
              </w:rPr>
              <w:t xml:space="preserve">数据库： </w:t>
            </w:r>
            <w:r>
              <w:rPr>
                <w:rFonts w:hint="eastAsia" w:ascii="仿宋" w:hAnsi="仿宋" w:eastAsia="仿宋" w:cs="仿宋"/>
                <w:sz w:val="28"/>
                <w:szCs w:val="28"/>
                <w:lang w:eastAsia="zh-CN"/>
              </w:rPr>
              <w:t>数据库状态</w:t>
            </w:r>
          </w:p>
          <w:p w14:paraId="711B03AD">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数据库备份是否正常数据库备份大小</w:t>
            </w:r>
          </w:p>
          <w:p w14:paraId="3468E4BB">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数据库分区使用百分比数据库日志内容检查</w:t>
            </w:r>
          </w:p>
          <w:p w14:paraId="371BAE87">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数据库表空间剩余带下检查</w:t>
            </w:r>
          </w:p>
        </w:tc>
        <w:tc>
          <w:tcPr>
            <w:tcW w:w="1738" w:type="dxa"/>
            <w:vAlign w:val="center"/>
          </w:tcPr>
          <w:p w14:paraId="3C034DA8">
            <w:pPr>
              <w:pStyle w:val="17"/>
              <w:snapToGrid w:val="0"/>
              <w:jc w:val="left"/>
              <w:rPr>
                <w:rFonts w:hint="eastAsia" w:ascii="仿宋" w:hAnsi="仿宋" w:eastAsia="仿宋" w:cs="仿宋"/>
                <w:b/>
                <w:sz w:val="28"/>
                <w:szCs w:val="28"/>
                <w:lang w:eastAsia="zh-CN"/>
              </w:rPr>
            </w:pPr>
            <w:r>
              <w:rPr>
                <w:rFonts w:hint="eastAsia" w:ascii="仿宋" w:hAnsi="仿宋" w:eastAsia="仿宋" w:cs="仿宋"/>
                <w:sz w:val="28"/>
                <w:szCs w:val="28"/>
                <w:lang w:eastAsia="zh-CN"/>
              </w:rPr>
              <w:t>医学</w:t>
            </w:r>
            <w:r>
              <w:rPr>
                <w:rFonts w:hint="eastAsia" w:ascii="仿宋" w:hAnsi="仿宋" w:eastAsia="仿宋" w:cs="仿宋"/>
                <w:color w:val="333333"/>
                <w:sz w:val="28"/>
                <w:szCs w:val="28"/>
                <w:lang w:eastAsia="zh-CN"/>
              </w:rPr>
              <w:t>影像归档和通信管理</w:t>
            </w:r>
          </w:p>
        </w:tc>
      </w:tr>
      <w:tr w14:paraId="3F1A23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trPr>
        <w:tc>
          <w:tcPr>
            <w:tcW w:w="889" w:type="dxa"/>
            <w:vAlign w:val="center"/>
          </w:tcPr>
          <w:p w14:paraId="1B7E8047">
            <w:pPr>
              <w:pStyle w:val="17"/>
              <w:snapToGrid w:val="0"/>
              <w:jc w:val="left"/>
              <w:rPr>
                <w:rFonts w:hint="eastAsia" w:ascii="仿宋" w:hAnsi="仿宋" w:eastAsia="仿宋" w:cs="仿宋"/>
                <w:b/>
                <w:sz w:val="28"/>
                <w:szCs w:val="28"/>
              </w:rPr>
            </w:pPr>
            <w:r>
              <w:rPr>
                <w:rFonts w:hint="eastAsia" w:ascii="仿宋" w:hAnsi="仿宋" w:eastAsia="仿宋" w:cs="仿宋"/>
                <w:sz w:val="28"/>
                <w:szCs w:val="28"/>
              </w:rPr>
              <w:t>临床科室</w:t>
            </w:r>
          </w:p>
        </w:tc>
        <w:tc>
          <w:tcPr>
            <w:tcW w:w="981" w:type="dxa"/>
            <w:vAlign w:val="center"/>
          </w:tcPr>
          <w:p w14:paraId="5F0BD984">
            <w:pPr>
              <w:pStyle w:val="17"/>
              <w:snapToGrid w:val="0"/>
              <w:jc w:val="left"/>
              <w:rPr>
                <w:rFonts w:hint="eastAsia" w:ascii="仿宋" w:hAnsi="仿宋" w:eastAsia="仿宋" w:cs="仿宋"/>
                <w:sz w:val="28"/>
                <w:szCs w:val="28"/>
              </w:rPr>
            </w:pPr>
            <w:r>
              <w:rPr>
                <w:rFonts w:hint="eastAsia" w:ascii="仿宋" w:hAnsi="仿宋" w:eastAsia="仿宋" w:cs="仿宋"/>
                <w:sz w:val="28"/>
                <w:szCs w:val="28"/>
              </w:rPr>
              <w:t>临床影像服务系统</w:t>
            </w:r>
          </w:p>
        </w:tc>
        <w:tc>
          <w:tcPr>
            <w:tcW w:w="4483" w:type="dxa"/>
            <w:vAlign w:val="center"/>
          </w:tcPr>
          <w:p w14:paraId="64A47FDB">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1、 服务器</w:t>
            </w:r>
          </w:p>
          <w:p w14:paraId="15C9EBC6">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CPU 使用率</w:t>
            </w:r>
          </w:p>
          <w:p w14:paraId="7E66BE07">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内存占用率</w:t>
            </w:r>
          </w:p>
          <w:p w14:paraId="46950E1A">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虚拟内存使用情况</w:t>
            </w:r>
          </w:p>
          <w:p w14:paraId="5F4AC326">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服务器 None Page Pool 使用情况各磁盘的空间使用情况</w:t>
            </w:r>
          </w:p>
          <w:p w14:paraId="522D827D">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磁盘 I/O 性能网络负载情况</w:t>
            </w:r>
          </w:p>
          <w:p w14:paraId="36F3CEA7">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Windows 警报事件处理防火墙运行情况</w:t>
            </w:r>
          </w:p>
          <w:p w14:paraId="424B9CF5">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服务器重启测试（按需）</w:t>
            </w:r>
          </w:p>
          <w:p w14:paraId="69D136FF">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2、 Vue Motion 应用</w:t>
            </w:r>
          </w:p>
          <w:p w14:paraId="1A37C63B">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IIS 各应用池的运行情况</w:t>
            </w:r>
          </w:p>
          <w:p w14:paraId="68BC86FE">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IIS 日志检查</w:t>
            </w:r>
          </w:p>
          <w:p w14:paraId="2393BC01">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IIS 应用池回收设置检查VueMotion</w:t>
            </w:r>
            <w:r>
              <w:rPr>
                <w:rFonts w:hint="eastAsia" w:ascii="仿宋" w:hAnsi="仿宋" w:eastAsia="仿宋" w:cs="仿宋"/>
                <w:spacing w:val="-14"/>
                <w:sz w:val="28"/>
                <w:szCs w:val="28"/>
                <w:lang w:eastAsia="zh-CN"/>
              </w:rPr>
              <w:t xml:space="preserve"> </w:t>
            </w:r>
            <w:r>
              <w:rPr>
                <w:rFonts w:hint="eastAsia" w:ascii="仿宋" w:hAnsi="仿宋" w:eastAsia="仿宋" w:cs="仿宋"/>
                <w:spacing w:val="-3"/>
                <w:sz w:val="28"/>
                <w:szCs w:val="28"/>
                <w:lang w:eastAsia="zh-CN"/>
              </w:rPr>
              <w:t>应用日志检查</w:t>
            </w:r>
            <w:r>
              <w:rPr>
                <w:rFonts w:hint="eastAsia" w:ascii="仿宋" w:hAnsi="仿宋" w:eastAsia="仿宋" w:cs="仿宋"/>
                <w:sz w:val="28"/>
                <w:szCs w:val="28"/>
                <w:lang w:eastAsia="zh-CN"/>
              </w:rPr>
              <w:t>网站启动速度检测</w:t>
            </w:r>
          </w:p>
          <w:p w14:paraId="75A04442">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图像加载速度检测</w:t>
            </w:r>
          </w:p>
          <w:p w14:paraId="20678646">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各功能应用测试</w:t>
            </w:r>
          </w:p>
        </w:tc>
        <w:tc>
          <w:tcPr>
            <w:tcW w:w="1738" w:type="dxa"/>
            <w:vAlign w:val="center"/>
          </w:tcPr>
          <w:p w14:paraId="3E96ED4B">
            <w:pPr>
              <w:pStyle w:val="17"/>
              <w:snapToGrid w:val="0"/>
              <w:jc w:val="left"/>
              <w:rPr>
                <w:rFonts w:hint="eastAsia" w:ascii="仿宋" w:hAnsi="仿宋" w:eastAsia="仿宋" w:cs="仿宋"/>
                <w:sz w:val="28"/>
                <w:szCs w:val="28"/>
                <w:lang w:eastAsia="zh-CN"/>
              </w:rPr>
            </w:pPr>
            <w:r>
              <w:rPr>
                <w:rFonts w:hint="eastAsia" w:ascii="仿宋" w:hAnsi="仿宋" w:eastAsia="仿宋" w:cs="仿宋"/>
                <w:sz w:val="28"/>
                <w:szCs w:val="28"/>
              </w:rPr>
              <w:t>临床影像服务系统</w:t>
            </w:r>
          </w:p>
        </w:tc>
      </w:tr>
      <w:bookmarkEnd w:id="7"/>
      <w:bookmarkEnd w:id="8"/>
      <w:bookmarkEnd w:id="9"/>
      <w:bookmarkEnd w:id="10"/>
      <w:bookmarkEnd w:id="11"/>
      <w:bookmarkEnd w:id="12"/>
    </w:tbl>
    <w:p w14:paraId="5FD76239">
      <w:pPr>
        <w:rPr>
          <w:rFonts w:hint="eastAsia" w:ascii="仿宋" w:hAnsi="仿宋" w:eastAsia="仿宋" w:cs="仿宋"/>
        </w:rPr>
      </w:pPr>
      <w:bookmarkStart w:id="13" w:name="_Toc482084460"/>
      <w:r>
        <w:rPr>
          <w:rFonts w:hint="eastAsia" w:ascii="仿宋" w:hAnsi="仿宋" w:eastAsia="仿宋" w:cs="仿宋"/>
          <w:color w:val="000000"/>
          <w:sz w:val="28"/>
          <w:szCs w:val="28"/>
        </w:rPr>
        <w:br w:type="page"/>
      </w:r>
      <w:bookmarkEnd w:id="13"/>
      <w:bookmarkStart w:id="14" w:name="_GoBack"/>
      <w:bookmarkEnd w:id="1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STHeiti">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方正仿宋_GBK">
    <w:altName w:val="微软雅黑"/>
    <w:panose1 w:val="02000000000000000000"/>
    <w:charset w:val="86"/>
    <w:family w:val="auto"/>
    <w:pitch w:val="default"/>
    <w:sig w:usb0="00000000" w:usb1="00000000" w:usb2="00082016" w:usb3="00000000" w:csb0="00040001"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8150A9"/>
    <w:multiLevelType w:val="multilevel"/>
    <w:tmpl w:val="4B8150A9"/>
    <w:lvl w:ilvl="0" w:tentative="0">
      <w:start w:val="1"/>
      <w:numFmt w:val="decimal"/>
      <w:lvlText w:val="%1."/>
      <w:lvlJc w:val="left"/>
      <w:pPr>
        <w:ind w:left="420" w:hanging="4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53577F"/>
    <w:rsid w:val="377FD164"/>
    <w:rsid w:val="447F54F0"/>
    <w:rsid w:val="6653577F"/>
    <w:rsid w:val="7A7FF155"/>
    <w:rsid w:val="ABEFA3A8"/>
    <w:rsid w:val="FB9E41DF"/>
    <w:rsid w:val="FECFB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0"/>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link w:val="1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8">
    <w:name w:val="Default Paragraph Font"/>
    <w:semiHidden/>
    <w:unhideWhenUsed/>
    <w:uiPriority w:val="1"/>
  </w:style>
  <w:style w:type="table" w:default="1" w:styleId="7">
    <w:name w:val="Normal Table"/>
    <w:semiHidden/>
    <w:uiPriority w:val="0"/>
    <w:tblPr>
      <w:tblCellMar>
        <w:top w:w="0" w:type="dxa"/>
        <w:left w:w="108" w:type="dxa"/>
        <w:bottom w:w="0" w:type="dxa"/>
        <w:right w:w="108" w:type="dxa"/>
      </w:tblCellMar>
    </w:tblPr>
  </w:style>
  <w:style w:type="paragraph" w:styleId="5">
    <w:name w:val="header"/>
    <w:basedOn w:val="1"/>
    <w:unhideWhenUsed/>
    <w:qFormat/>
    <w:uiPriority w:val="0"/>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customStyle="1" w:styleId="10">
    <w:name w:val="标题 2 字符"/>
    <w:basedOn w:val="8"/>
    <w:link w:val="2"/>
    <w:uiPriority w:val="0"/>
    <w:rPr>
      <w:rFonts w:ascii="Cambria" w:hAnsi="Cambria" w:eastAsia="STHeiti" w:cs="Cambria"/>
      <w:b/>
      <w:bCs/>
      <w:sz w:val="30"/>
      <w:szCs w:val="32"/>
    </w:rPr>
  </w:style>
  <w:style w:type="character" w:customStyle="1" w:styleId="11">
    <w:name w:val="标题 3 字符"/>
    <w:basedOn w:val="8"/>
    <w:link w:val="3"/>
    <w:uiPriority w:val="0"/>
    <w:rPr>
      <w:rFonts w:ascii="Calibri" w:hAnsi="Calibri" w:eastAsia="STHeiti" w:cs="Times New Roman"/>
      <w:b/>
      <w:bCs/>
      <w:sz w:val="28"/>
      <w:szCs w:val="32"/>
    </w:rPr>
  </w:style>
  <w:style w:type="paragraph" w:customStyle="1" w:styleId="12">
    <w:name w:val="p0"/>
    <w:basedOn w:val="1"/>
    <w:qFormat/>
    <w:uiPriority w:val="0"/>
    <w:pPr>
      <w:widowControl/>
    </w:pPr>
    <w:rPr>
      <w:rFonts w:ascii="Times New Roman" w:hAnsi="Times New Roman"/>
      <w:kern w:val="0"/>
      <w:szCs w:val="21"/>
    </w:rPr>
  </w:style>
  <w:style w:type="paragraph" w:customStyle="1" w:styleId="13">
    <w:name w:val="D&amp;L"/>
    <w:basedOn w:val="5"/>
    <w:qFormat/>
    <w:uiPriority w:val="0"/>
    <w:pPr>
      <w:pBdr>
        <w:bottom w:val="thinThickSmallGap" w:color="auto" w:sz="18" w:space="1"/>
      </w:pBdr>
      <w:adjustRightInd w:val="0"/>
      <w:snapToGrid/>
      <w:spacing w:line="240" w:lineRule="atLeast"/>
      <w:textAlignment w:val="baseline"/>
    </w:pPr>
    <w:rPr>
      <w:rFonts w:ascii="Times New Roman" w:hAnsi="Times New Roman"/>
      <w:kern w:val="0"/>
      <w:sz w:val="24"/>
      <w:szCs w:val="20"/>
    </w:rPr>
  </w:style>
  <w:style w:type="paragraph" w:customStyle="1" w:styleId="14">
    <w:name w:val="GW-正文"/>
    <w:basedOn w:val="1"/>
    <w:qFormat/>
    <w:uiPriority w:val="0"/>
    <w:pPr>
      <w:spacing w:line="360" w:lineRule="auto"/>
      <w:ind w:firstLine="200" w:firstLineChars="200"/>
      <w:contextualSpacing/>
    </w:pPr>
    <w:rPr>
      <w:rFonts w:ascii="Times New Roman" w:hAnsi="Times New Roman"/>
      <w:kern w:val="0"/>
      <w:sz w:val="20"/>
      <w:szCs w:val="24"/>
      <w:lang w:val="zh-CN"/>
    </w:rPr>
  </w:style>
  <w:style w:type="character" w:customStyle="1" w:styleId="15">
    <w:name w:val="标题 2 Char Char"/>
    <w:qFormat/>
    <w:uiPriority w:val="0"/>
    <w:rPr>
      <w:rFonts w:ascii="Arial" w:hAnsi="Arial" w:eastAsia="黑体" w:cs="Times New Roman"/>
      <w:b/>
      <w:bCs/>
      <w:kern w:val="2"/>
      <w:sz w:val="32"/>
      <w:szCs w:val="32"/>
      <w:lang w:val="en-US" w:eastAsia="zh-CN" w:bidi="ar-SA"/>
    </w:rPr>
  </w:style>
  <w:style w:type="paragraph" w:styleId="16">
    <w:name w:val="List Paragraph"/>
    <w:basedOn w:val="1"/>
    <w:qFormat/>
    <w:uiPriority w:val="99"/>
    <w:pPr>
      <w:ind w:firstLine="420" w:firstLineChars="200"/>
    </w:pPr>
    <w:rPr>
      <w:rFonts w:ascii="Calibri" w:hAnsi="Calibri"/>
      <w:szCs w:val="22"/>
    </w:rPr>
  </w:style>
  <w:style w:type="paragraph" w:customStyle="1" w:styleId="17">
    <w:name w:val="Table Paragraph"/>
    <w:basedOn w:val="1"/>
    <w:qFormat/>
    <w:uiPriority w:val="1"/>
    <w:pPr>
      <w:autoSpaceDE w:val="0"/>
      <w:autoSpaceDN w:val="0"/>
      <w:jc w:val="left"/>
    </w:pPr>
    <w:rPr>
      <w:rFonts w:ascii="宋体" w:hAnsi="宋体" w:cs="宋体"/>
      <w:kern w:val="0"/>
      <w:sz w:val="22"/>
      <w:szCs w:val="22"/>
      <w:lang w:eastAsia="en-US"/>
    </w:rPr>
  </w:style>
  <w:style w:type="table" w:customStyle="1" w:styleId="18">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19">
    <w:name w:val="表格"/>
    <w:basedOn w:val="1"/>
    <w:qFormat/>
    <w:uiPriority w:val="0"/>
    <w:pPr>
      <w:spacing w:line="360" w:lineRule="auto"/>
    </w:pPr>
    <w:rPr>
      <w:rFonts w:ascii="仿宋_GB2312" w:hAnsi="宋体" w:eastAsia="仿宋_GB2312"/>
      <w:bCs/>
      <w:color w:val="333333"/>
      <w:kern w:val="0"/>
      <w:sz w:val="2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7297</Words>
  <Characters>7673</Characters>
  <Lines>0</Lines>
  <Paragraphs>0</Paragraphs>
  <TotalTime>21</TotalTime>
  <ScaleCrop>false</ScaleCrop>
  <LinksUpToDate>false</LinksUpToDate>
  <CharactersWithSpaces>7846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2025-10-31T18:40:00Z</dcterms:created>
  <dc:creator>Wang ke</dc:creator>
  <cp:lastModifiedBy>邵龙</cp:lastModifiedBy>
  <dcterms:modified xsi:type="dcterms:W3CDTF">2026-03-04T02:17:32Z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AFD732753D4C4135835C2DEF8F131A24_13</vt:lpwstr>
  </property>
  <property fmtid="{D5CDD505-2E9C-101B-9397-08002B2CF9AE}" pid="4" name="KSOTemplateDocerSaveRecord">
    <vt:lpwstr>eyJoZGlkIjoiNzBmMjQ4MTJjN2JmYzk4OGNkODJjODQwNTA3Nzg2NzIiLCJ1c2VySWQiOiI0MjYwNTA1NTUifQ==</vt:lpwstr>
  </property>
</Properties>
</file>