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134" w:name="_GoBack"/>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FFA10E">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宿州市立医院多功能婴儿培养箱(高端暖箱)采购项目</w:t>
      </w:r>
    </w:p>
    <w:p w14:paraId="3C8870C8">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w:t>
      </w:r>
    </w:p>
    <w:p w14:paraId="76A1B78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安徽省宿州市立医院</w:t>
      </w:r>
    </w:p>
    <w:p w14:paraId="092C3BD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安徽省招标集团股份有限公司</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E1F0E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 xml:space="preserve"> 2026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 xml:space="preserve"> 4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8CBE883">
      <w:pPr>
        <w:pStyle w:val="16"/>
        <w:tabs>
          <w:tab w:val="right" w:leader="dot" w:pos="8306"/>
        </w:tabs>
        <w:rPr>
          <w:color w:val="auto"/>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_Toc4692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rPr>
        <w:tab/>
      </w:r>
      <w:r>
        <w:rPr>
          <w:color w:val="auto"/>
        </w:rPr>
        <w:fldChar w:fldCharType="begin"/>
      </w:r>
      <w:r>
        <w:rPr>
          <w:color w:val="auto"/>
        </w:rPr>
        <w:instrText xml:space="preserve"> PAGEREF _Toc4692 \h </w:instrText>
      </w:r>
      <w:r>
        <w:rPr>
          <w:color w:val="auto"/>
        </w:rPr>
        <w:fldChar w:fldCharType="separate"/>
      </w:r>
      <w:r>
        <w:rPr>
          <w:color w:val="auto"/>
        </w:rPr>
        <w:t>1</w:t>
      </w:r>
      <w:r>
        <w:rPr>
          <w:color w:val="auto"/>
        </w:rPr>
        <w:fldChar w:fldCharType="end"/>
      </w:r>
      <w:r>
        <w:rPr>
          <w:rFonts w:asciiTheme="minorEastAsia" w:hAnsiTheme="minorEastAsia"/>
          <w:color w:val="auto"/>
          <w:szCs w:val="24"/>
          <w:highlight w:val="none"/>
        </w:rPr>
        <w:fldChar w:fldCharType="end"/>
      </w:r>
    </w:p>
    <w:p w14:paraId="244B472A">
      <w:pPr>
        <w:pStyle w:val="16"/>
        <w:tabs>
          <w:tab w:val="right" w:leader="dot" w:pos="8306"/>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_Toc28897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rPr>
        <w:tab/>
      </w:r>
      <w:r>
        <w:rPr>
          <w:color w:val="auto"/>
        </w:rPr>
        <w:fldChar w:fldCharType="begin"/>
      </w:r>
      <w:r>
        <w:rPr>
          <w:color w:val="auto"/>
        </w:rPr>
        <w:instrText xml:space="preserve"> PAGEREF _Toc28897 \h </w:instrText>
      </w:r>
      <w:r>
        <w:rPr>
          <w:color w:val="auto"/>
        </w:rPr>
        <w:fldChar w:fldCharType="separate"/>
      </w:r>
      <w:r>
        <w:rPr>
          <w:color w:val="auto"/>
        </w:rPr>
        <w:t>4</w:t>
      </w:r>
      <w:r>
        <w:rPr>
          <w:color w:val="auto"/>
        </w:rPr>
        <w:fldChar w:fldCharType="end"/>
      </w:r>
      <w:r>
        <w:rPr>
          <w:rFonts w:asciiTheme="minorEastAsia" w:hAnsiTheme="minorEastAsia" w:eastAsiaTheme="minorEastAsia"/>
          <w:color w:val="auto"/>
          <w:szCs w:val="24"/>
          <w:highlight w:val="none"/>
        </w:rPr>
        <w:fldChar w:fldCharType="end"/>
      </w:r>
    </w:p>
    <w:p w14:paraId="6E9BDCE0">
      <w:pPr>
        <w:pStyle w:val="16"/>
        <w:tabs>
          <w:tab w:val="right" w:leader="dot" w:pos="8306"/>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_Toc21619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rPr>
        <w:tab/>
      </w:r>
      <w:r>
        <w:rPr>
          <w:color w:val="auto"/>
        </w:rPr>
        <w:fldChar w:fldCharType="begin"/>
      </w:r>
      <w:r>
        <w:rPr>
          <w:color w:val="auto"/>
        </w:rPr>
        <w:instrText xml:space="preserve"> PAGEREF _Toc21619 \h </w:instrText>
      </w:r>
      <w:r>
        <w:rPr>
          <w:color w:val="auto"/>
        </w:rPr>
        <w:fldChar w:fldCharType="separate"/>
      </w:r>
      <w:r>
        <w:rPr>
          <w:color w:val="auto"/>
        </w:rPr>
        <w:t>22</w:t>
      </w:r>
      <w:r>
        <w:rPr>
          <w:color w:val="auto"/>
        </w:rPr>
        <w:fldChar w:fldCharType="end"/>
      </w:r>
      <w:r>
        <w:rPr>
          <w:rFonts w:asciiTheme="minorEastAsia" w:hAnsiTheme="minorEastAsia" w:eastAsiaTheme="minorEastAsia"/>
          <w:color w:val="auto"/>
          <w:szCs w:val="24"/>
          <w:highlight w:val="none"/>
        </w:rPr>
        <w:fldChar w:fldCharType="end"/>
      </w:r>
    </w:p>
    <w:p w14:paraId="588C4EBC">
      <w:pPr>
        <w:pStyle w:val="16"/>
        <w:tabs>
          <w:tab w:val="right" w:leader="dot" w:pos="8306"/>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_Toc23616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rPr>
        <w:tab/>
      </w:r>
      <w:r>
        <w:rPr>
          <w:color w:val="auto"/>
        </w:rPr>
        <w:fldChar w:fldCharType="begin"/>
      </w:r>
      <w:r>
        <w:rPr>
          <w:color w:val="auto"/>
        </w:rPr>
        <w:instrText xml:space="preserve"> PAGEREF _Toc23616 \h </w:instrText>
      </w:r>
      <w:r>
        <w:rPr>
          <w:color w:val="auto"/>
        </w:rPr>
        <w:fldChar w:fldCharType="separate"/>
      </w:r>
      <w:r>
        <w:rPr>
          <w:color w:val="auto"/>
        </w:rPr>
        <w:t>28</w:t>
      </w:r>
      <w:r>
        <w:rPr>
          <w:color w:val="auto"/>
        </w:rPr>
        <w:fldChar w:fldCharType="end"/>
      </w:r>
      <w:r>
        <w:rPr>
          <w:rFonts w:asciiTheme="minorEastAsia" w:hAnsiTheme="minorEastAsia" w:eastAsiaTheme="minorEastAsia"/>
          <w:color w:val="auto"/>
          <w:szCs w:val="24"/>
          <w:highlight w:val="none"/>
        </w:rPr>
        <w:fldChar w:fldCharType="end"/>
      </w:r>
    </w:p>
    <w:p w14:paraId="3AB6502C">
      <w:pPr>
        <w:pStyle w:val="16"/>
        <w:tabs>
          <w:tab w:val="right" w:leader="dot" w:pos="8306"/>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_Toc19973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rPr>
        <w:tab/>
      </w:r>
      <w:r>
        <w:rPr>
          <w:color w:val="auto"/>
        </w:rPr>
        <w:fldChar w:fldCharType="begin"/>
      </w:r>
      <w:r>
        <w:rPr>
          <w:color w:val="auto"/>
        </w:rPr>
        <w:instrText xml:space="preserve"> PAGEREF _Toc19973 \h </w:instrText>
      </w:r>
      <w:r>
        <w:rPr>
          <w:color w:val="auto"/>
        </w:rPr>
        <w:fldChar w:fldCharType="separate"/>
      </w:r>
      <w:r>
        <w:rPr>
          <w:color w:val="auto"/>
        </w:rPr>
        <w:t>36</w:t>
      </w:r>
      <w:r>
        <w:rPr>
          <w:color w:val="auto"/>
        </w:rPr>
        <w:fldChar w:fldCharType="end"/>
      </w:r>
      <w:r>
        <w:rPr>
          <w:rFonts w:asciiTheme="minorEastAsia" w:hAnsiTheme="minorEastAsia" w:eastAsiaTheme="minorEastAsia"/>
          <w:color w:val="auto"/>
          <w:szCs w:val="24"/>
          <w:highlight w:val="none"/>
        </w:rPr>
        <w:fldChar w:fldCharType="end"/>
      </w:r>
    </w:p>
    <w:p w14:paraId="71A3D4B3">
      <w:pPr>
        <w:pStyle w:val="16"/>
        <w:tabs>
          <w:tab w:val="right" w:leader="dot" w:pos="8306"/>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_Toc20699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rPr>
        <w:tab/>
      </w:r>
      <w:r>
        <w:rPr>
          <w:color w:val="auto"/>
        </w:rPr>
        <w:fldChar w:fldCharType="begin"/>
      </w:r>
      <w:r>
        <w:rPr>
          <w:color w:val="auto"/>
        </w:rPr>
        <w:instrText xml:space="preserve"> PAGEREF _Toc20699 \h </w:instrText>
      </w:r>
      <w:r>
        <w:rPr>
          <w:color w:val="auto"/>
        </w:rPr>
        <w:fldChar w:fldCharType="separate"/>
      </w:r>
      <w:r>
        <w:rPr>
          <w:color w:val="auto"/>
        </w:rPr>
        <w:t>56</w:t>
      </w:r>
      <w:r>
        <w:rPr>
          <w:color w:val="auto"/>
        </w:rPr>
        <w:fldChar w:fldCharType="end"/>
      </w:r>
      <w:r>
        <w:rPr>
          <w:rFonts w:asciiTheme="minorEastAsia" w:hAnsiTheme="minorEastAsia" w:eastAsiaTheme="minorEastAsia"/>
          <w:color w:val="auto"/>
          <w:szCs w:val="24"/>
          <w:highlight w:val="none"/>
        </w:rPr>
        <w:fldChar w:fldCharType="end"/>
      </w:r>
    </w:p>
    <w:p w14:paraId="4700349B">
      <w:pPr>
        <w:pStyle w:val="16"/>
        <w:tabs>
          <w:tab w:val="right" w:leader="dot" w:pos="8306"/>
        </w:tabs>
        <w:rPr>
          <w:color w:val="auto"/>
        </w:rPr>
      </w:pPr>
    </w:p>
    <w:p w14:paraId="4F65E87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2CC6E944">
      <w:pPr>
        <w:pStyle w:val="8"/>
        <w:rPr>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720CCCC">
      <w:pPr>
        <w:spacing w:line="360" w:lineRule="auto"/>
        <w:jc w:val="center"/>
        <w:outlineLvl w:val="0"/>
        <w:rPr>
          <w:rFonts w:asciiTheme="minorEastAsia" w:hAnsiTheme="minorEastAsia" w:eastAsiaTheme="minorEastAsia"/>
          <w:b/>
          <w:color w:val="auto"/>
          <w:sz w:val="28"/>
          <w:highlight w:val="none"/>
        </w:rPr>
      </w:pPr>
      <w:bookmarkStart w:id="1" w:name="_Toc469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67B94087">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6097"/>
      <w:bookmarkStart w:id="4"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bookmarkEnd w:id="4"/>
    </w:p>
    <w:p w14:paraId="6CF39A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CDF36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rPr>
        <w:t>宿州市立医院多功能婴儿培养箱(高端暖箱)采购项目</w:t>
      </w:r>
    </w:p>
    <w:p w14:paraId="028664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Theme="minorEastAsia" w:hAnsiTheme="minorEastAsia" w:eastAsiaTheme="minorEastAsia"/>
          <w:color w:val="auto"/>
          <w:sz w:val="24"/>
          <w:highlight w:val="none"/>
          <w:u w:val="single"/>
        </w:rPr>
        <w:t>300万元</w:t>
      </w:r>
    </w:p>
    <w:p w14:paraId="747D5EE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rPr>
        <w:t>300万元</w:t>
      </w:r>
    </w:p>
    <w:p w14:paraId="1FF7CDA5">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购置多功能婴儿培养箱(高端暖箱)6台，包括所有货物的供货、包装运输（包括卸车及就位至招标人指定的安装地点）、安装、调试、验收、技术服务、培训、售后服务等内容</w:t>
      </w:r>
      <w:r>
        <w:rPr>
          <w:rFonts w:hint="eastAsia" w:asciiTheme="minorEastAsia" w:hAnsiTheme="minorEastAsia" w:eastAsiaTheme="minorEastAsia"/>
          <w:color w:val="auto"/>
          <w:sz w:val="24"/>
          <w:highlight w:val="none"/>
          <w:u w:val="single"/>
          <w:lang w:eastAsia="zh-CN"/>
        </w:rPr>
        <w:t>，</w:t>
      </w:r>
      <w:r>
        <w:rPr>
          <w:rFonts w:hint="eastAsia" w:asciiTheme="minorEastAsia" w:hAnsiTheme="minorEastAsia" w:eastAsiaTheme="minorEastAsia"/>
          <w:color w:val="auto"/>
          <w:sz w:val="24"/>
          <w:highlight w:val="none"/>
          <w:u w:val="single"/>
          <w:lang w:val="en-US" w:eastAsia="zh-CN"/>
        </w:rPr>
        <w:t>具体内容详见采购文件。</w:t>
      </w:r>
    </w:p>
    <w:p w14:paraId="1A0D76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 xml:space="preserve"> 合同签订后30日内</w:t>
      </w:r>
      <w:r>
        <w:rPr>
          <w:rFonts w:hint="eastAsia" w:ascii="宋体" w:hAnsi="宋体" w:eastAsia="宋体"/>
          <w:color w:val="auto"/>
          <w:sz w:val="24"/>
          <w:szCs w:val="18"/>
          <w:highlight w:val="none"/>
          <w:u w:val="single"/>
          <w:lang w:val="en-US" w:eastAsia="zh-CN"/>
        </w:rPr>
        <w:t>完成供货、安装及调试</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p>
    <w:p w14:paraId="22848A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7.本项目（否）接受联合体投标。</w:t>
      </w:r>
    </w:p>
    <w:p w14:paraId="07547E18">
      <w:pPr>
        <w:spacing w:line="360" w:lineRule="auto"/>
        <w:ind w:firstLine="437"/>
        <w:outlineLvl w:val="1"/>
        <w:rPr>
          <w:rFonts w:hint="eastAsia" w:ascii="宋体" w:hAnsi="宋体" w:eastAsia="宋体"/>
          <w:b/>
          <w:bCs/>
          <w:color w:val="auto"/>
          <w:sz w:val="24"/>
          <w:szCs w:val="18"/>
          <w:highlight w:val="none"/>
        </w:rPr>
      </w:pPr>
      <w:bookmarkStart w:id="5" w:name="_Toc13530"/>
      <w:bookmarkStart w:id="6" w:name="_Toc6221"/>
      <w:bookmarkStart w:id="7" w:name="_Toc26178"/>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bookmarkEnd w:id="7"/>
    </w:p>
    <w:p w14:paraId="530FAEC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2327E6D">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77D6357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7670A2F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57FB59A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采购。</w:t>
      </w:r>
    </w:p>
    <w:p w14:paraId="70156EC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w:t>
      </w:r>
      <w:r>
        <w:rPr>
          <w:rFonts w:hint="default" w:asciiTheme="minorEastAsia" w:hAnsiTheme="minorEastAsia" w:eastAsiaTheme="minorEastAsia"/>
          <w:color w:val="auto"/>
          <w:sz w:val="24"/>
          <w:highlight w:val="none"/>
          <w:u w:val="single"/>
          <w:lang w:val="en-US" w:eastAsia="zh-CN"/>
        </w:rPr>
        <w:t>_</w:t>
      </w:r>
      <w:r>
        <w:rPr>
          <w:rFonts w:hint="eastAsia" w:asciiTheme="minorEastAsia" w:hAnsiTheme="minorEastAsia" w:eastAsiaTheme="minorEastAsia"/>
          <w:color w:val="auto"/>
          <w:sz w:val="24"/>
          <w:highlight w:val="none"/>
          <w:lang w:val="en-US" w:eastAsia="zh-CN"/>
        </w:rPr>
        <w:t>。</w:t>
      </w:r>
    </w:p>
    <w:p w14:paraId="5EE4E042">
      <w:pPr>
        <w:spacing w:line="360" w:lineRule="auto"/>
        <w:ind w:firstLine="435"/>
        <w:rPr>
          <w:rFonts w:hint="eastAsia"/>
          <w:color w:val="auto"/>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w:t>
      </w:r>
    </w:p>
    <w:p w14:paraId="6E86A6A5">
      <w:pPr>
        <w:spacing w:line="360" w:lineRule="auto"/>
        <w:ind w:firstLine="435"/>
        <w:outlineLvl w:val="9"/>
        <w:rPr>
          <w:rFonts w:hint="eastAsia"/>
          <w:color w:val="auto"/>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u w:val="single"/>
        </w:rPr>
        <w:t>具有医疗器械生产或医疗器械经营资格</w:t>
      </w:r>
      <w:r>
        <w:rPr>
          <w:rFonts w:hint="eastAsia" w:asciiTheme="minorEastAsia" w:hAnsiTheme="minorEastAsia" w:eastAsiaTheme="minorEastAsia"/>
          <w:color w:val="auto"/>
          <w:sz w:val="24"/>
          <w:highlight w:val="none"/>
          <w:u w:val="single"/>
          <w:lang w:val="en-US" w:eastAsia="zh-CN"/>
        </w:rPr>
        <w:t>。</w:t>
      </w:r>
    </w:p>
    <w:p w14:paraId="3C4AAEE9">
      <w:pPr>
        <w:spacing w:line="360" w:lineRule="auto"/>
        <w:ind w:firstLine="437"/>
        <w:outlineLvl w:val="1"/>
        <w:rPr>
          <w:rFonts w:hint="eastAsia" w:ascii="宋体" w:hAnsi="宋体" w:eastAsia="宋体"/>
          <w:b/>
          <w:bCs/>
          <w:color w:val="auto"/>
          <w:sz w:val="24"/>
          <w:szCs w:val="18"/>
          <w:highlight w:val="none"/>
        </w:rPr>
      </w:pPr>
      <w:bookmarkStart w:id="8" w:name="_Toc30110"/>
      <w:bookmarkStart w:id="9" w:name="_Toc6578"/>
      <w:bookmarkStart w:id="10" w:name="_Toc32089"/>
      <w:r>
        <w:rPr>
          <w:rFonts w:hint="eastAsia" w:ascii="宋体" w:hAnsi="宋体" w:eastAsia="宋体"/>
          <w:b/>
          <w:bCs/>
          <w:color w:val="auto"/>
          <w:sz w:val="24"/>
          <w:szCs w:val="18"/>
          <w:highlight w:val="none"/>
        </w:rPr>
        <w:t>三、</w:t>
      </w:r>
      <w:bookmarkEnd w:id="8"/>
      <w:r>
        <w:rPr>
          <w:rFonts w:hint="eastAsia" w:ascii="宋体" w:hAnsi="宋体" w:eastAsia="宋体"/>
          <w:b/>
          <w:bCs/>
          <w:color w:val="auto"/>
          <w:sz w:val="24"/>
          <w:szCs w:val="18"/>
          <w:highlight w:val="none"/>
        </w:rPr>
        <w:t>获取招标文件</w:t>
      </w:r>
      <w:bookmarkEnd w:id="9"/>
      <w:bookmarkEnd w:id="10"/>
    </w:p>
    <w:p w14:paraId="7D496128">
      <w:pPr>
        <w:spacing w:line="360" w:lineRule="auto"/>
        <w:ind w:firstLine="540"/>
        <w:rPr>
          <w:rFonts w:hint="eastAsia" w:asciiTheme="minorEastAsia" w:hAnsiTheme="minorEastAsia" w:eastAsiaTheme="minorEastAsia" w:cstheme="minorEastAsia"/>
          <w:i/>
          <w:iCs/>
          <w:color w:val="auto"/>
          <w:sz w:val="24"/>
          <w:szCs w:val="24"/>
        </w:rPr>
      </w:pPr>
      <w:bookmarkStart w:id="11" w:name="_Toc7957"/>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2026</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none"/>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4</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none"/>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none"/>
        </w:rPr>
        <w:t>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2026</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none"/>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4</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none"/>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none"/>
        </w:rPr>
        <w:t>日</w:t>
      </w:r>
      <w:r>
        <w:rPr>
          <w:rFonts w:hint="eastAsia" w:asciiTheme="minorEastAsia" w:hAnsiTheme="minorEastAsia" w:eastAsiaTheme="minorEastAsia" w:cstheme="minorEastAsia"/>
          <w:color w:val="auto"/>
          <w:sz w:val="24"/>
          <w:szCs w:val="24"/>
        </w:rPr>
        <w:t>，每天上午</w:t>
      </w:r>
      <w:r>
        <w:rPr>
          <w:rFonts w:hint="eastAsia" w:asciiTheme="minorEastAsia" w:hAnsiTheme="minorEastAsia" w:eastAsiaTheme="minorEastAsia" w:cstheme="minorEastAsia"/>
          <w:color w:val="auto"/>
          <w:sz w:val="24"/>
          <w:szCs w:val="24"/>
          <w:u w:val="single"/>
          <w:lang w:val="en-US" w:eastAsia="zh-CN"/>
        </w:rPr>
        <w:t>0：00</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u w:val="single"/>
          <w:lang w:val="en-US" w:eastAsia="zh-CN"/>
        </w:rPr>
        <w:t>12:00</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，下午</w:t>
      </w:r>
      <w:r>
        <w:rPr>
          <w:rFonts w:hint="eastAsia" w:asciiTheme="minorEastAsia" w:hAnsiTheme="minorEastAsia" w:eastAsiaTheme="minorEastAsia" w:cstheme="minorEastAsia"/>
          <w:color w:val="auto"/>
          <w:sz w:val="24"/>
          <w:szCs w:val="24"/>
          <w:u w:val="single"/>
          <w:lang w:val="en-US" w:eastAsia="zh-CN"/>
        </w:rPr>
        <w:t>12:00</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lang w:val="en-US" w:eastAsia="zh-CN"/>
        </w:rPr>
        <w:t>24:00</w:t>
      </w:r>
      <w:r>
        <w:rPr>
          <w:rFonts w:hint="eastAsia" w:asciiTheme="minorEastAsia" w:hAnsiTheme="minorEastAsia" w:eastAsiaTheme="minorEastAsia" w:cstheme="minorEastAsia"/>
          <w:i w:val="0"/>
          <w:iCs w:val="0"/>
          <w:color w:val="auto"/>
          <w:sz w:val="24"/>
          <w:szCs w:val="24"/>
        </w:rPr>
        <w:t>（北京时间，法定节假日除外）</w:t>
      </w:r>
    </w:p>
    <w:p w14:paraId="674C18F0">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u w:val="single"/>
        </w:rPr>
        <w:t>网上获取</w:t>
      </w:r>
    </w:p>
    <w:p w14:paraId="5B5CAE0B">
      <w:pPr>
        <w:spacing w:line="360" w:lineRule="auto"/>
        <w:ind w:firstLine="54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方式：</w:t>
      </w:r>
      <w:r>
        <w:rPr>
          <w:rFonts w:hint="eastAsia" w:asciiTheme="minorEastAsia" w:hAnsiTheme="minorEastAsia" w:eastAsiaTheme="minorEastAsia" w:cstheme="minorEastAsia"/>
          <w:color w:val="auto"/>
          <w:sz w:val="24"/>
          <w:szCs w:val="24"/>
          <w:u w:val="single"/>
        </w:rPr>
        <w:t>（1）凡有意参加投标者，在招标文件获取时间范围内均可在宿州市公共资源交易中心新版交易系统会员端登录地址（网址：http://60.171.247.212:8111/TPBidder/memberLogin）交易平台登录处进行用户登记，登记为供应商后使用CA锁登录进入宿州市公共资源交易系统，进入系统—》招标公告列表—》筛选项目类型为“采购”—》选中相应项目公告—》点击“文件下载”下载获取招标文件，也可以通过输入标段包编号，在关键字中搜索，找到需要投标的标段。（详细操作流程：详见本公告附件《投标单位操作手册7.1.40.5版本》），并请随时关注网站答疑澄清。（用户登记操作及审核联系电话：0557-3030327） </w:t>
      </w:r>
    </w:p>
    <w:p w14:paraId="1E2DB8A1">
      <w:pPr>
        <w:spacing w:line="360" w:lineRule="auto"/>
        <w:ind w:firstLine="54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（2）请在招标文件获取时间范围内下载获取招标文件，逾期系统将自动关闭，无法下载招标文件。</w:t>
      </w:r>
    </w:p>
    <w:p w14:paraId="1FFED869">
      <w:pPr>
        <w:spacing w:line="360" w:lineRule="auto"/>
        <w:ind w:firstLine="54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（3）潜在投标人应合理安排时间，尽量避开开标前等可能存在的高峰期</w:t>
      </w:r>
      <w:r>
        <w:rPr>
          <w:rFonts w:hint="eastAsia" w:asciiTheme="minorEastAsia" w:hAnsiTheme="minorEastAsia" w:eastAsiaTheme="minorEastAsia" w:cstheme="minorEastAsia"/>
          <w:color w:val="auto"/>
          <w:sz w:val="24"/>
          <w:szCs w:val="24"/>
        </w:rPr>
        <w:t>。</w:t>
      </w:r>
      <w:r>
        <w:rPr>
          <w:rFonts w:ascii="宋体" w:hAnsi="宋体" w:eastAsia="宋体"/>
          <w:color w:val="auto"/>
          <w:sz w:val="24"/>
          <w:szCs w:val="18"/>
          <w:highlight w:val="none"/>
          <w:u w:val="single"/>
        </w:rPr>
        <w:t xml:space="preserve"> </w:t>
      </w:r>
    </w:p>
    <w:p w14:paraId="2C8EDA0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1234"/>
      <w:bookmarkStart w:id="13"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bookmarkEnd w:id="13"/>
    </w:p>
    <w:p w14:paraId="481ED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u w:val="none"/>
        </w:rPr>
      </w:pPr>
      <w:bookmarkStart w:id="14" w:name="_Toc5082"/>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u w:val="single"/>
          <w:lang w:val="en-US" w:eastAsia="zh-CN"/>
        </w:rPr>
        <w:t>2026</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u w:val="none"/>
        </w:rPr>
        <w:t>年</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u w:val="single"/>
          <w:lang w:val="en-US" w:eastAsia="zh-CN"/>
        </w:rPr>
        <w:t>4</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u w:val="none"/>
        </w:rPr>
        <w:t>月</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u w:val="single"/>
          <w:lang w:val="en-US" w:eastAsia="zh-CN"/>
        </w:rPr>
        <w:t>**</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u w:val="none"/>
        </w:rPr>
        <w:t>日</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u w:val="none"/>
        </w:rPr>
        <w:t>点</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u w:val="none"/>
        </w:rPr>
        <w:t>分</w:t>
      </w:r>
      <w:r>
        <w:rPr>
          <w:rFonts w:hint="eastAsia" w:asciiTheme="minorEastAsia" w:hAnsiTheme="minorEastAsia" w:eastAsiaTheme="minorEastAsia" w:cstheme="minorEastAsia"/>
          <w:bCs/>
          <w:color w:val="auto"/>
          <w:sz w:val="24"/>
          <w:szCs w:val="24"/>
        </w:rPr>
        <w:t>（北京时间）</w:t>
      </w:r>
    </w:p>
    <w:p w14:paraId="366639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u w:val="single"/>
        </w:rPr>
        <w:t>宿州市公共资源交易中心第**开标室</w:t>
      </w:r>
      <w:r>
        <w:rPr>
          <w:rFonts w:hint="eastAsia" w:asciiTheme="minorEastAsia" w:hAnsiTheme="minorEastAsia" w:eastAsiaTheme="minorEastAsia" w:cstheme="minorEastAsia"/>
          <w:color w:val="auto"/>
          <w:sz w:val="24"/>
          <w:szCs w:val="24"/>
          <w:u w:val="single"/>
        </w:rPr>
        <w:t>，因本项目实行全流程电子化交易，供应商原则上不到现场参与交易活动，将通过在线视频直播，供应商可通过登录宿州市公共资源交易网（http://ggzyjy.ahsz.gov.cn/szfront/）点击进入不见面开标大厅观看开标直播。具体操作详见公告附件或宿州市公共资源交易网上的关于《宿州不见面开标大厅操作视频及常见问题》的操作指南。</w:t>
      </w:r>
    </w:p>
    <w:p w14:paraId="77C40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color w:val="auto"/>
          <w:sz w:val="24"/>
          <w:szCs w:val="24"/>
          <w:u w:val="single"/>
        </w:rPr>
        <w:t>注：本项目通过宿州不见面开标大厅直播。</w:t>
      </w:r>
      <w:r>
        <w:rPr>
          <w:rFonts w:ascii="宋体" w:hAnsi="宋体" w:eastAsia="宋体"/>
          <w:color w:val="auto"/>
          <w:sz w:val="24"/>
          <w:szCs w:val="18"/>
          <w:highlight w:val="none"/>
          <w:u w:val="single"/>
        </w:rPr>
        <w:t xml:space="preserve"> </w:t>
      </w:r>
    </w:p>
    <w:p w14:paraId="5E0C0E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5" w:name="_Toc28531"/>
      <w:bookmarkStart w:id="16" w:name="_Toc5478"/>
      <w:r>
        <w:rPr>
          <w:rFonts w:hint="eastAsia" w:ascii="宋体" w:hAnsi="宋体" w:eastAsia="宋体"/>
          <w:b/>
          <w:bCs/>
          <w:color w:val="auto"/>
          <w:sz w:val="24"/>
          <w:szCs w:val="18"/>
          <w:highlight w:val="none"/>
        </w:rPr>
        <w:t>五、</w:t>
      </w:r>
      <w:bookmarkEnd w:id="14"/>
      <w:r>
        <w:rPr>
          <w:rFonts w:hint="eastAsia" w:ascii="宋体" w:hAnsi="宋体" w:eastAsia="宋体"/>
          <w:b/>
          <w:bCs/>
          <w:color w:val="auto"/>
          <w:sz w:val="24"/>
          <w:szCs w:val="18"/>
          <w:highlight w:val="none"/>
        </w:rPr>
        <w:t>公告期限</w:t>
      </w:r>
      <w:bookmarkEnd w:id="15"/>
      <w:bookmarkEnd w:id="16"/>
    </w:p>
    <w:p w14:paraId="65085C7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7" w:name="_Toc1215"/>
      <w:r>
        <w:rPr>
          <w:rFonts w:hint="eastAsia" w:ascii="宋体" w:hAnsi="宋体" w:eastAsia="宋体"/>
          <w:b w:val="0"/>
          <w:bCs w:val="0"/>
          <w:color w:val="auto"/>
          <w:sz w:val="24"/>
          <w:szCs w:val="18"/>
          <w:highlight w:val="none"/>
        </w:rPr>
        <w:t>自本公告发布之日起5个工作日。</w:t>
      </w:r>
    </w:p>
    <w:p w14:paraId="565A10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626"/>
      <w:bookmarkStart w:id="19" w:name="_Toc35393795"/>
      <w:bookmarkStart w:id="20" w:name="_Toc3859"/>
      <w:bookmarkStart w:id="21" w:name="_Toc8807"/>
      <w:r>
        <w:rPr>
          <w:rFonts w:hint="eastAsia" w:ascii="宋体" w:hAnsi="宋体" w:eastAsia="宋体"/>
          <w:b/>
          <w:bCs/>
          <w:color w:val="auto"/>
          <w:sz w:val="24"/>
          <w:szCs w:val="18"/>
          <w:highlight w:val="none"/>
        </w:rPr>
        <w:t>六、其他补充事宜</w:t>
      </w:r>
      <w:bookmarkEnd w:id="18"/>
      <w:bookmarkEnd w:id="19"/>
      <w:bookmarkEnd w:id="20"/>
      <w:bookmarkEnd w:id="21"/>
    </w:p>
    <w:p w14:paraId="74ABA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r>
        <w:rPr>
          <w:rFonts w:hint="eastAsia" w:ascii="宋体" w:hAnsi="宋体" w:eastAsia="宋体"/>
          <w:color w:val="auto"/>
          <w:sz w:val="24"/>
          <w:szCs w:val="18"/>
          <w:highlight w:val="none"/>
          <w:u w:val="single"/>
        </w:rPr>
        <w:t>投标人关于电子招投标的相关操作详见宿州市公共资源交易网-服务指南-操作手册-《投标单位操作手册（7.1.40.5）》；投标人关于不见面开标的相关操作详见宿州市公共资源交易网-服务指南-操作手册-《【投标人】不见面开标大厅-操作手册（投标人）》。</w:t>
      </w:r>
    </w:p>
    <w:p w14:paraId="15A8659B">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u w:val="single"/>
          <w:lang w:val="en-US" w:eastAsia="zh-CN"/>
        </w:rPr>
        <w:t>2.①本采购项目电子投标文件的解密采用远程方式进行，供应商须在规定的时间内在不见面开标大厅对其加密的电子投标文件进行解密，请提前登录不见面开标大厅，按《不见面开标大厅－投标人操作手册》提供的方法操作。解密时间不超过开始解密时间 30 分钟，若超过 30分钟视为解密失败，按无效处理。</w:t>
      </w:r>
    </w:p>
    <w:p w14:paraId="75EEC892">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u w:val="single"/>
          <w:lang w:val="en-US" w:eastAsia="zh-CN"/>
        </w:rPr>
        <w:t>②本采购项目的询标、澄清等程序均采用远程方式进行，请各供应商在评审结束前不要离开电脑，按《投标人操作手册》提供的方法操作，询标响应时间不超过询标发起后15分钟，若超过15分钟，视为放弃解释权力，评委按不利于供应商解释处理。</w:t>
      </w:r>
    </w:p>
    <w:p w14:paraId="7F63169E">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u w:val="single"/>
          <w:lang w:val="en-US" w:eastAsia="zh-CN"/>
        </w:rPr>
        <w:t>③供应商自身原因导致解密失败的，风险由供应商自行承担。因供应商没有及时登录系统、未完成远程网上解密、询标、澄清等环节导致无法接受评审委员会评审等情形的风险，由供应商自行承担。</w:t>
      </w:r>
    </w:p>
    <w:p w14:paraId="08031660">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u w:val="single"/>
          <w:lang w:val="en-US" w:eastAsia="zh-CN"/>
        </w:rPr>
        <w:t>3.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如对此项内容有疑问，可按采购文件约定提出询问或质疑。</w:t>
      </w:r>
    </w:p>
    <w:bookmarkEnd w:id="17"/>
    <w:p w14:paraId="1A07881E">
      <w:pPr>
        <w:spacing w:line="360" w:lineRule="auto"/>
        <w:ind w:firstLine="437"/>
        <w:outlineLvl w:val="1"/>
        <w:rPr>
          <w:rFonts w:hint="eastAsia" w:ascii="宋体" w:hAnsi="宋体" w:eastAsia="宋体"/>
          <w:b/>
          <w:bCs/>
          <w:color w:val="auto"/>
          <w:sz w:val="24"/>
          <w:szCs w:val="18"/>
          <w:highlight w:val="none"/>
        </w:rPr>
      </w:pPr>
      <w:bookmarkStart w:id="22" w:name="_Toc7265"/>
      <w:bookmarkStart w:id="23" w:name="_Toc3854"/>
      <w:bookmarkStart w:id="24" w:name="_Toc31765"/>
      <w:r>
        <w:rPr>
          <w:rFonts w:hint="eastAsia" w:ascii="宋体" w:hAnsi="宋体" w:eastAsia="宋体"/>
          <w:b/>
          <w:bCs/>
          <w:color w:val="auto"/>
          <w:sz w:val="24"/>
          <w:szCs w:val="18"/>
          <w:highlight w:val="none"/>
        </w:rPr>
        <w:t>七、</w:t>
      </w:r>
      <w:bookmarkEnd w:id="22"/>
      <w:r>
        <w:rPr>
          <w:rFonts w:hint="eastAsia" w:ascii="宋体" w:hAnsi="宋体" w:eastAsia="宋体"/>
          <w:b/>
          <w:bCs/>
          <w:color w:val="auto"/>
          <w:sz w:val="24"/>
          <w:szCs w:val="18"/>
          <w:highlight w:val="none"/>
        </w:rPr>
        <w:t>对本次招标提出询问，请按以下方式联系</w:t>
      </w:r>
      <w:bookmarkEnd w:id="23"/>
      <w:bookmarkEnd w:id="24"/>
    </w:p>
    <w:p w14:paraId="17163C33">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7B51F39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安徽省宿州市立医院</w:t>
      </w:r>
    </w:p>
    <w:p w14:paraId="2F66E8F6">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宿州市汴阳三路616号</w:t>
      </w:r>
      <w:r>
        <w:rPr>
          <w:rFonts w:ascii="宋体" w:hAnsi="宋体" w:eastAsia="宋体"/>
          <w:color w:val="auto"/>
          <w:sz w:val="24"/>
          <w:szCs w:val="18"/>
          <w:highlight w:val="none"/>
          <w:u w:val="single"/>
        </w:rPr>
        <w:t xml:space="preserve"> </w:t>
      </w:r>
    </w:p>
    <w:p w14:paraId="1999B4CF">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王老师</w:t>
      </w:r>
    </w:p>
    <w:p w14:paraId="0ED5D257">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15155780921</w:t>
      </w:r>
      <w:r>
        <w:rPr>
          <w:rFonts w:ascii="宋体" w:hAnsi="宋体" w:eastAsia="宋体"/>
          <w:color w:val="auto"/>
          <w:sz w:val="24"/>
          <w:szCs w:val="18"/>
          <w:highlight w:val="none"/>
          <w:u w:val="single"/>
        </w:rPr>
        <w:t xml:space="preserve"> </w:t>
      </w:r>
    </w:p>
    <w:p w14:paraId="72CE88C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153A522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安徽省招标集团股份有限公司</w:t>
      </w:r>
    </w:p>
    <w:p w14:paraId="6330F5D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安徽省合肥市包河区紫云路888号安徽省招标集团12楼</w:t>
      </w:r>
      <w:r>
        <w:rPr>
          <w:rFonts w:ascii="宋体" w:hAnsi="宋体" w:eastAsia="宋体"/>
          <w:color w:val="auto"/>
          <w:sz w:val="24"/>
          <w:szCs w:val="18"/>
          <w:highlight w:val="none"/>
          <w:u w:val="single"/>
        </w:rPr>
        <w:t xml:space="preserve"> </w:t>
      </w:r>
    </w:p>
    <w:p w14:paraId="16569BBF">
      <w:pPr>
        <w:spacing w:line="360" w:lineRule="auto"/>
        <w:ind w:firstLine="435"/>
        <w:rPr>
          <w:color w:val="auto"/>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胡自立</w:t>
      </w:r>
      <w:r>
        <w:rPr>
          <w:rFonts w:ascii="宋体" w:hAnsi="宋体" w:eastAsia="宋体"/>
          <w:color w:val="auto"/>
          <w:sz w:val="24"/>
          <w:szCs w:val="18"/>
          <w:highlight w:val="none"/>
          <w:u w:val="single"/>
        </w:rPr>
        <w:t xml:space="preserve"> </w:t>
      </w:r>
    </w:p>
    <w:p w14:paraId="23D72F95">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0551-66061384、18324745820</w:t>
      </w:r>
    </w:p>
    <w:p w14:paraId="154F4FDE">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461A317E">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宿州市财政局</w:t>
      </w:r>
      <w:r>
        <w:rPr>
          <w:rFonts w:ascii="宋体" w:hAnsi="宋体" w:eastAsia="宋体"/>
          <w:color w:val="auto"/>
          <w:sz w:val="24"/>
          <w:szCs w:val="18"/>
          <w:highlight w:val="none"/>
          <w:u w:val="single"/>
        </w:rPr>
        <w:t xml:space="preserve"> </w:t>
      </w:r>
    </w:p>
    <w:p w14:paraId="748FB2C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宿州市淮河中路556号</w:t>
      </w:r>
      <w:r>
        <w:rPr>
          <w:rFonts w:ascii="宋体" w:hAnsi="宋体" w:eastAsia="宋体"/>
          <w:color w:val="auto"/>
          <w:sz w:val="24"/>
          <w:szCs w:val="18"/>
          <w:highlight w:val="none"/>
          <w:u w:val="single"/>
        </w:rPr>
        <w:t xml:space="preserve"> </w:t>
      </w:r>
    </w:p>
    <w:p w14:paraId="0060615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0557-3905932</w:t>
      </w:r>
      <w:r>
        <w:rPr>
          <w:rFonts w:ascii="宋体" w:hAnsi="宋体" w:eastAsia="宋体"/>
          <w:color w:val="auto"/>
          <w:sz w:val="24"/>
          <w:szCs w:val="18"/>
          <w:highlight w:val="none"/>
          <w:u w:val="single"/>
        </w:rPr>
        <w:t xml:space="preserve"> </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25" w:name="_Toc28897"/>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5"/>
    </w:p>
    <w:p w14:paraId="1C2B44DB">
      <w:pPr>
        <w:spacing w:line="360" w:lineRule="auto"/>
        <w:jc w:val="center"/>
        <w:outlineLvl w:val="1"/>
        <w:rPr>
          <w:rFonts w:asciiTheme="minorEastAsia" w:hAnsiTheme="minorEastAsia" w:eastAsiaTheme="minorEastAsia"/>
          <w:b/>
          <w:color w:val="auto"/>
          <w:sz w:val="24"/>
          <w:highlight w:val="none"/>
        </w:rPr>
      </w:pPr>
      <w:bookmarkStart w:id="26" w:name="_Toc3114"/>
      <w:bookmarkStart w:id="27" w:name="_Toc16693"/>
      <w:bookmarkStart w:id="28"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6"/>
      <w:bookmarkEnd w:id="27"/>
      <w:bookmarkEnd w:id="28"/>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914"/>
        <w:gridCol w:w="5856"/>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B94A396">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6B28AA9">
            <w:pPr>
              <w:pStyle w:val="31"/>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C2A4AD">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7D8B005F">
            <w:pPr>
              <w:pStyle w:val="31"/>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DC007A3">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60 </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280D24C">
            <w:pPr>
              <w:pStyle w:val="3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开始解密时间30 </w:t>
            </w:r>
            <w:r>
              <w:rPr>
                <w:rFonts w:hint="eastAsia" w:ascii="宋体" w:hAnsi="宋体" w:eastAsia="宋体"/>
                <w:b w:val="0"/>
                <w:color w:val="auto"/>
                <w:sz w:val="24"/>
                <w:highlight w:val="none"/>
                <w:u w:val="none"/>
              </w:rPr>
              <w:t>分钟内</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31"/>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3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1948DD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698FF84C">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EC25D5B">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930B1B1">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7FDE3FD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5618" w:type="dxa"/>
            <w:vAlign w:val="center"/>
          </w:tcPr>
          <w:p w14:paraId="08D09935">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4C6E1350">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 xml:space="preserve"> 1-3名 </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8C482A2">
            <w:pPr>
              <w:pStyle w:val="31"/>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0DA20B79">
            <w:pPr>
              <w:pStyle w:val="31"/>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3D09C5C1">
            <w:pPr>
              <w:pStyle w:val="31"/>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p w14:paraId="3A99AF53">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5</w:t>
            </w:r>
            <w:r>
              <w:rPr>
                <w:rFonts w:hint="eastAsia" w:ascii="宋体" w:hAnsi="宋体" w:eastAsia="宋体"/>
                <w:b w:val="0"/>
                <w:color w:val="auto"/>
                <w:sz w:val="24"/>
                <w:highlight w:val="none"/>
                <w:lang w:eastAsia="zh-CN"/>
              </w:rPr>
              <w:t>）招标文件中规定进行公示的其他内容</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采购人  </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中标后提供 </w:t>
            </w:r>
          </w:p>
          <w:p w14:paraId="2626978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货物全部交货验收合格后5个工作日</w:t>
            </w:r>
            <w:r>
              <w:rPr>
                <w:rFonts w:hint="eastAsia" w:ascii="宋体" w:hAnsi="宋体" w:eastAsia="宋体"/>
                <w:bCs/>
                <w:color w:val="auto"/>
                <w:kern w:val="0"/>
                <w:sz w:val="24"/>
                <w:szCs w:val="28"/>
                <w:highlight w:val="none"/>
                <w:u w:val="single"/>
                <w:lang w:val="en-US" w:eastAsia="zh-CN"/>
              </w:rPr>
              <w:t>退还</w:t>
            </w:r>
            <w:r>
              <w:rPr>
                <w:rFonts w:hint="eastAsia" w:ascii="宋体" w:hAnsi="宋体" w:eastAsia="宋体"/>
                <w:bCs/>
                <w:color w:val="auto"/>
                <w:kern w:val="0"/>
                <w:sz w:val="24"/>
                <w:szCs w:val="28"/>
                <w:highlight w:val="none"/>
                <w:u w:val="single"/>
              </w:rPr>
              <w:t xml:space="preserve">。 </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A987307">
            <w:pPr>
              <w:pStyle w:val="3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rPr>
              <w:t>采购人</w:t>
            </w:r>
            <w:r>
              <w:rPr>
                <w:rFonts w:hint="eastAsia" w:ascii="宋体" w:hAnsi="宋体" w:eastAsia="宋体" w:cs="宋体"/>
                <w:color w:val="auto"/>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rPr>
              <w:t>：</w:t>
            </w:r>
            <w:r>
              <w:rPr>
                <w:rFonts w:hint="eastAsia" w:ascii="宋体" w:hAnsi="宋体" w:eastAsia="宋体" w:cs="宋体"/>
                <w:color w:val="auto"/>
                <w:sz w:val="24"/>
                <w:szCs w:val="24"/>
                <w:u w:val="single" w:color="auto"/>
              </w:rPr>
              <w:t>汇款形式</w:t>
            </w:r>
            <w:r>
              <w:rPr>
                <w:rFonts w:ascii="宋体" w:hAnsi="宋体" w:eastAsia="宋体" w:cs="宋体"/>
                <w:color w:val="auto"/>
                <w:sz w:val="24"/>
                <w:szCs w:val="24"/>
                <w:u w:val="single" w:color="auto"/>
              </w:rPr>
              <w:t xml:space="preserve"> </w:t>
            </w:r>
          </w:p>
          <w:p w14:paraId="50CEC323">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u w:val="single" w:color="auto"/>
              </w:rPr>
              <w:t>按计委计价格[2002]1980号文件和发改委发改价格[2011]534号文件规定标准的60%，计取收费的计算基数为代理项目的中标金额</w:t>
            </w:r>
            <w:r>
              <w:rPr>
                <w:rFonts w:ascii="宋体" w:hAnsi="宋体" w:eastAsia="宋体" w:cs="宋体"/>
                <w:color w:val="auto"/>
                <w:sz w:val="24"/>
                <w:szCs w:val="24"/>
                <w:u w:val="single" w:color="auto"/>
              </w:rPr>
              <w:t xml:space="preserve"> </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660439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1AD606A1">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递交方式（任选其一）：</w:t>
            </w:r>
          </w:p>
          <w:p w14:paraId="13BE048A">
            <w:pPr>
              <w:pStyle w:val="3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（1）书面形式递交</w:t>
            </w:r>
            <w:r>
              <w:rPr>
                <w:rFonts w:hint="eastAsia" w:ascii="宋体" w:hAnsi="宋体" w:eastAsia="宋体"/>
                <w:b w:val="0"/>
                <w:color w:val="auto"/>
                <w:sz w:val="24"/>
                <w:highlight w:val="none"/>
                <w:lang w:eastAsia="zh-CN"/>
              </w:rPr>
              <w:t>；</w:t>
            </w:r>
          </w:p>
          <w:p w14:paraId="48BA6616">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（2）登录电子交易系统</w:t>
            </w:r>
          </w:p>
          <w:p w14:paraId="649CA5B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http://60.171.247.212:8111/TPBidder/memberLogin点击网上“质疑”菜单发起在线质疑，招标人或招标代理会在约定期限内做出答复。</w:t>
            </w:r>
          </w:p>
          <w:p w14:paraId="1445BDB6">
            <w:pPr>
              <w:pStyle w:val="3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rPr>
              <w:t>安徽省宿州市立医院</w:t>
            </w:r>
            <w:r>
              <w:rPr>
                <w:rFonts w:hint="eastAsia" w:ascii="宋体" w:hAnsi="宋体" w:eastAsia="宋体"/>
                <w:b w:val="0"/>
                <w:color w:val="auto"/>
                <w:sz w:val="24"/>
                <w:highlight w:val="none"/>
                <w:u w:val="single"/>
                <w:lang w:eastAsia="zh-CN"/>
              </w:rPr>
              <w:t>、安徽省招标集团股份有限公司</w:t>
            </w:r>
          </w:p>
          <w:p w14:paraId="0AE196BB">
            <w:pPr>
              <w:pStyle w:val="31"/>
              <w:widowControl w:val="0"/>
              <w:spacing w:before="0" w:beforeAutospacing="0" w:after="0" w:afterAutospacing="0" w:line="360" w:lineRule="auto"/>
              <w:jc w:val="both"/>
              <w:rPr>
                <w:rFonts w:hint="eastAsia" w:ascii="宋体" w:hAnsi="宋体" w:eastAsia="宋体"/>
                <w:b w:val="0"/>
                <w:bCs w:val="0"/>
                <w:color w:val="auto"/>
                <w:sz w:val="24"/>
                <w:szCs w:val="18"/>
                <w:highlight w:val="none"/>
                <w:lang w:eastAsia="zh-CN"/>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rPr>
              <w:t>0551-66061384、18324745820</w:t>
            </w:r>
            <w:r>
              <w:rPr>
                <w:rFonts w:hint="eastAsia" w:ascii="宋体" w:hAnsi="宋体" w:eastAsia="宋体"/>
                <w:b w:val="0"/>
                <w:color w:val="auto"/>
                <w:sz w:val="24"/>
                <w:highlight w:val="none"/>
                <w:u w:val="single"/>
                <w:lang w:eastAsia="zh-CN"/>
              </w:rPr>
              <w:t>、19315172210</w:t>
            </w:r>
          </w:p>
          <w:p w14:paraId="454D68B2">
            <w:pPr>
              <w:pStyle w:val="3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rPr>
              <w:t>宿州市汴阳三路616号</w:t>
            </w:r>
            <w:r>
              <w:rPr>
                <w:rFonts w:hint="eastAsia" w:ascii="宋体" w:hAnsi="宋体" w:eastAsia="宋体"/>
                <w:b w:val="0"/>
                <w:color w:val="auto"/>
                <w:sz w:val="24"/>
                <w:highlight w:val="none"/>
                <w:u w:val="single"/>
                <w:lang w:eastAsia="zh-CN"/>
              </w:rPr>
              <w:t>、安徽省合肥市包河区紫云路888号</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32"/>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3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3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3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31"/>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3B0E8BDA">
            <w:pPr>
              <w:pStyle w:val="31"/>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4、操作提示：</w:t>
            </w:r>
          </w:p>
          <w:p w14:paraId="6BD6DA3C">
            <w:pPr>
              <w:pStyle w:val="31"/>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1）本招标项目的澄清采用远程方式进行，请各投标人在评审结束前不要离开电脑，按《投标人操作手册》提供的方法操作，响应时间不超过发起后15分钟，若超过15分钟，视为放弃解释权力，评委按不利于投标人解释处理。（注：评标委员会启动异常低价投标审查时，时间应当延长至30分钟。）</w:t>
            </w:r>
          </w:p>
          <w:p w14:paraId="44285489">
            <w:pPr>
              <w:pStyle w:val="31"/>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2）澄清流程：①全国公共资源交易平台（安徽省·宿州市）（http://ggzyjy.ahsz.gov.cn/）-电子交易系统-选择新系统登录；②选择项目-澄清答复；③点击答复，在规定时间内按照澄清问题要求回复；④回复完成后-点击生成质询回复单-保存提交。</w:t>
            </w:r>
          </w:p>
          <w:p w14:paraId="29A2ACE7">
            <w:pPr>
              <w:pStyle w:val="31"/>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5、供应商自身原因导致解密失败的，风险由供应商自行承担。因供应商没有及时登录系统、未完成远程网上解密、询标、澄清等环节导致无法接受评审委员会评审等情形的风险，由供应商自行承担。</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9" w:name="_Toc14880"/>
      <w:bookmarkStart w:id="30" w:name="_Toc23937"/>
      <w:bookmarkStart w:id="31"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9"/>
      <w:bookmarkEnd w:id="30"/>
      <w:bookmarkEnd w:id="31"/>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32"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2"/>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lang w:val="en-US" w:eastAsia="zh-CN"/>
        </w:rPr>
        <w:t>等。</w:t>
      </w:r>
    </w:p>
    <w:bookmarkEnd w:id="33"/>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rPr>
        <w:t>各投标人应在</w:t>
      </w:r>
      <w:r>
        <w:rPr>
          <w:rFonts w:ascii="宋体" w:hAnsi="宋体" w:eastAsia="宋体" w:cs="宋体"/>
          <w:color w:val="auto"/>
          <w:sz w:val="24"/>
          <w:szCs w:val="24"/>
          <w:u w:val="single"/>
        </w:rPr>
        <w:t>投标人须知前附表</w:t>
      </w:r>
      <w:r>
        <w:rPr>
          <w:rFonts w:ascii="宋体" w:hAnsi="宋体" w:eastAsia="宋体" w:cs="宋体"/>
          <w:color w:val="auto"/>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spacing w:line="360" w:lineRule="auto"/>
        <w:ind w:firstLine="435"/>
        <w:rPr>
          <w:rFonts w:hint="eastAsia" w:ascii="宋体" w:hAnsi="宋体" w:eastAsia="宋体" w:cs="宋体"/>
          <w:color w:val="auto"/>
          <w:sz w:val="24"/>
          <w:szCs w:val="24"/>
          <w:highlight w:val="none"/>
        </w:rPr>
      </w:pPr>
      <w:bookmarkStart w:id="34"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4"/>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17.5同时符合17.4和17.5的价格评审优惠时，评标价为投标报价分别扣除促进中小企业发展政策的价格评审优惠和本国产品支持政策的价格评审优惠后的价格。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35" w:name="_Toc2583661"/>
      <w:bookmarkStart w:id="36"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5"/>
      <w:bookmarkEnd w:id="36"/>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37" w:name="_Toc518923101"/>
      <w:bookmarkStart w:id="38"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7"/>
      <w:bookmarkEnd w:id="38"/>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39" w:name="_Toc21619"/>
      <w:r>
        <w:rPr>
          <w:rFonts w:hint="eastAsia" w:asciiTheme="minorEastAsia" w:hAnsiTheme="minorEastAsia" w:eastAsiaTheme="minorEastAsia"/>
          <w:b/>
          <w:color w:val="auto"/>
          <w:sz w:val="28"/>
          <w:highlight w:val="none"/>
        </w:rPr>
        <w:t>第三章  采购需求</w:t>
      </w:r>
      <w:bookmarkEnd w:id="39"/>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79D1A6D3">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4.下列采购需求中：标注▲的产品为核心产品。</w:t>
      </w:r>
    </w:p>
    <w:p w14:paraId="4A44DA9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b/>
          <w:bCs/>
          <w:color w:val="auto"/>
          <w:sz w:val="24"/>
          <w:szCs w:val="18"/>
          <w:highlight w:val="none"/>
          <w:lang w:val="en-US" w:eastAsia="zh-CN"/>
        </w:rPr>
        <w:t>5.投标产品具有相应有效的医疗器械注册证（适用第二类和第三类医疗器械）或备案凭证（适用第一类医疗器械）</w:t>
      </w:r>
      <w:r>
        <w:rPr>
          <w:rFonts w:hint="eastAsia" w:ascii="宋体" w:hAnsi="宋体" w:eastAsia="宋体" w:cs="宋体"/>
          <w:b/>
          <w:bCs/>
          <w:color w:val="auto"/>
          <w:kern w:val="0"/>
          <w:sz w:val="24"/>
          <w:szCs w:val="24"/>
          <w:lang w:bidi="ar"/>
        </w:rPr>
        <w:t>。</w:t>
      </w:r>
    </w:p>
    <w:p w14:paraId="1C65E8E5">
      <w:pPr>
        <w:spacing w:line="360" w:lineRule="auto"/>
        <w:ind w:firstLine="437"/>
        <w:outlineLvl w:val="1"/>
        <w:rPr>
          <w:rFonts w:hint="eastAsia" w:ascii="宋体" w:hAnsi="宋体" w:eastAsia="宋体" w:cs="宋体"/>
          <w:b/>
          <w:bCs/>
          <w:color w:val="auto"/>
          <w:kern w:val="0"/>
          <w:sz w:val="24"/>
          <w:szCs w:val="24"/>
          <w:lang w:val="en-US" w:eastAsia="zh-CN" w:bidi="ar"/>
        </w:rPr>
      </w:pPr>
      <w:r>
        <w:rPr>
          <w:rFonts w:hint="eastAsia" w:ascii="宋体" w:hAnsi="宋体" w:eastAsia="宋体"/>
          <w:b/>
          <w:bCs/>
          <w:color w:val="auto"/>
          <w:sz w:val="24"/>
          <w:szCs w:val="18"/>
          <w:highlight w:val="none"/>
          <w:lang w:val="en-US" w:eastAsia="zh-CN"/>
        </w:rPr>
        <w:t>6.</w:t>
      </w:r>
      <w:r>
        <w:rPr>
          <w:rFonts w:hint="eastAsia" w:ascii="宋体" w:hAnsi="宋体" w:eastAsia="宋体" w:cs="宋体"/>
          <w:b/>
          <w:bCs/>
          <w:color w:val="auto"/>
          <w:kern w:val="0"/>
          <w:sz w:val="24"/>
          <w:szCs w:val="24"/>
          <w:lang w:val="en-US" w:eastAsia="zh-CN" w:bidi="ar"/>
        </w:rPr>
        <w:t>货物需求相关标识符号说明</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1125"/>
        <w:gridCol w:w="5370"/>
      </w:tblGrid>
      <w:tr w14:paraId="28E5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vAlign w:val="center"/>
          </w:tcPr>
          <w:p w14:paraId="36B039B7">
            <w:pPr>
              <w:widowControl/>
              <w:jc w:val="center"/>
              <w:rPr>
                <w:rFonts w:hint="eastAsia"/>
                <w:color w:val="auto"/>
              </w:rPr>
            </w:pPr>
            <w:r>
              <w:rPr>
                <w:rFonts w:hint="eastAsia" w:ascii="宋体" w:hAnsi="宋体" w:eastAsia="宋体" w:cs="宋体"/>
                <w:b/>
                <w:bCs/>
                <w:color w:val="auto"/>
                <w:kern w:val="0"/>
                <w:sz w:val="24"/>
                <w:szCs w:val="24"/>
                <w:lang w:bidi="ar"/>
              </w:rPr>
              <w:t>标识重要性</w:t>
            </w:r>
          </w:p>
        </w:tc>
        <w:tc>
          <w:tcPr>
            <w:tcW w:w="1125" w:type="dxa"/>
            <w:vAlign w:val="center"/>
          </w:tcPr>
          <w:p w14:paraId="55ACE565">
            <w:pPr>
              <w:widowControl/>
              <w:jc w:val="center"/>
              <w:rPr>
                <w:rFonts w:hint="eastAsia"/>
                <w:color w:val="auto"/>
              </w:rPr>
            </w:pPr>
            <w:r>
              <w:rPr>
                <w:rFonts w:hint="eastAsia" w:ascii="宋体" w:hAnsi="宋体" w:eastAsia="宋体" w:cs="宋体"/>
                <w:b/>
                <w:bCs/>
                <w:color w:val="auto"/>
                <w:kern w:val="0"/>
                <w:sz w:val="24"/>
                <w:szCs w:val="24"/>
                <w:lang w:bidi="ar"/>
              </w:rPr>
              <w:t>标识符号</w:t>
            </w:r>
          </w:p>
        </w:tc>
        <w:tc>
          <w:tcPr>
            <w:tcW w:w="5370" w:type="dxa"/>
            <w:vAlign w:val="center"/>
          </w:tcPr>
          <w:p w14:paraId="3551E1FE">
            <w:pPr>
              <w:widowControl/>
              <w:jc w:val="center"/>
              <w:rPr>
                <w:rFonts w:hint="eastAsia"/>
                <w:color w:val="auto"/>
              </w:rPr>
            </w:pPr>
            <w:r>
              <w:rPr>
                <w:rFonts w:hint="eastAsia" w:ascii="宋体" w:hAnsi="宋体" w:eastAsia="宋体" w:cs="宋体"/>
                <w:b/>
                <w:bCs/>
                <w:color w:val="auto"/>
                <w:kern w:val="0"/>
                <w:sz w:val="24"/>
                <w:szCs w:val="24"/>
                <w:lang w:bidi="ar"/>
              </w:rPr>
              <w:t>代表意思</w:t>
            </w:r>
          </w:p>
        </w:tc>
      </w:tr>
      <w:tr w14:paraId="7C04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27" w:type="dxa"/>
            <w:vAlign w:val="center"/>
          </w:tcPr>
          <w:p w14:paraId="40FCF0FA">
            <w:pPr>
              <w:widowControl/>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关键指标项</w:t>
            </w:r>
          </w:p>
        </w:tc>
        <w:tc>
          <w:tcPr>
            <w:tcW w:w="1125" w:type="dxa"/>
            <w:vAlign w:val="center"/>
          </w:tcPr>
          <w:p w14:paraId="2627E15E">
            <w:pPr>
              <w:widowControl/>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5370" w:type="dxa"/>
            <w:vAlign w:val="center"/>
          </w:tcPr>
          <w:p w14:paraId="6998D325">
            <w:pPr>
              <w:widowControl/>
              <w:jc w:val="center"/>
              <w:rPr>
                <w:rFonts w:hint="default" w:ascii="宋体" w:hAnsi="宋体" w:eastAsia="宋体" w:cs="宋体"/>
                <w:color w:val="auto"/>
                <w:kern w:val="0"/>
                <w:sz w:val="24"/>
                <w:szCs w:val="24"/>
                <w:highlight w:val="yellow"/>
                <w:lang w:val="en-US" w:eastAsia="zh-CN" w:bidi="ar"/>
              </w:rPr>
            </w:pPr>
            <w:r>
              <w:rPr>
                <w:rFonts w:hint="eastAsia" w:ascii="宋体" w:hAnsi="宋体" w:eastAsia="宋体" w:cs="宋体"/>
                <w:b/>
                <w:bCs/>
                <w:color w:val="auto"/>
                <w:kern w:val="0"/>
                <w:sz w:val="24"/>
                <w:szCs w:val="24"/>
                <w:lang w:val="en-US" w:eastAsia="zh-CN" w:bidi="ar"/>
              </w:rPr>
              <w:t>符合性审查项，未响应或负偏离的，将导致投标无效</w:t>
            </w:r>
          </w:p>
        </w:tc>
      </w:tr>
      <w:tr w14:paraId="019D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27" w:type="dxa"/>
            <w:vAlign w:val="center"/>
          </w:tcPr>
          <w:p w14:paraId="4D62C64E">
            <w:pPr>
              <w:widowControl/>
              <w:jc w:val="center"/>
              <w:rPr>
                <w:rFonts w:hint="eastAsia"/>
                <w:color w:val="auto"/>
              </w:rPr>
            </w:pPr>
            <w:r>
              <w:rPr>
                <w:rFonts w:hint="eastAsia" w:ascii="宋体" w:hAnsi="宋体" w:eastAsia="宋体" w:cs="宋体"/>
                <w:color w:val="auto"/>
                <w:kern w:val="0"/>
                <w:sz w:val="24"/>
                <w:szCs w:val="24"/>
                <w:lang w:bidi="ar"/>
              </w:rPr>
              <w:t>重要指标项</w:t>
            </w:r>
          </w:p>
        </w:tc>
        <w:tc>
          <w:tcPr>
            <w:tcW w:w="1125" w:type="dxa"/>
            <w:vAlign w:val="center"/>
          </w:tcPr>
          <w:p w14:paraId="34D336BC">
            <w:pPr>
              <w:widowControl/>
              <w:jc w:val="center"/>
              <w:rPr>
                <w:rFonts w:hint="eastAsia"/>
                <w:color w:val="auto"/>
              </w:rPr>
            </w:pPr>
            <w:r>
              <w:rPr>
                <w:rFonts w:hint="eastAsia"/>
                <w:color w:val="auto"/>
              </w:rPr>
              <w:t>*</w:t>
            </w:r>
          </w:p>
        </w:tc>
        <w:tc>
          <w:tcPr>
            <w:tcW w:w="5370" w:type="dxa"/>
            <w:vAlign w:val="center"/>
          </w:tcPr>
          <w:p w14:paraId="4BA50A4D">
            <w:pPr>
              <w:widowControl/>
              <w:jc w:val="center"/>
              <w:rPr>
                <w:rFonts w:hint="eastAsia"/>
                <w:color w:val="auto"/>
              </w:rPr>
            </w:pPr>
            <w:r>
              <w:rPr>
                <w:rFonts w:hint="eastAsia" w:ascii="宋体" w:hAnsi="宋体" w:eastAsia="宋体" w:cs="宋体"/>
                <w:color w:val="auto"/>
                <w:kern w:val="0"/>
                <w:sz w:val="24"/>
                <w:szCs w:val="24"/>
                <w:lang w:bidi="ar"/>
              </w:rPr>
              <w:t>评分项，详见第四章评分细则</w:t>
            </w:r>
          </w:p>
        </w:tc>
      </w:tr>
      <w:tr w14:paraId="0863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027" w:type="dxa"/>
            <w:vAlign w:val="center"/>
          </w:tcPr>
          <w:p w14:paraId="11523EA8">
            <w:pPr>
              <w:widowControl/>
              <w:jc w:val="center"/>
              <w:rPr>
                <w:rFonts w:hint="eastAsia"/>
                <w:color w:val="auto"/>
              </w:rPr>
            </w:pPr>
            <w:r>
              <w:rPr>
                <w:rFonts w:hint="eastAsia" w:ascii="宋体" w:hAnsi="宋体" w:eastAsia="宋体" w:cs="宋体"/>
                <w:color w:val="auto"/>
                <w:kern w:val="0"/>
                <w:sz w:val="24"/>
                <w:szCs w:val="24"/>
                <w:lang w:bidi="ar"/>
              </w:rPr>
              <w:t>无标识项</w:t>
            </w:r>
          </w:p>
        </w:tc>
        <w:tc>
          <w:tcPr>
            <w:tcW w:w="1125" w:type="dxa"/>
            <w:vAlign w:val="center"/>
          </w:tcPr>
          <w:p w14:paraId="71AC2563">
            <w:pPr>
              <w:widowControl/>
              <w:jc w:val="center"/>
              <w:rPr>
                <w:rFonts w:hint="eastAsia"/>
                <w:color w:val="auto"/>
              </w:rPr>
            </w:pPr>
          </w:p>
        </w:tc>
        <w:tc>
          <w:tcPr>
            <w:tcW w:w="5370" w:type="dxa"/>
            <w:vAlign w:val="center"/>
          </w:tcPr>
          <w:p w14:paraId="79EAC4B7">
            <w:pPr>
              <w:widowControl/>
              <w:spacing w:line="360" w:lineRule="auto"/>
              <w:jc w:val="center"/>
              <w:rPr>
                <w:rFonts w:hint="eastAsia"/>
                <w:color w:val="auto"/>
              </w:rPr>
            </w:pPr>
            <w:r>
              <w:rPr>
                <w:rFonts w:hint="eastAsia" w:ascii="宋体" w:hAnsi="宋体" w:eastAsia="宋体" w:cs="宋体"/>
                <w:color w:val="auto"/>
                <w:kern w:val="0"/>
                <w:sz w:val="24"/>
                <w:szCs w:val="24"/>
                <w:lang w:bidi="ar"/>
              </w:rPr>
              <w:t>评分项，详见第四章评分细则</w:t>
            </w:r>
          </w:p>
        </w:tc>
      </w:tr>
      <w:tr w14:paraId="0A2C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6C6E6145">
            <w:pPr>
              <w:widowControl/>
              <w:jc w:val="left"/>
              <w:rPr>
                <w:rFonts w:hint="eastAsia"/>
                <w:color w:val="auto"/>
              </w:rPr>
            </w:pPr>
            <w:r>
              <w:rPr>
                <w:rFonts w:hint="eastAsia" w:ascii="宋体" w:hAnsi="宋体" w:eastAsia="宋体" w:cs="宋体"/>
                <w:b/>
                <w:bCs/>
                <w:color w:val="auto"/>
                <w:kern w:val="0"/>
                <w:sz w:val="24"/>
                <w:szCs w:val="24"/>
                <w:lang w:bidi="ar"/>
              </w:rPr>
              <w:t xml:space="preserve">注： </w:t>
            </w:r>
          </w:p>
          <w:p w14:paraId="0B349A3D">
            <w:pPr>
              <w:widowControl/>
              <w:spacing w:line="360" w:lineRule="auto"/>
              <w:jc w:val="left"/>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1）其中标注</w:t>
            </w:r>
            <w:r>
              <w:rPr>
                <w:rFonts w:hint="eastAsia" w:ascii="宋体" w:hAnsi="宋体" w:eastAsia="宋体" w:cs="宋体"/>
                <w:b/>
                <w:bCs/>
                <w:color w:val="auto"/>
                <w:kern w:val="0"/>
                <w:sz w:val="24"/>
                <w:szCs w:val="24"/>
                <w:lang w:eastAsia="zh-CN" w:bidi="ar"/>
              </w:rPr>
              <w:t>“</w:t>
            </w:r>
            <w:r>
              <w:rPr>
                <w:rFonts w:hint="eastAsia" w:ascii="宋体" w:hAnsi="宋体" w:eastAsia="宋体" w:cs="宋体"/>
                <w:b/>
                <w:bCs/>
                <w:color w:val="auto"/>
                <w:kern w:val="0"/>
                <w:sz w:val="24"/>
                <w:szCs w:val="24"/>
                <w:lang w:bidi="ar"/>
              </w:rPr>
              <w:t>★</w:t>
            </w:r>
            <w:r>
              <w:rPr>
                <w:rFonts w:hint="eastAsia" w:ascii="宋体" w:hAnsi="宋体" w:eastAsia="宋体" w:cs="宋体"/>
                <w:b/>
                <w:bCs/>
                <w:color w:val="auto"/>
                <w:kern w:val="0"/>
                <w:sz w:val="24"/>
                <w:szCs w:val="24"/>
                <w:lang w:eastAsia="zh-CN" w:bidi="ar"/>
              </w:rPr>
              <w:t>”、</w:t>
            </w:r>
            <w:r>
              <w:rPr>
                <w:rFonts w:hint="eastAsia" w:ascii="宋体" w:hAnsi="宋体" w:eastAsia="宋体" w:cs="宋体"/>
                <w:b/>
                <w:bCs/>
                <w:color w:val="auto"/>
                <w:kern w:val="0"/>
                <w:sz w:val="24"/>
                <w:szCs w:val="24"/>
                <w:lang w:bidi="ar"/>
              </w:rPr>
              <w:t>“*”的条款，投标文件中提供能反映其所在条款的相关证明材料扫描件，证明材料包括：产品彩页、技术白皮书、产品说明书、检测/检验报告或“技术参数及要求”中要求的其他证明材料，提供其中之一即可，否则视为负偏离（为便于评审，建议投标人在投标文件中标明证明材料对应的页码，并对参数指标进行标注（如下划线、背景颜色等））。</w:t>
            </w:r>
          </w:p>
          <w:p w14:paraId="185B6603">
            <w:pPr>
              <w:widowControl/>
              <w:spacing w:line="360" w:lineRule="auto"/>
              <w:jc w:val="left"/>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2）</w:t>
            </w:r>
            <w:r>
              <w:rPr>
                <w:rFonts w:hint="eastAsia" w:ascii="宋体" w:hAnsi="宋体" w:eastAsia="宋体" w:cs="宋体"/>
                <w:b/>
                <w:bCs/>
                <w:color w:val="auto"/>
                <w:kern w:val="0"/>
                <w:sz w:val="24"/>
                <w:szCs w:val="24"/>
                <w:lang w:val="en-US" w:eastAsia="zh-CN" w:bidi="ar"/>
              </w:rPr>
              <w:t>其中</w:t>
            </w:r>
            <w:r>
              <w:rPr>
                <w:rFonts w:hint="eastAsia" w:ascii="宋体" w:hAnsi="宋体" w:eastAsia="宋体" w:cs="宋体"/>
                <w:b/>
                <w:bCs/>
                <w:color w:val="auto"/>
                <w:kern w:val="0"/>
                <w:sz w:val="24"/>
                <w:szCs w:val="24"/>
                <w:lang w:eastAsia="zh-CN" w:bidi="ar"/>
              </w:rPr>
              <w:t>“</w:t>
            </w:r>
            <w:r>
              <w:rPr>
                <w:rFonts w:hint="eastAsia" w:ascii="宋体" w:hAnsi="宋体" w:eastAsia="宋体" w:cs="宋体"/>
                <w:b/>
                <w:bCs/>
                <w:color w:val="auto"/>
                <w:kern w:val="0"/>
                <w:sz w:val="24"/>
                <w:szCs w:val="24"/>
                <w:lang w:val="en-US" w:eastAsia="zh-CN" w:bidi="ar"/>
              </w:rPr>
              <w:t>无标识项</w:t>
            </w:r>
            <w:r>
              <w:rPr>
                <w:rFonts w:hint="eastAsia" w:ascii="宋体" w:hAnsi="宋体" w:eastAsia="宋体" w:cs="宋体"/>
                <w:b/>
                <w:bCs/>
                <w:color w:val="auto"/>
                <w:kern w:val="0"/>
                <w:sz w:val="24"/>
                <w:szCs w:val="24"/>
                <w:lang w:eastAsia="zh-CN" w:bidi="ar"/>
              </w:rPr>
              <w:t>”</w:t>
            </w:r>
            <w:r>
              <w:rPr>
                <w:rFonts w:hint="eastAsia" w:ascii="宋体" w:hAnsi="宋体" w:eastAsia="宋体" w:cs="宋体"/>
                <w:b/>
                <w:bCs/>
                <w:color w:val="auto"/>
                <w:kern w:val="0"/>
                <w:sz w:val="24"/>
                <w:szCs w:val="24"/>
                <w:lang w:bidi="ar"/>
              </w:rPr>
              <w:t>的条款按照对应参数</w:t>
            </w:r>
            <w:r>
              <w:rPr>
                <w:rFonts w:hint="eastAsia" w:ascii="宋体" w:hAnsi="宋体" w:eastAsia="宋体" w:cs="宋体"/>
                <w:b/>
                <w:bCs/>
                <w:color w:val="auto"/>
                <w:kern w:val="0"/>
                <w:sz w:val="24"/>
                <w:szCs w:val="24"/>
                <w:lang w:val="en-US" w:eastAsia="zh-CN" w:bidi="ar"/>
              </w:rPr>
              <w:t>中</w:t>
            </w:r>
            <w:r>
              <w:rPr>
                <w:rFonts w:hint="eastAsia" w:ascii="宋体" w:hAnsi="宋体" w:eastAsia="宋体" w:cs="宋体"/>
                <w:b/>
                <w:bCs/>
                <w:color w:val="auto"/>
                <w:kern w:val="0"/>
                <w:sz w:val="24"/>
                <w:szCs w:val="24"/>
                <w:lang w:eastAsia="zh-CN" w:bidi="ar"/>
              </w:rPr>
              <w:t>的</w:t>
            </w:r>
            <w:r>
              <w:rPr>
                <w:rFonts w:hint="eastAsia" w:ascii="宋体" w:hAnsi="宋体" w:eastAsia="宋体" w:cs="宋体"/>
                <w:b/>
                <w:bCs/>
                <w:color w:val="auto"/>
                <w:kern w:val="0"/>
                <w:sz w:val="24"/>
                <w:szCs w:val="24"/>
                <w:lang w:bidi="ar"/>
              </w:rPr>
              <w:t>要求提供证明材料（未提供证明材料的不得分），若对应参数没有要求提供证明材料，投标人可以不提供证明材料，投标人须真实填写</w:t>
            </w:r>
            <w:r>
              <w:rPr>
                <w:rFonts w:hint="eastAsia" w:ascii="宋体" w:hAnsi="宋体" w:eastAsia="宋体" w:cs="宋体"/>
                <w:b/>
                <w:bCs/>
                <w:color w:val="auto"/>
                <w:kern w:val="0"/>
                <w:sz w:val="24"/>
                <w:szCs w:val="24"/>
                <w:lang w:eastAsia="zh-CN" w:bidi="ar"/>
              </w:rPr>
              <w:t>“技术响应表”</w:t>
            </w:r>
            <w:r>
              <w:rPr>
                <w:rFonts w:hint="eastAsia" w:ascii="宋体" w:hAnsi="宋体" w:eastAsia="宋体" w:cs="宋体"/>
                <w:b/>
                <w:bCs/>
                <w:color w:val="auto"/>
                <w:kern w:val="0"/>
                <w:sz w:val="24"/>
                <w:szCs w:val="24"/>
                <w:lang w:bidi="ar"/>
              </w:rPr>
              <w:t>，评标委员会按照“技术响应表”响应情况进行评审。</w:t>
            </w:r>
          </w:p>
          <w:p w14:paraId="0837566F">
            <w:pPr>
              <w:widowControl/>
              <w:spacing w:line="360" w:lineRule="auto"/>
              <w:jc w:val="left"/>
              <w:rPr>
                <w:rFonts w:hint="default"/>
                <w:color w:val="auto"/>
                <w:lang w:val="en-US"/>
              </w:rPr>
            </w:pPr>
            <w:r>
              <w:rPr>
                <w:rFonts w:hint="eastAsia" w:ascii="宋体" w:hAnsi="宋体" w:eastAsia="宋体" w:cs="宋体"/>
                <w:b/>
                <w:bCs/>
                <w:color w:val="auto"/>
                <w:kern w:val="0"/>
                <w:sz w:val="24"/>
                <w:szCs w:val="24"/>
                <w:lang w:val="en-US" w:eastAsia="zh-CN" w:bidi="ar"/>
              </w:rPr>
              <w:t>3</w:t>
            </w:r>
            <w:r>
              <w:rPr>
                <w:rFonts w:hint="eastAsia" w:ascii="宋体" w:hAnsi="宋体" w:eastAsia="宋体" w:cs="宋体"/>
                <w:b/>
                <w:bCs/>
                <w:color w:val="auto"/>
                <w:kern w:val="0"/>
                <w:sz w:val="24"/>
                <w:szCs w:val="24"/>
                <w:lang w:bidi="ar"/>
              </w:rPr>
              <w:t>）如某项标识同时存在一级标识和二级标识时，则以二级标识为最小单位计算条目数量；如某项标识同时存在二级标识和三级标识时，则以三级标识为最小单位计算条目数量</w:t>
            </w:r>
            <w:r>
              <w:rPr>
                <w:rFonts w:hint="eastAsia" w:ascii="宋体" w:hAnsi="宋体" w:eastAsia="宋体" w:cs="宋体"/>
                <w:b/>
                <w:bCs/>
                <w:color w:val="auto"/>
                <w:kern w:val="0"/>
                <w:sz w:val="24"/>
                <w:szCs w:val="24"/>
                <w:lang w:eastAsia="zh-CN" w:bidi="ar"/>
              </w:rPr>
              <w:t>，以此类推</w:t>
            </w:r>
            <w:r>
              <w:rPr>
                <w:rFonts w:hint="eastAsia" w:ascii="宋体" w:hAnsi="宋体" w:eastAsia="宋体" w:cs="宋体"/>
                <w:b/>
                <w:bCs/>
                <w:color w:val="auto"/>
                <w:kern w:val="0"/>
                <w:sz w:val="24"/>
                <w:szCs w:val="24"/>
                <w:lang w:bidi="ar"/>
              </w:rPr>
              <w:t>。</w:t>
            </w:r>
          </w:p>
        </w:tc>
      </w:tr>
    </w:tbl>
    <w:p w14:paraId="30B0ED33">
      <w:pPr>
        <w:spacing w:line="360" w:lineRule="auto"/>
        <w:ind w:firstLine="437"/>
        <w:outlineLvl w:val="1"/>
        <w:rPr>
          <w:rFonts w:ascii="宋体" w:hAnsi="宋体" w:eastAsia="宋体"/>
          <w:b/>
          <w:color w:val="auto"/>
          <w:sz w:val="24"/>
          <w:szCs w:val="18"/>
          <w:highlight w:val="none"/>
        </w:rPr>
      </w:pPr>
      <w:bookmarkStart w:id="40" w:name="_Toc32151"/>
      <w:bookmarkStart w:id="41" w:name="_Toc28944"/>
      <w:bookmarkStart w:id="42" w:name="_Toc2554"/>
      <w:r>
        <w:rPr>
          <w:rFonts w:hint="eastAsia" w:ascii="宋体" w:hAnsi="宋体" w:eastAsia="宋体"/>
          <w:b/>
          <w:color w:val="auto"/>
          <w:sz w:val="24"/>
          <w:szCs w:val="18"/>
          <w:highlight w:val="none"/>
        </w:rPr>
        <w:t>一、采购需求前附表</w:t>
      </w:r>
      <w:bookmarkEnd w:id="40"/>
      <w:bookmarkEnd w:id="41"/>
      <w:bookmarkEnd w:id="42"/>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3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2B8C4E7">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经验收合格后6个月后依照医院财务付款流程支付。</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宿州市立医院，采购人指定地点</w:t>
            </w:r>
            <w:r>
              <w:rPr>
                <w:rFonts w:hint="eastAsia" w:ascii="宋体" w:hAnsi="宋体" w:eastAsia="宋体"/>
                <w:b w:val="0"/>
                <w:color w:val="auto"/>
                <w:sz w:val="24"/>
                <w:highlight w:val="none"/>
                <w:u w:val="single"/>
              </w:rPr>
              <w:t xml:space="preserve"> </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4A45A1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bCs w:val="0"/>
                <w:color w:val="auto"/>
                <w:sz w:val="24"/>
                <w:szCs w:val="18"/>
                <w:highlight w:val="none"/>
                <w:u w:val="single"/>
              </w:rPr>
              <w:t>合同签订后30日内</w:t>
            </w:r>
            <w:r>
              <w:rPr>
                <w:rFonts w:hint="eastAsia" w:ascii="宋体" w:hAnsi="宋体" w:eastAsia="宋体"/>
                <w:b w:val="0"/>
                <w:bCs w:val="0"/>
                <w:color w:val="auto"/>
                <w:sz w:val="24"/>
                <w:szCs w:val="18"/>
                <w:highlight w:val="none"/>
                <w:u w:val="single"/>
                <w:lang w:val="en-US" w:eastAsia="zh-CN"/>
              </w:rPr>
              <w:t>完成供货、安装及调试</w:t>
            </w:r>
            <w:r>
              <w:rPr>
                <w:rFonts w:hint="eastAsia" w:ascii="宋体" w:hAnsi="宋体" w:eastAsia="宋体"/>
                <w:b w:val="0"/>
                <w:bCs w:val="0"/>
                <w:color w:val="auto"/>
                <w:sz w:val="24"/>
                <w:szCs w:val="18"/>
                <w:highlight w:val="none"/>
                <w:u w:val="single"/>
              </w:rPr>
              <w:t>。</w:t>
            </w:r>
            <w:r>
              <w:rPr>
                <w:rFonts w:hint="eastAsia" w:ascii="宋体" w:hAnsi="宋体" w:eastAsia="宋体"/>
                <w:b w:val="0"/>
                <w:color w:val="auto"/>
                <w:sz w:val="24"/>
                <w:highlight w:val="none"/>
                <w:u w:val="single"/>
              </w:rPr>
              <w:t xml:space="preserve"> </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D94A51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整机质保自验收合格之日起不少于3年。 </w:t>
            </w:r>
          </w:p>
        </w:tc>
      </w:tr>
    </w:tbl>
    <w:p w14:paraId="3E806DB2">
      <w:pPr>
        <w:spacing w:line="360" w:lineRule="auto"/>
        <w:ind w:firstLine="437"/>
        <w:outlineLvl w:val="1"/>
        <w:rPr>
          <w:rFonts w:ascii="宋体" w:hAnsi="宋体" w:eastAsia="宋体"/>
          <w:b/>
          <w:bCs/>
          <w:color w:val="auto"/>
          <w:sz w:val="24"/>
          <w:szCs w:val="18"/>
          <w:highlight w:val="none"/>
        </w:rPr>
      </w:pPr>
      <w:bookmarkStart w:id="43" w:name="_Toc7671"/>
      <w:bookmarkStart w:id="44" w:name="_Toc10256"/>
      <w:bookmarkStart w:id="45" w:name="_Toc5944"/>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43"/>
      <w:bookmarkEnd w:id="44"/>
      <w:bookmarkEnd w:id="45"/>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937"/>
        <w:gridCol w:w="3423"/>
        <w:gridCol w:w="1076"/>
        <w:gridCol w:w="800"/>
        <w:gridCol w:w="1199"/>
        <w:gridCol w:w="585"/>
      </w:tblGrid>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67B4F73">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550" w:type="pct"/>
            <w:vAlign w:val="center"/>
          </w:tcPr>
          <w:p w14:paraId="5F31DA5C">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010" w:type="pct"/>
            <w:vAlign w:val="center"/>
          </w:tcPr>
          <w:p w14:paraId="6102B780">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632" w:type="pct"/>
            <w:vAlign w:val="center"/>
          </w:tcPr>
          <w:p w14:paraId="20C2C973">
            <w:pPr>
              <w:spacing w:line="360" w:lineRule="auto"/>
              <w:jc w:val="center"/>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4469B55E">
            <w:pPr>
              <w:spacing w:line="360" w:lineRule="auto"/>
              <w:jc w:val="both"/>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470" w:type="pct"/>
            <w:vAlign w:val="center"/>
          </w:tcPr>
          <w:p w14:paraId="738F3E2D">
            <w:pPr>
              <w:spacing w:line="360" w:lineRule="auto"/>
              <w:jc w:val="center"/>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732EB27B">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704" w:type="pct"/>
            <w:vAlign w:val="center"/>
          </w:tcPr>
          <w:p w14:paraId="5D58B70C">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343" w:type="pct"/>
            <w:vAlign w:val="center"/>
          </w:tcPr>
          <w:p w14:paraId="2FFBEBFD">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89" w:type="pct"/>
            <w:vAlign w:val="center"/>
          </w:tcPr>
          <w:p w14:paraId="3946058B">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550" w:type="pct"/>
            <w:vAlign w:val="center"/>
          </w:tcPr>
          <w:p w14:paraId="62E3082A">
            <w:pPr>
              <w:spacing w:line="360" w:lineRule="auto"/>
              <w:jc w:val="center"/>
              <w:rPr>
                <w:rFonts w:ascii="宋体" w:hAnsi="宋体" w:eastAsia="宋体"/>
                <w:bCs/>
                <w:color w:val="auto"/>
                <w:sz w:val="24"/>
                <w:szCs w:val="18"/>
                <w:highlight w:val="none"/>
              </w:rPr>
            </w:pPr>
            <w:r>
              <w:rPr>
                <w:rFonts w:hint="eastAsia" w:ascii="宋体" w:hAnsi="宋体" w:eastAsia="宋体"/>
                <w:color w:val="auto"/>
                <w:sz w:val="24"/>
                <w:szCs w:val="18"/>
                <w:highlight w:val="none"/>
                <w:lang w:val="en-US" w:eastAsia="zh-CN"/>
              </w:rPr>
              <w:t>▲</w:t>
            </w:r>
            <w:r>
              <w:rPr>
                <w:rFonts w:hint="eastAsia" w:ascii="宋体" w:hAnsi="宋体" w:eastAsia="宋体"/>
                <w:bCs/>
                <w:color w:val="auto"/>
                <w:sz w:val="24"/>
                <w:szCs w:val="18"/>
                <w:highlight w:val="none"/>
              </w:rPr>
              <w:t>多功能婴儿培养箱(高端暖箱)</w:t>
            </w:r>
          </w:p>
        </w:tc>
        <w:tc>
          <w:tcPr>
            <w:tcW w:w="2010" w:type="pct"/>
            <w:vAlign w:val="center"/>
          </w:tcPr>
          <w:p w14:paraId="62A1C4F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、多功能二合</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转换：</w:t>
            </w:r>
          </w:p>
          <w:p w14:paraId="213503C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实现培养箱和保暖台的综合性能，并在二者之间进行简便转换，无需移动患儿就能满足临床上不同的治疗需求。</w:t>
            </w:r>
          </w:p>
          <w:p w14:paraId="37410B9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加热体与箱盖一体化设计可自由升降，保暖台模式采用沙漏型加热设计，保证热量均匀分布床体。一触式脚踏转换控制，同时设备两侧具有顶盖脚踏，五分钟之内完成升温达到预设温度。快速完成暖箱向保暖台的转换，不需持续按键。</w:t>
            </w:r>
          </w:p>
          <w:p w14:paraId="786D145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、显示屏：</w:t>
            </w:r>
          </w:p>
          <w:p w14:paraId="061A35D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≥10英寸彩色触屏，亮度≥</w:t>
            </w:r>
            <w:r>
              <w:rPr>
                <w:rFonts w:hint="eastAsia" w:ascii="宋体" w:hAnsi="宋体" w:eastAsia="宋体" w:cs="宋体"/>
                <w:b/>
                <w:bCs/>
                <w:color w:val="auto"/>
                <w:sz w:val="24"/>
                <w:szCs w:val="24"/>
                <w:lang w:val="en-US" w:eastAsia="zh-CN"/>
              </w:rPr>
              <w:t>3档</w:t>
            </w:r>
            <w:r>
              <w:rPr>
                <w:rFonts w:hint="eastAsia" w:ascii="宋体" w:hAnsi="宋体" w:eastAsia="宋体" w:cs="宋体"/>
                <w:b/>
                <w:bCs/>
                <w:color w:val="auto"/>
                <w:sz w:val="24"/>
                <w:szCs w:val="24"/>
              </w:rPr>
              <w:t>可调节。</w:t>
            </w:r>
          </w:p>
          <w:p w14:paraId="56DC0FC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屏幕大字体显示模式，集中显示婴儿体温等主要数据。</w:t>
            </w:r>
          </w:p>
          <w:p w14:paraId="7680165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≥11种屏幕显示主题可选。</w:t>
            </w:r>
          </w:p>
          <w:p w14:paraId="66942D4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、温度控制：</w:t>
            </w:r>
          </w:p>
          <w:p w14:paraId="24AC080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箱温测控范围20-39℃，增量±0.1℃；伺服温控范围为35-37.5℃，显示范围20-42℃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分辨率</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0.1℃。病人测量温控精度</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0.3℃。辐射台模式能量控制0-100%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增量5%。</w:t>
            </w:r>
          </w:p>
          <w:p w14:paraId="67DDD25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保暖台预热时间不超过2分钟。</w:t>
            </w:r>
          </w:p>
          <w:p w14:paraId="04916C6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具有双向风帘和加强风帘系统，确保箱内暖空气在侧挡板开放状态下不易散出，维持暖箱微环境的热量平衡，空气</w:t>
            </w:r>
            <w:r>
              <w:rPr>
                <w:rFonts w:hint="eastAsia" w:ascii="宋体" w:hAnsi="宋体" w:eastAsia="宋体" w:cs="宋体"/>
                <w:color w:val="auto"/>
                <w:sz w:val="24"/>
                <w:szCs w:val="24"/>
                <w:lang w:val="en-US" w:eastAsia="zh-CN"/>
              </w:rPr>
              <w:t>流速≤</w:t>
            </w:r>
            <w:r>
              <w:rPr>
                <w:rFonts w:hint="eastAsia" w:ascii="宋体" w:hAnsi="宋体" w:eastAsia="宋体" w:cs="宋体"/>
                <w:color w:val="auto"/>
                <w:sz w:val="24"/>
                <w:szCs w:val="24"/>
              </w:rPr>
              <w:t>10m/s</w:t>
            </w:r>
          </w:p>
          <w:p w14:paraId="14862D2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双体温探头设计，可同时测量双胎，连体婴或显示两个不同部位的皮肤温度。</w:t>
            </w:r>
          </w:p>
          <w:p w14:paraId="5C065DC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设有舒适温度区功能，可根据患儿的体重、胎龄、产后日龄等，一键设置适合婴儿生长发育的中性温度。</w:t>
            </w:r>
          </w:p>
          <w:p w14:paraId="23E0814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、湿度控制：</w:t>
            </w:r>
          </w:p>
          <w:p w14:paraId="176B914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直观透明加湿水槽位于暖箱正前方，避免干烧。储水槽≥1000ml容量，伺服湿度≥95%</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显示范围30-99%</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增量5%。</w:t>
            </w:r>
          </w:p>
          <w:p w14:paraId="543A1B7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虹吸式加湿系统，保证吹入箱体湿气无菌。最大限度减少管路残留水。</w:t>
            </w:r>
          </w:p>
          <w:p w14:paraId="3C727A9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、报警系统：</w:t>
            </w:r>
          </w:p>
          <w:p w14:paraId="21FE371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智能化优先级报警系统，包括温度、湿度、电子秤和氧气控制等多种报警，音调可调。</w:t>
            </w:r>
          </w:p>
          <w:p w14:paraId="009B7A8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声光分离报警系统。</w:t>
            </w:r>
          </w:p>
          <w:p w14:paraId="0E4799D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15.</w:t>
            </w:r>
            <w:r>
              <w:rPr>
                <w:rFonts w:hint="eastAsia" w:ascii="宋体" w:hAnsi="宋体" w:eastAsia="宋体" w:cs="宋体"/>
                <w:b/>
                <w:bCs/>
                <w:color w:val="auto"/>
                <w:sz w:val="24"/>
                <w:szCs w:val="24"/>
              </w:rPr>
              <w:t>标配有手动遥感静音功能。</w:t>
            </w:r>
          </w:p>
          <w:p w14:paraId="39FBC2D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、其它技术要求：</w:t>
            </w:r>
          </w:p>
          <w:p w14:paraId="4CA548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可双向推拉，并可以360°旋转的大床体，床垫具备防水解压性能。</w:t>
            </w:r>
          </w:p>
          <w:p w14:paraId="7B7AA9D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过滤器</w:t>
            </w:r>
            <w:r>
              <w:rPr>
                <w:rFonts w:hint="eastAsia" w:ascii="宋体" w:hAnsi="宋体" w:eastAsia="宋体" w:cs="宋体"/>
                <w:color w:val="auto"/>
                <w:sz w:val="24"/>
                <w:szCs w:val="24"/>
                <w:lang w:val="en-US" w:eastAsia="zh-CN"/>
              </w:rPr>
              <w:t>过滤效率：</w:t>
            </w:r>
            <w:r>
              <w:rPr>
                <w:rFonts w:hint="eastAsia" w:ascii="宋体" w:hAnsi="宋体" w:eastAsia="宋体" w:cs="宋体"/>
                <w:color w:val="auto"/>
                <w:sz w:val="24"/>
                <w:szCs w:val="24"/>
              </w:rPr>
              <w:t>0.5μ</w:t>
            </w:r>
            <w:r>
              <w:rPr>
                <w:rFonts w:hint="eastAsia" w:ascii="宋体" w:hAnsi="宋体" w:eastAsia="宋体" w:cs="宋体"/>
                <w:color w:val="auto"/>
                <w:sz w:val="24"/>
                <w:szCs w:val="24"/>
                <w:lang w:val="en-US" w:eastAsia="zh-CN"/>
              </w:rPr>
              <w:t>m时≥</w:t>
            </w:r>
            <w:r>
              <w:rPr>
                <w:rFonts w:hint="eastAsia" w:ascii="宋体" w:hAnsi="宋体" w:eastAsia="宋体" w:cs="宋体"/>
                <w:color w:val="auto"/>
                <w:sz w:val="24"/>
                <w:szCs w:val="24"/>
              </w:rPr>
              <w:t>99.8%。</w:t>
            </w:r>
          </w:p>
          <w:p w14:paraId="5D19944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整机可徒手拆卸，无卫生死角，清洁简单。</w:t>
            </w:r>
          </w:p>
          <w:p w14:paraId="336F3AB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具备导轨系统可无工具安装输液架、仪器架等附件。</w:t>
            </w:r>
          </w:p>
          <w:p w14:paraId="2E1C7D6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内置≥13 in X 17 in超大X线盘，可提供多角度拍片位置，且在拍片过程中不会影响热辐射功能。</w:t>
            </w:r>
          </w:p>
          <w:p w14:paraId="7BCB909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床体可倾斜，0-12°连续无级可调，床体可升降。</w:t>
            </w:r>
          </w:p>
          <w:p w14:paraId="7BDD1FF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具备安静模式，噪音水平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50dBa.</w:t>
            </w:r>
          </w:p>
          <w:p w14:paraId="3445625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独立存储抽屉。</w:t>
            </w:r>
          </w:p>
          <w:p w14:paraId="5D3ADAF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提供≥8个插管孔。</w:t>
            </w:r>
          </w:p>
          <w:p w14:paraId="481A809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提供标准数据接口RS232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可导出数据。</w:t>
            </w:r>
          </w:p>
          <w:p w14:paraId="45288E3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USB接口，并提供远期软件升级支持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相关费用包含在投标报价中）</w:t>
            </w:r>
            <w:r>
              <w:rPr>
                <w:rFonts w:hint="eastAsia" w:ascii="宋体" w:hAnsi="宋体" w:eastAsia="宋体" w:cs="宋体"/>
                <w:color w:val="auto"/>
                <w:sz w:val="24"/>
                <w:szCs w:val="24"/>
              </w:rPr>
              <w:t>。</w:t>
            </w:r>
          </w:p>
          <w:p w14:paraId="4B1769C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(提供承诺函，格式自拟）</w:t>
            </w:r>
            <w:r>
              <w:rPr>
                <w:rFonts w:hint="eastAsia" w:ascii="宋体" w:hAnsi="宋体" w:eastAsia="宋体" w:cs="宋体"/>
                <w:b/>
                <w:bCs/>
                <w:color w:val="auto"/>
                <w:sz w:val="24"/>
                <w:szCs w:val="24"/>
              </w:rPr>
              <w:t>：6台设备总计提供</w:t>
            </w:r>
            <w:r>
              <w:rPr>
                <w:rFonts w:hint="eastAsia" w:ascii="宋体" w:hAnsi="宋体" w:eastAsia="宋体" w:cs="宋体"/>
                <w:b/>
                <w:bCs/>
                <w:color w:val="auto"/>
                <w:sz w:val="24"/>
                <w:szCs w:val="24"/>
                <w:lang w:eastAsia="zh-CN"/>
              </w:rPr>
              <w:t>：</w:t>
            </w:r>
          </w:p>
          <w:p w14:paraId="3C59AD2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27.</w:t>
            </w:r>
            <w:r>
              <w:rPr>
                <w:rFonts w:hint="eastAsia" w:ascii="宋体" w:hAnsi="宋体" w:eastAsia="宋体" w:cs="宋体"/>
                <w:b/>
                <w:bCs/>
                <w:color w:val="auto"/>
                <w:sz w:val="24"/>
                <w:szCs w:val="24"/>
              </w:rPr>
              <w:t>提供新生儿光疗毯</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3个</w:t>
            </w:r>
          </w:p>
          <w:p w14:paraId="0B7763E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28.</w:t>
            </w:r>
            <w:r>
              <w:rPr>
                <w:rFonts w:hint="eastAsia" w:ascii="宋体" w:hAnsi="宋体" w:eastAsia="宋体" w:cs="宋体"/>
                <w:b/>
                <w:bCs/>
                <w:color w:val="auto"/>
                <w:sz w:val="24"/>
                <w:szCs w:val="24"/>
              </w:rPr>
              <w:t>提供光疗灯</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6个</w:t>
            </w:r>
          </w:p>
          <w:p w14:paraId="1FCD09EF">
            <w:pPr>
              <w:spacing w:line="360" w:lineRule="auto"/>
              <w:jc w:val="both"/>
              <w:rPr>
                <w:rFonts w:ascii="宋体" w:hAnsi="宋体" w:eastAsia="宋体"/>
                <w:bCs/>
                <w:color w:val="auto"/>
                <w:sz w:val="24"/>
                <w:szCs w:val="18"/>
                <w:highlight w:val="none"/>
              </w:rPr>
            </w:pPr>
            <w:r>
              <w:rPr>
                <w:rFonts w:hint="eastAsia" w:ascii="宋体" w:hAnsi="宋体" w:eastAsia="宋体" w:cs="宋体"/>
                <w:b/>
                <w:bCs/>
                <w:color w:val="auto"/>
                <w:sz w:val="24"/>
                <w:szCs w:val="24"/>
                <w:lang w:val="en-US" w:eastAsia="zh-CN"/>
              </w:rPr>
              <w:t>29.</w:t>
            </w:r>
            <w:r>
              <w:rPr>
                <w:rFonts w:hint="eastAsia" w:ascii="宋体" w:hAnsi="宋体" w:eastAsia="宋体" w:cs="宋体"/>
                <w:b/>
                <w:bCs/>
                <w:color w:val="auto"/>
                <w:sz w:val="24"/>
                <w:szCs w:val="24"/>
              </w:rPr>
              <w:t>提供空氧混合仪</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3台</w:t>
            </w:r>
          </w:p>
        </w:tc>
        <w:tc>
          <w:tcPr>
            <w:tcW w:w="632" w:type="pct"/>
            <w:vAlign w:val="center"/>
          </w:tcPr>
          <w:p w14:paraId="007D5475">
            <w:pPr>
              <w:spacing w:line="360" w:lineRule="auto"/>
              <w:jc w:val="center"/>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6台</w:t>
            </w:r>
          </w:p>
        </w:tc>
        <w:tc>
          <w:tcPr>
            <w:tcW w:w="470" w:type="pct"/>
            <w:vAlign w:val="center"/>
          </w:tcPr>
          <w:p w14:paraId="6B596790">
            <w:pPr>
              <w:spacing w:line="360" w:lineRule="auto"/>
              <w:jc w:val="center"/>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工业</w:t>
            </w:r>
          </w:p>
        </w:tc>
        <w:tc>
          <w:tcPr>
            <w:tcW w:w="704" w:type="pct"/>
            <w:vAlign w:val="center"/>
          </w:tcPr>
          <w:p w14:paraId="6C130D67">
            <w:pPr>
              <w:spacing w:line="360" w:lineRule="auto"/>
              <w:jc w:val="center"/>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是</w:t>
            </w:r>
          </w:p>
        </w:tc>
        <w:tc>
          <w:tcPr>
            <w:tcW w:w="343" w:type="pct"/>
            <w:vAlign w:val="center"/>
          </w:tcPr>
          <w:p w14:paraId="735B0288">
            <w:pPr>
              <w:spacing w:line="360" w:lineRule="auto"/>
              <w:jc w:val="center"/>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允许采购进口产品</w:t>
            </w:r>
          </w:p>
        </w:tc>
      </w:tr>
    </w:tbl>
    <w:p w14:paraId="7211EA8A">
      <w:pPr>
        <w:spacing w:line="360" w:lineRule="auto"/>
        <w:ind w:firstLine="437"/>
        <w:outlineLvl w:val="1"/>
        <w:rPr>
          <w:rFonts w:ascii="宋体" w:hAnsi="宋体" w:eastAsia="宋体"/>
          <w:b/>
          <w:bCs/>
          <w:color w:val="auto"/>
          <w:sz w:val="24"/>
          <w:szCs w:val="18"/>
          <w:highlight w:val="none"/>
        </w:rPr>
      </w:pPr>
      <w:bookmarkStart w:id="46" w:name="_Toc4843"/>
      <w:bookmarkStart w:id="47" w:name="_Toc26870"/>
      <w:bookmarkStart w:id="48" w:name="_Toc7421"/>
      <w:r>
        <w:rPr>
          <w:rFonts w:hint="eastAsia" w:ascii="宋体" w:hAnsi="宋体" w:eastAsia="宋体"/>
          <w:b/>
          <w:bCs/>
          <w:color w:val="auto"/>
          <w:sz w:val="24"/>
          <w:szCs w:val="18"/>
          <w:highlight w:val="none"/>
        </w:rPr>
        <w:t>三、报价要求</w:t>
      </w:r>
      <w:bookmarkEnd w:id="46"/>
      <w:bookmarkEnd w:id="47"/>
      <w:bookmarkEnd w:id="48"/>
    </w:p>
    <w:p w14:paraId="6015AA15">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1.本项目报总价，投标报价不得超过最高限价，单台（套）设备报价不得超过单台（套）最高限价。</w:t>
      </w:r>
    </w:p>
    <w:p w14:paraId="048F0F1F">
      <w:pPr>
        <w:spacing w:line="360" w:lineRule="auto"/>
        <w:ind w:firstLine="437"/>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投标报价包括货物从设计、采购、制造、交货（包括运输至采购人指定地点卸车就位）至售后服务、人工、管理、税金（除上述采购需求列明的货物需求外，如投标人所投产品须配套其他必要的货物方可正常使用的，投标人须为本项目配备，费用包含在报价中），中标后采购人不再另行追加其他任何费用，请投标人自行考虑报价风险。</w:t>
      </w:r>
    </w:p>
    <w:p w14:paraId="0C00EC5F">
      <w:pPr>
        <w:spacing w:line="360" w:lineRule="auto"/>
        <w:ind w:firstLine="437"/>
        <w:outlineLvl w:val="1"/>
        <w:rPr>
          <w:rFonts w:ascii="宋体" w:hAnsi="宋体" w:eastAsia="宋体"/>
          <w:b/>
          <w:bCs/>
          <w:color w:val="auto"/>
          <w:sz w:val="24"/>
          <w:szCs w:val="18"/>
          <w:highlight w:val="none"/>
        </w:rPr>
      </w:pPr>
      <w:bookmarkStart w:id="49" w:name="_Toc14698"/>
      <w:bookmarkStart w:id="50" w:name="_Toc15293"/>
      <w:bookmarkStart w:id="51" w:name="_Toc3905"/>
      <w:r>
        <w:rPr>
          <w:rFonts w:hint="eastAsia" w:ascii="宋体" w:hAnsi="宋体" w:eastAsia="宋体"/>
          <w:b/>
          <w:bCs/>
          <w:color w:val="auto"/>
          <w:sz w:val="24"/>
          <w:szCs w:val="18"/>
          <w:highlight w:val="none"/>
        </w:rPr>
        <w:t>四、其他要求</w:t>
      </w:r>
      <w:bookmarkEnd w:id="49"/>
      <w:bookmarkEnd w:id="50"/>
      <w:bookmarkEnd w:id="51"/>
    </w:p>
    <w:p w14:paraId="05FD5FDE">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（一）</w:t>
      </w:r>
      <w:r>
        <w:rPr>
          <w:rFonts w:hint="eastAsia" w:ascii="宋体" w:hAnsi="宋体" w:eastAsia="宋体"/>
          <w:b w:val="0"/>
          <w:bCs w:val="0"/>
          <w:color w:val="auto"/>
          <w:sz w:val="24"/>
          <w:szCs w:val="18"/>
          <w:highlight w:val="none"/>
          <w:lang w:eastAsia="zh-CN"/>
        </w:rPr>
        <w:t>验收标准</w:t>
      </w:r>
    </w:p>
    <w:p w14:paraId="2F7312B4">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1</w:t>
      </w:r>
      <w:r>
        <w:rPr>
          <w:rFonts w:hint="eastAsia"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eastAsia="zh-CN"/>
        </w:rPr>
        <w:t>卖方交付货物需符合国家相关标准、行业标准、地方标准或者其他标准、规范；卖方交付货物需满足采购技术要求。</w:t>
      </w:r>
    </w:p>
    <w:p w14:paraId="4DE2941F">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2</w:t>
      </w:r>
      <w:r>
        <w:rPr>
          <w:rFonts w:hint="eastAsia"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eastAsia="zh-CN"/>
        </w:rPr>
        <w:t>在货物到达买方指定地点后，卖方按买方通知时间派技术人员到买方的项目现场，在买方技术人员在场的情况下开箱清点货物，进行安装、调试，直至设备正常运行，并承担因此发生的一切费用。</w:t>
      </w:r>
    </w:p>
    <w:p w14:paraId="3CE98D86">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3</w:t>
      </w:r>
      <w:r>
        <w:rPr>
          <w:rFonts w:hint="eastAsia"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eastAsia="zh-CN"/>
        </w:rPr>
        <w:t>卖方向买方提供详细的验收标准、验收手册；设备安装后，仪器所有技术参数经检验应符合国家标准及厂方标准；买方有权委托中国有资格的单位对上述仪器进行精度校核；如果由于仪器本身原因而在三十天内调试没有通过，卖方必须更换一套新的相同型号或符合技术性能的仪器设备。</w:t>
      </w:r>
    </w:p>
    <w:p w14:paraId="03F725E3">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4</w:t>
      </w:r>
      <w:r>
        <w:rPr>
          <w:rFonts w:hint="eastAsia"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eastAsia="zh-CN"/>
        </w:rPr>
        <w:t>所有技术要求采购人验收时将逐条核对，如发现投标人投标响应的技术参数与最终供货的实际情况不符、虚假响应等，由此产生的责任与后果均由中标人承担。</w:t>
      </w:r>
    </w:p>
    <w:p w14:paraId="614430FC">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5</w:t>
      </w:r>
      <w:r>
        <w:rPr>
          <w:rFonts w:hint="eastAsia"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eastAsia="zh-CN"/>
        </w:rPr>
        <w:t>设备验收合格后，出具验收报告，买卖双方在验收文件上签字并加盖公章生效。</w:t>
      </w:r>
    </w:p>
    <w:p w14:paraId="5942B1A7">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w:t>
      </w:r>
      <w:r>
        <w:rPr>
          <w:rFonts w:hint="eastAsia" w:ascii="宋体" w:hAnsi="宋体" w:eastAsia="宋体"/>
          <w:b w:val="0"/>
          <w:bCs w:val="0"/>
          <w:color w:val="auto"/>
          <w:sz w:val="24"/>
          <w:szCs w:val="18"/>
          <w:highlight w:val="none"/>
          <w:lang w:val="en-US" w:eastAsia="zh-CN"/>
        </w:rPr>
        <w:t>二</w:t>
      </w:r>
      <w:r>
        <w:rPr>
          <w:rFonts w:hint="eastAsia" w:ascii="宋体" w:hAnsi="宋体" w:eastAsia="宋体"/>
          <w:b w:val="0"/>
          <w:bCs w:val="0"/>
          <w:color w:val="auto"/>
          <w:sz w:val="24"/>
          <w:szCs w:val="18"/>
          <w:highlight w:val="none"/>
          <w:lang w:eastAsia="zh-CN"/>
        </w:rPr>
        <w:t>）售后服务及其他要求</w:t>
      </w:r>
    </w:p>
    <w:p w14:paraId="192C5C86">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1</w:t>
      </w:r>
      <w:r>
        <w:rPr>
          <w:rFonts w:hint="eastAsia"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eastAsia="zh-CN"/>
        </w:rPr>
        <w:t>质量保证期：</w:t>
      </w:r>
      <w:r>
        <w:rPr>
          <w:rFonts w:hint="eastAsia" w:ascii="宋体" w:hAnsi="宋体" w:eastAsia="宋体"/>
          <w:b w:val="0"/>
          <w:color w:val="auto"/>
          <w:sz w:val="24"/>
          <w:highlight w:val="none"/>
          <w:u w:val="single"/>
        </w:rPr>
        <w:t>整机质保自验收合格之日不少于3年。</w:t>
      </w:r>
    </w:p>
    <w:p w14:paraId="6E28DB41">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eastAsia="zh-CN"/>
        </w:rPr>
        <w:t>2</w:t>
      </w:r>
      <w:r>
        <w:rPr>
          <w:rFonts w:hint="eastAsia"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lang w:eastAsia="zh-CN"/>
        </w:rPr>
        <w:t>在保修期内，属产品质量问题，需免费更换，所发生的一切费用由卖方负担，更换后的零部件质量保证期从更换之日起计算。</w:t>
      </w:r>
    </w:p>
    <w:p w14:paraId="51B42871">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保修期内提供每年不低于两次免费维护保养服务，保修期外工程师维护保养维修免上门费。</w:t>
      </w:r>
    </w:p>
    <w:p w14:paraId="4606E52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合同签订前需提供原厂质保承诺或买保记录相关证明文件。</w:t>
      </w:r>
    </w:p>
    <w:p w14:paraId="638C1B04">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Cs/>
          <w:color w:val="auto"/>
          <w:sz w:val="24"/>
          <w:szCs w:val="18"/>
          <w:highlight w:val="none"/>
          <w:lang w:val="en-US" w:eastAsia="zh-CN"/>
        </w:rPr>
        <w:t>5.</w:t>
      </w:r>
      <w:r>
        <w:rPr>
          <w:rFonts w:hint="eastAsia" w:ascii="宋体" w:hAnsi="宋体" w:eastAsia="宋体"/>
          <w:bCs/>
          <w:color w:val="auto"/>
          <w:sz w:val="24"/>
          <w:szCs w:val="18"/>
          <w:highlight w:val="none"/>
        </w:rPr>
        <w:t>因设备原因，发生医患纠纷，造成重大影响由供应商承担相应责任。所有损失由供应商承担，包含但不限于经济赔偿责任。</w:t>
      </w:r>
    </w:p>
    <w:p w14:paraId="087A591F">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6.</w:t>
      </w:r>
      <w:r>
        <w:rPr>
          <w:rFonts w:hint="eastAsia" w:ascii="宋体" w:hAnsi="宋体" w:eastAsia="宋体"/>
          <w:b w:val="0"/>
          <w:bCs w:val="0"/>
          <w:color w:val="auto"/>
          <w:sz w:val="24"/>
          <w:szCs w:val="18"/>
          <w:highlight w:val="none"/>
          <w:lang w:eastAsia="zh-CN"/>
        </w:rPr>
        <w:t>卖方应有效保证售后维修服务，提供7*24维保技术服务。卖方应提供技术支持，保证系统的正常工作；在保修期外提供成本价维修服务，如需更换零部件，应以成本价提供合格的正品，保证更换的质量。</w:t>
      </w:r>
    </w:p>
    <w:p w14:paraId="4A7F4478">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7.</w:t>
      </w:r>
      <w:r>
        <w:rPr>
          <w:rFonts w:hint="eastAsia" w:ascii="宋体" w:hAnsi="宋体" w:eastAsia="宋体"/>
          <w:b w:val="0"/>
          <w:bCs w:val="0"/>
          <w:color w:val="auto"/>
          <w:sz w:val="24"/>
          <w:szCs w:val="18"/>
          <w:highlight w:val="none"/>
          <w:lang w:eastAsia="zh-CN"/>
        </w:rPr>
        <w:t>卖方负责对买方技术人员、操作人员进行现场培训，培训内容包括设备操作、设备维护及简单的设备维修等。</w:t>
      </w:r>
    </w:p>
    <w:p w14:paraId="0CE95776">
      <w:pPr>
        <w:spacing w:line="360" w:lineRule="auto"/>
        <w:ind w:firstLine="437"/>
        <w:outlineLvl w:val="1"/>
        <w:rPr>
          <w:rFonts w:hint="eastAsia" w:ascii="宋体" w:hAnsi="宋体" w:eastAsia="宋体"/>
          <w:b w:val="0"/>
          <w:bCs w:val="0"/>
          <w:color w:val="auto"/>
          <w:sz w:val="24"/>
          <w:szCs w:val="18"/>
          <w:highlight w:val="none"/>
          <w:lang w:eastAsia="zh-CN"/>
        </w:rPr>
      </w:pPr>
      <w:r>
        <w:rPr>
          <w:rFonts w:hint="eastAsia" w:ascii="宋体" w:hAnsi="宋体" w:eastAsia="宋体"/>
          <w:b w:val="0"/>
          <w:bCs w:val="0"/>
          <w:color w:val="auto"/>
          <w:sz w:val="24"/>
          <w:szCs w:val="18"/>
          <w:highlight w:val="none"/>
          <w:lang w:val="en-US" w:eastAsia="zh-CN"/>
        </w:rPr>
        <w:t>8.</w:t>
      </w:r>
      <w:r>
        <w:rPr>
          <w:rFonts w:hint="eastAsia" w:ascii="宋体" w:hAnsi="宋体" w:eastAsia="宋体"/>
          <w:b w:val="0"/>
          <w:bCs w:val="0"/>
          <w:color w:val="auto"/>
          <w:sz w:val="24"/>
          <w:szCs w:val="18"/>
          <w:highlight w:val="none"/>
          <w:lang w:eastAsia="zh-CN"/>
        </w:rPr>
        <w:t>所投机型开发的所有软件均须免费对招标人开放，信息接口费用由投标人承担。在质保期内可提供软件免费升级、临床项目指导等。</w:t>
      </w:r>
    </w:p>
    <w:p w14:paraId="3EC8677F">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.所投设备为该品牌生产的最新型号且为自合同签订之日起（进口产品前后六个月，国内产品前后三个月）生产的最新产品，</w:t>
      </w:r>
      <w:r>
        <w:rPr>
          <w:rFonts w:hint="eastAsia" w:asciiTheme="minorEastAsia" w:hAnsiTheme="minorEastAsia" w:eastAsiaTheme="minorEastAsia"/>
          <w:b/>
          <w:bCs/>
          <w:color w:val="auto"/>
          <w:sz w:val="24"/>
          <w:highlight w:val="none"/>
        </w:rPr>
        <w:t>提供承诺书并加盖公章（提供承诺）。</w:t>
      </w:r>
    </w:p>
    <w:p w14:paraId="15D0456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.所投产品不含专机专用耗材，如有专机专用耗材终身免费提供使用，</w:t>
      </w:r>
      <w:r>
        <w:rPr>
          <w:rFonts w:hint="eastAsia" w:asciiTheme="minorEastAsia" w:hAnsiTheme="minorEastAsia" w:eastAsiaTheme="minorEastAsia"/>
          <w:b/>
          <w:bCs/>
          <w:color w:val="auto"/>
          <w:sz w:val="24"/>
          <w:highlight w:val="none"/>
        </w:rPr>
        <w:t>提供承诺书并加盖公章（提供承诺）。</w:t>
      </w:r>
      <w:r>
        <w:rPr>
          <w:rFonts w:asciiTheme="minorEastAsia" w:hAnsiTheme="minorEastAsia" w:eastAsiaTheme="minorEastAsia"/>
          <w:color w:val="auto"/>
          <w:sz w:val="24"/>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bookmarkStart w:id="52" w:name="_Toc23616"/>
      <w:r>
        <w:rPr>
          <w:rFonts w:hint="eastAsia" w:asciiTheme="minorEastAsia" w:hAnsiTheme="minorEastAsia" w:eastAsiaTheme="minorEastAsia"/>
          <w:b/>
          <w:color w:val="auto"/>
          <w:sz w:val="28"/>
          <w:highlight w:val="none"/>
        </w:rPr>
        <w:t>第四章  评标方法和标准（综合评分法）</w:t>
      </w:r>
      <w:bookmarkEnd w:id="52"/>
    </w:p>
    <w:p w14:paraId="36FB348D">
      <w:pPr>
        <w:spacing w:line="360" w:lineRule="auto"/>
        <w:ind w:firstLine="437"/>
        <w:outlineLvl w:val="1"/>
        <w:rPr>
          <w:rFonts w:asciiTheme="minorEastAsia" w:hAnsiTheme="minorEastAsia" w:eastAsiaTheme="minorEastAsia"/>
          <w:b/>
          <w:color w:val="auto"/>
          <w:sz w:val="24"/>
          <w:highlight w:val="none"/>
        </w:rPr>
      </w:pPr>
      <w:bookmarkStart w:id="53" w:name="_Toc11823"/>
      <w:bookmarkStart w:id="54" w:name="_Toc14182"/>
      <w:bookmarkStart w:id="55" w:name="_Toc1246"/>
      <w:r>
        <w:rPr>
          <w:rFonts w:hint="eastAsia" w:asciiTheme="minorEastAsia" w:hAnsiTheme="minorEastAsia" w:eastAsiaTheme="minorEastAsia"/>
          <w:b/>
          <w:color w:val="auto"/>
          <w:sz w:val="24"/>
          <w:highlight w:val="none"/>
        </w:rPr>
        <w:t>一、总则</w:t>
      </w:r>
      <w:bookmarkEnd w:id="53"/>
      <w:bookmarkEnd w:id="54"/>
      <w:bookmarkEnd w:id="55"/>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56" w:name="_Toc13117"/>
      <w:bookmarkStart w:id="57" w:name="_Toc9266"/>
      <w:bookmarkStart w:id="58" w:name="_Toc31871"/>
      <w:r>
        <w:rPr>
          <w:rFonts w:hint="eastAsia" w:asciiTheme="minorEastAsia" w:hAnsiTheme="minorEastAsia" w:eastAsiaTheme="minorEastAsia"/>
          <w:b/>
          <w:color w:val="auto"/>
          <w:sz w:val="24"/>
          <w:highlight w:val="none"/>
        </w:rPr>
        <w:t>二、评标方法</w:t>
      </w:r>
      <w:bookmarkEnd w:id="56"/>
      <w:bookmarkEnd w:id="57"/>
      <w:bookmarkEnd w:id="58"/>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51"/>
        <w:gridCol w:w="4561"/>
        <w:gridCol w:w="1891"/>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1869532">
            <w:pPr>
              <w:pStyle w:val="3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8"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rPr>
              <w:t>营业执照等证明</w:t>
            </w:r>
            <w:r>
              <w:rPr>
                <w:rFonts w:ascii="宋体" w:hAnsi="宋体" w:eastAsia="宋体" w:cs="宋体"/>
                <w:color w:val="auto"/>
                <w:spacing w:val="-3"/>
                <w:sz w:val="24"/>
                <w:szCs w:val="24"/>
              </w:rPr>
              <w:t>文件</w:t>
            </w:r>
          </w:p>
        </w:tc>
        <w:tc>
          <w:tcPr>
            <w:tcW w:w="2603" w:type="pct"/>
            <w:tcBorders>
              <w:bottom w:val="single" w:color="auto" w:sz="4" w:space="0"/>
            </w:tcBorders>
            <w:vAlign w:val="center"/>
          </w:tcPr>
          <w:p w14:paraId="2D206A20">
            <w:pPr>
              <w:spacing w:after="50" w:line="360" w:lineRule="auto"/>
              <w:ind w:right="-10" w:rightChars="0"/>
              <w:jc w:val="lef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ascii="宋体" w:hAnsi="宋体" w:eastAsia="宋体" w:cs="宋体"/>
                <w:color w:val="auto"/>
                <w:sz w:val="24"/>
                <w:szCs w:val="24"/>
              </w:rPr>
              <w:t>投标人为企业（包括合伙企业）的，应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供有效的营业执照；</w:t>
            </w:r>
          </w:p>
          <w:p w14:paraId="1AD42113">
            <w:pPr>
              <w:spacing w:after="50" w:line="360" w:lineRule="auto"/>
              <w:ind w:right="-10" w:rightChars="0"/>
              <w:jc w:val="lef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ascii="宋体" w:hAnsi="宋体" w:eastAsia="宋体" w:cs="宋体"/>
                <w:color w:val="auto"/>
                <w:sz w:val="24"/>
                <w:szCs w:val="24"/>
              </w:rPr>
              <w:t>投标人为事业单位的，应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供有效的事业单位法人证书；</w:t>
            </w:r>
          </w:p>
          <w:p w14:paraId="6E619164">
            <w:pPr>
              <w:spacing w:after="50" w:line="360" w:lineRule="auto"/>
              <w:ind w:right="-10" w:rightChars="0"/>
              <w:jc w:val="lef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ascii="宋体" w:hAnsi="宋体" w:eastAsia="宋体" w:cs="宋体"/>
                <w:color w:val="auto"/>
                <w:sz w:val="24"/>
                <w:szCs w:val="24"/>
              </w:rPr>
              <w:t>投标人是非企业机构的，应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供有效的执业许可证</w:t>
            </w:r>
            <w:r>
              <w:rPr>
                <w:rFonts w:hint="eastAsia" w:ascii="宋体" w:hAnsi="宋体" w:eastAsia="宋体" w:cs="宋体"/>
                <w:color w:val="auto"/>
                <w:sz w:val="24"/>
                <w:szCs w:val="24"/>
                <w:lang w:val="en-US" w:eastAsia="zh-CN"/>
              </w:rPr>
              <w:t>或</w:t>
            </w:r>
            <w:r>
              <w:rPr>
                <w:rFonts w:ascii="宋体" w:hAnsi="宋体" w:eastAsia="宋体" w:cs="宋体"/>
                <w:color w:val="auto"/>
                <w:sz w:val="24"/>
                <w:szCs w:val="24"/>
              </w:rPr>
              <w:t>登记证书等证明文件；</w:t>
            </w:r>
          </w:p>
          <w:p w14:paraId="11D3135A">
            <w:pPr>
              <w:spacing w:after="50" w:line="360" w:lineRule="auto"/>
              <w:ind w:right="-10" w:rightChars="0"/>
              <w:jc w:val="lef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ascii="宋体" w:hAnsi="宋体" w:eastAsia="宋体" w:cs="宋体"/>
                <w:color w:val="auto"/>
                <w:sz w:val="24"/>
                <w:szCs w:val="24"/>
              </w:rPr>
              <w:t>投标人是个体工商户的，应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ascii="宋体" w:hAnsi="宋体" w:eastAsia="宋体" w:cs="宋体"/>
                <w:color w:val="auto"/>
                <w:sz w:val="24"/>
                <w:szCs w:val="24"/>
              </w:rPr>
              <w:t>投标人是自然人的，应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供有效的自然人身份证明。</w:t>
            </w:r>
          </w:p>
        </w:tc>
        <w:tc>
          <w:tcPr>
            <w:tcW w:w="1078"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供符合招标文件要求的《投标人资格声明书》</w:t>
            </w:r>
            <w:r>
              <w:rPr>
                <w:rFonts w:hint="eastAsia" w:ascii="宋体" w:hAnsi="宋体" w:eastAsia="宋体" w:cs="宋体"/>
                <w:color w:val="auto"/>
                <w:sz w:val="24"/>
                <w:szCs w:val="24"/>
                <w:lang w:eastAsia="zh-CN"/>
              </w:rPr>
              <w:t>。</w:t>
            </w:r>
          </w:p>
        </w:tc>
        <w:tc>
          <w:tcPr>
            <w:tcW w:w="1078"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090CE335">
            <w:pPr>
              <w:spacing w:after="50" w:line="360" w:lineRule="auto"/>
              <w:ind w:right="-10" w:rightChars="0"/>
              <w:jc w:val="left"/>
              <w:rPr>
                <w:color w:val="auto"/>
              </w:rPr>
            </w:pPr>
            <w:r>
              <w:rPr>
                <w:rFonts w:hint="eastAsia" w:ascii="宋体" w:hAnsi="宋体" w:eastAsia="宋体" w:cs="宋体"/>
                <w:color w:val="auto"/>
                <w:sz w:val="24"/>
                <w:szCs w:val="24"/>
                <w:lang w:val="zh-CN" w:eastAsia="zh-CN"/>
              </w:rPr>
              <w:t>投标人不得存在投标人须知正文第1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.2</w:t>
            </w:r>
            <w:r>
              <w:rPr>
                <w:rFonts w:hint="eastAsia" w:ascii="宋体" w:hAnsi="宋体" w:eastAsia="宋体" w:cs="宋体"/>
                <w:color w:val="auto"/>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8"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rPr>
              <w:t>无须投标人</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供，由采购人或采购代理机构查询。</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vAlign w:val="center"/>
          </w:tcPr>
          <w:p w14:paraId="34D8973F">
            <w:pPr>
              <w:spacing w:after="50" w:line="360" w:lineRule="auto"/>
              <w:ind w:right="-10"/>
              <w:jc w:val="both"/>
              <w:rPr>
                <w:rFonts w:ascii="宋体" w:hAnsi="宋体" w:eastAsia="宋体" w:cs="宋体"/>
                <w:color w:val="auto"/>
                <w:spacing w:val="10"/>
                <w:sz w:val="24"/>
                <w:szCs w:val="24"/>
                <w:lang w:val="en-US" w:eastAsia="zh-CN"/>
              </w:rPr>
            </w:pPr>
            <w:r>
              <w:rPr>
                <w:rFonts w:ascii="宋体" w:hAnsi="宋体" w:eastAsia="宋体" w:cs="宋体"/>
                <w:color w:val="auto"/>
                <w:spacing w:val="10"/>
                <w:sz w:val="24"/>
                <w:szCs w:val="24"/>
              </w:rPr>
              <w:t>本项目的特定资格要求</w:t>
            </w:r>
          </w:p>
        </w:tc>
        <w:tc>
          <w:tcPr>
            <w:tcW w:w="2603" w:type="pct"/>
            <w:vAlign w:val="center"/>
          </w:tcPr>
          <w:p w14:paraId="6E4DCC4D">
            <w:pPr>
              <w:spacing w:after="50" w:line="360" w:lineRule="auto"/>
              <w:ind w:right="-10"/>
              <w:jc w:val="both"/>
              <w:rPr>
                <w:rFonts w:ascii="宋体" w:hAnsi="宋体" w:eastAsia="宋体" w:cs="宋体"/>
                <w:color w:val="auto"/>
                <w:spacing w:val="10"/>
                <w:sz w:val="24"/>
                <w:szCs w:val="24"/>
              </w:rPr>
            </w:pPr>
            <w:r>
              <w:rPr>
                <w:rFonts w:ascii="宋体" w:hAnsi="宋体" w:eastAsia="宋体" w:cs="宋体"/>
                <w:color w:val="auto"/>
                <w:spacing w:val="10"/>
                <w:sz w:val="24"/>
                <w:szCs w:val="24"/>
              </w:rPr>
              <w:t>如有，见第一章《投标邀请》</w:t>
            </w:r>
          </w:p>
        </w:tc>
        <w:tc>
          <w:tcPr>
            <w:tcW w:w="1078" w:type="pct"/>
            <w:vAlign w:val="center"/>
          </w:tcPr>
          <w:p w14:paraId="5D494857">
            <w:pPr>
              <w:spacing w:after="50" w:line="360" w:lineRule="auto"/>
              <w:ind w:right="-10"/>
              <w:jc w:val="both"/>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（1）中国境内（不含港、澳、台地区）制造商参与投标时，应具有投标产品相应有效的医疗器械生产许可证（适用第二类和第三类医疗器械）。</w:t>
            </w:r>
          </w:p>
          <w:p w14:paraId="7EAB58B4">
            <w:pPr>
              <w:spacing w:after="50" w:line="360" w:lineRule="auto"/>
              <w:ind w:right="-10"/>
              <w:jc w:val="both"/>
              <w:rPr>
                <w:rFonts w:ascii="宋体" w:hAnsi="宋体" w:eastAsia="宋体" w:cs="宋体"/>
                <w:color w:val="auto"/>
                <w:spacing w:val="10"/>
                <w:sz w:val="24"/>
                <w:szCs w:val="24"/>
              </w:rPr>
            </w:pPr>
            <w:r>
              <w:rPr>
                <w:rFonts w:hint="eastAsia" w:ascii="宋体" w:hAnsi="宋体" w:eastAsia="宋体" w:cs="宋体"/>
                <w:color w:val="auto"/>
                <w:spacing w:val="10"/>
                <w:sz w:val="24"/>
                <w:szCs w:val="24"/>
              </w:rPr>
              <w:t>（2）投标人应具有投标产品相应有效的医疗器械经营许可证（适用第三类医疗器械）或医疗器械经营备案凭证（适用第二类医疗器械）。</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37E0F44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EEA7CDE">
            <w:pPr>
              <w:pStyle w:val="32"/>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652879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3" w:type="pct"/>
            <w:tcBorders>
              <w:bottom w:val="single" w:color="auto" w:sz="4" w:space="0"/>
            </w:tcBorders>
            <w:vAlign w:val="center"/>
          </w:tcPr>
          <w:p w14:paraId="275F94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3"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3"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3"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3"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3"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5A915E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67394AE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lang w:val="en-US" w:eastAsia="zh-CN"/>
              </w:rPr>
              <w:t>不存在招标文件采购需求 “货物需求相关标识符号说明”中投标无效的情形</w:t>
            </w:r>
          </w:p>
        </w:tc>
        <w:tc>
          <w:tcPr>
            <w:tcW w:w="1473"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272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449" w:type="pct"/>
            <w:vAlign w:val="center"/>
          </w:tcPr>
          <w:p w14:paraId="154CD6A7">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BB098D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所投产品要求</w:t>
            </w:r>
          </w:p>
        </w:tc>
        <w:tc>
          <w:tcPr>
            <w:tcW w:w="1835" w:type="pct"/>
            <w:vAlign w:val="center"/>
          </w:tcPr>
          <w:p w14:paraId="2AA47693">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rPr>
              <w:t>符合招标文件采购需求要求</w:t>
            </w:r>
          </w:p>
        </w:tc>
        <w:tc>
          <w:tcPr>
            <w:tcW w:w="1473" w:type="pct"/>
            <w:vAlign w:val="center"/>
          </w:tcPr>
          <w:p w14:paraId="65F3DDF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宋体" w:hAnsi="宋体" w:eastAsia="宋体"/>
                <w:b/>
                <w:bCs/>
                <w:color w:val="auto"/>
                <w:sz w:val="24"/>
                <w:szCs w:val="18"/>
                <w:highlight w:val="none"/>
                <w:lang w:val="en-US" w:eastAsia="zh-CN"/>
              </w:rPr>
              <w:t>投标产品具有相应有效的医疗器械注册证（适用第二类和第三类医疗器械）或备案凭证（适用第一类医疗器械）</w:t>
            </w:r>
            <w:r>
              <w:rPr>
                <w:rFonts w:hint="eastAsia" w:ascii="宋体" w:hAnsi="宋体" w:eastAsia="宋体" w:cs="宋体"/>
                <w:b/>
                <w:bCs/>
                <w:color w:val="auto"/>
                <w:kern w:val="0"/>
                <w:sz w:val="24"/>
                <w:szCs w:val="24"/>
                <w:lang w:bidi="ar"/>
              </w:rPr>
              <w:t>。</w:t>
            </w:r>
          </w:p>
        </w:tc>
      </w:tr>
      <w:tr w14:paraId="2689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13C348D">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1242" w:type="pct"/>
            <w:vAlign w:val="center"/>
          </w:tcPr>
          <w:p w14:paraId="0455BC1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投标文件四码查询</w:t>
            </w:r>
          </w:p>
        </w:tc>
        <w:tc>
          <w:tcPr>
            <w:tcW w:w="1835" w:type="pct"/>
            <w:vAlign w:val="center"/>
          </w:tcPr>
          <w:p w14:paraId="50FD4074">
            <w:pPr>
              <w:spacing w:after="50" w:line="360" w:lineRule="auto"/>
              <w:ind w:right="-10" w:rightChars="0"/>
              <w:jc w:val="center"/>
              <w:rPr>
                <w:rFonts w:hint="eastAsia"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不同投标人投标文件制作机器码、文件创建标识码、文件上传IP地址、文件上传MAC地址不得相同。</w:t>
            </w:r>
          </w:p>
        </w:tc>
        <w:tc>
          <w:tcPr>
            <w:tcW w:w="1473" w:type="pct"/>
            <w:vAlign w:val="center"/>
          </w:tcPr>
          <w:p w14:paraId="45D2B4D3">
            <w:pPr>
              <w:adjustRightInd w:val="0"/>
              <w:snapToGrid w:val="0"/>
              <w:spacing w:line="360" w:lineRule="auto"/>
              <w:ind w:right="-10"/>
              <w:jc w:val="center"/>
              <w:rPr>
                <w:rFonts w:hint="eastAsia" w:ascii="宋体" w:hAnsi="宋体" w:eastAsia="宋体"/>
                <w:b/>
                <w:bCs/>
                <w:color w:val="auto"/>
                <w:sz w:val="24"/>
                <w:szCs w:val="18"/>
                <w:highlight w:val="none"/>
                <w:lang w:val="en-US" w:eastAsia="zh-CN"/>
              </w:rPr>
            </w:pP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9</w:t>
            </w:r>
          </w:p>
        </w:tc>
        <w:tc>
          <w:tcPr>
            <w:tcW w:w="1242"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3"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2.3</w:t>
      </w:r>
      <w:r>
        <w:rPr>
          <w:rFonts w:hint="eastAsia" w:asciiTheme="minorEastAsia" w:hAnsiTheme="minorEastAsia" w:eastAsiaTheme="minorEastAsia"/>
          <w:color w:val="auto"/>
          <w:sz w:val="24"/>
        </w:rPr>
        <w:t>异常低价</w:t>
      </w:r>
      <w:r>
        <w:rPr>
          <w:rFonts w:hint="eastAsia" w:asciiTheme="minorEastAsia" w:hAnsiTheme="minorEastAsia" w:eastAsiaTheme="minorEastAsia"/>
          <w:color w:val="auto"/>
          <w:sz w:val="24"/>
          <w:lang w:val="en-US" w:eastAsia="zh-CN"/>
        </w:rPr>
        <w:t>投标</w:t>
      </w:r>
      <w:r>
        <w:rPr>
          <w:rFonts w:hint="eastAsia" w:asciiTheme="minorEastAsia" w:hAnsiTheme="minorEastAsia" w:eastAsiaTheme="minorEastAsia"/>
          <w:color w:val="auto"/>
          <w:sz w:val="24"/>
        </w:rPr>
        <w:t>审查</w:t>
      </w:r>
    </w:p>
    <w:tbl>
      <w:tblPr>
        <w:tblStyle w:val="22"/>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w:t>
            </w:r>
            <w:r>
              <w:rPr>
                <w:rFonts w:hint="eastAsia" w:ascii="宋体" w:hAnsi="宋体" w:eastAsia="宋体" w:cs="宋体"/>
                <w:b w:val="0"/>
                <w:bCs w:val="0"/>
                <w:i w:val="0"/>
                <w:iCs w:val="0"/>
                <w:color w:val="auto"/>
                <w:sz w:val="24"/>
                <w:szCs w:val="24"/>
                <w:highlight w:val="none"/>
                <w:u w:val="none"/>
                <w:lang w:val="en-US" w:eastAsia="zh-CN"/>
              </w:rPr>
              <w:t>平均值×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（4）评标委员会基于专业判断，认为投标人报价过低，有可能影响产品质量或者不能诚信履约的其他情形。</w:t>
            </w:r>
          </w:p>
          <w:p w14:paraId="23C179B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0B014BAB">
            <w:pPr>
              <w:pStyle w:val="7"/>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color w:val="auto"/>
          <w:sz w:val="24"/>
          <w:lang w:val="en-US" w:eastAsia="zh-CN"/>
        </w:rPr>
      </w:pPr>
      <w:r>
        <w:rPr>
          <w:rFonts w:hint="eastAsia" w:ascii="宋体" w:hAnsi="宋体" w:eastAsia="宋体" w:cs="Times New Roman"/>
          <w:color w:val="auto"/>
          <w:sz w:val="24"/>
          <w:highlight w:val="none"/>
          <w:lang w:val="en-US" w:eastAsia="zh-CN"/>
        </w:rPr>
        <w:t>注：</w:t>
      </w:r>
    </w:p>
    <w:p w14:paraId="7B457B8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A071BDD">
      <w:pPr>
        <w:spacing w:line="360" w:lineRule="auto"/>
        <w:ind w:firstLine="480" w:firstLineChars="200"/>
        <w:rPr>
          <w:rFonts w:hint="eastAsia" w:ascii="宋体" w:hAnsi="宋体" w:eastAsia="宋体" w:cs="Arial"/>
          <w:color w:val="auto"/>
          <w:sz w:val="24"/>
          <w:lang w:val="en-US" w:eastAsia="zh-CN"/>
        </w:rPr>
      </w:pPr>
      <w:r>
        <w:rPr>
          <w:rFonts w:hint="eastAsia" w:ascii="宋体" w:hAnsi="宋体" w:eastAsia="宋体" w:cs="Arial"/>
          <w:color w:val="auto"/>
          <w:sz w:val="24"/>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lang w:val="en-US" w:eastAsia="zh-CN"/>
        </w:rPr>
        <w:t>（3）</w:t>
      </w:r>
      <w:r>
        <w:rPr>
          <w:rFonts w:hint="eastAsia" w:ascii="宋体" w:hAnsi="宋体" w:eastAsia="宋体" w:cs="Arial"/>
          <w:color w:val="auto"/>
          <w:sz w:val="24"/>
          <w:lang w:val="en-US" w:eastAsia="zh-CN"/>
        </w:rPr>
        <w:t>项情形，投标人已随投标文件一并提交相关书面说明及必要的证明材料的，在评审现场可不再重复提交。</w:t>
      </w:r>
    </w:p>
    <w:p w14:paraId="1CABF23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lang w:val="en-US" w:eastAsia="zh-CN"/>
        </w:rPr>
      </w:pPr>
      <w:r>
        <w:rPr>
          <w:rFonts w:hint="eastAsia" w:ascii="宋体" w:hAnsi="宋体" w:eastAsia="宋体" w:cs="Arial"/>
          <w:color w:val="auto"/>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lang w:val="en-US" w:eastAsia="zh-CN"/>
        </w:rPr>
        <w:t>无效投标</w:t>
      </w:r>
      <w:r>
        <w:rPr>
          <w:rFonts w:hint="eastAsia" w:ascii="宋体" w:hAnsi="宋体" w:eastAsia="宋体" w:cs="Arial"/>
          <w:color w:val="auto"/>
          <w:sz w:val="24"/>
          <w:lang w:val="en-US" w:eastAsia="zh-CN"/>
        </w:rPr>
        <w:t>处理。</w:t>
      </w:r>
    </w:p>
    <w:p w14:paraId="262C0784">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lang w:val="en-US" w:eastAsia="zh-CN"/>
        </w:rPr>
        <w:t>评标委员会</w:t>
      </w:r>
      <w:r>
        <w:rPr>
          <w:rFonts w:hint="eastAsia" w:ascii="宋体" w:hAnsi="宋体" w:eastAsia="宋体"/>
          <w:color w:val="auto"/>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720"/>
        <w:gridCol w:w="3745"/>
        <w:gridCol w:w="1581"/>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restart"/>
            <w:tcBorders>
              <w:top w:val="single" w:color="auto" w:sz="4" w:space="0"/>
              <w:left w:val="single" w:color="auto" w:sz="4" w:space="0"/>
              <w:right w:val="single" w:color="auto" w:sz="4" w:space="0"/>
            </w:tcBorders>
            <w:vAlign w:val="center"/>
          </w:tcPr>
          <w:p w14:paraId="5C7CD23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27C554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0BE8B62D">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技术参数及要求</w:t>
            </w:r>
          </w:p>
        </w:tc>
        <w:tc>
          <w:tcPr>
            <w:tcW w:w="2197" w:type="pct"/>
            <w:tcBorders>
              <w:top w:val="single" w:color="auto" w:sz="4" w:space="0"/>
              <w:left w:val="single" w:color="auto" w:sz="4" w:space="0"/>
              <w:bottom w:val="single" w:color="auto" w:sz="4" w:space="0"/>
              <w:right w:val="single" w:color="auto" w:sz="4" w:space="0"/>
            </w:tcBorders>
            <w:vAlign w:val="center"/>
          </w:tcPr>
          <w:p w14:paraId="38BFEAD4">
            <w:pPr>
              <w:spacing w:line="360" w:lineRule="auto"/>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 xml:space="preserve">根据投标人所投产品对“招标文件/第三章 采购需求/二、货物需求/技术参数及要求”的响应性进行评审： </w:t>
            </w:r>
          </w:p>
          <w:p w14:paraId="7A6E2176">
            <w:pPr>
              <w:spacing w:line="360" w:lineRule="auto"/>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①标注“</w:t>
            </w:r>
            <w:r>
              <w:rPr>
                <w:rFonts w:hint="eastAsia"/>
                <w:color w:val="auto"/>
              </w:rPr>
              <w:t>*</w:t>
            </w:r>
            <w:r>
              <w:rPr>
                <w:rFonts w:hint="eastAsia" w:asciiTheme="minorEastAsia" w:hAnsiTheme="minorEastAsia" w:eastAsiaTheme="minorEastAsia"/>
                <w:bCs/>
                <w:color w:val="auto"/>
                <w:sz w:val="24"/>
                <w:highlight w:val="none"/>
              </w:rPr>
              <w:t>”条款为核心指标项，每满足（或优于）一项得</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rPr>
              <w:t>分，共</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rPr>
              <w:t>项，本项满分</w:t>
            </w:r>
            <w:r>
              <w:rPr>
                <w:rFonts w:hint="eastAsia" w:asciiTheme="minorEastAsia" w:hAnsiTheme="minorEastAsia" w:eastAsiaTheme="minorEastAsia"/>
                <w:bCs/>
                <w:color w:val="auto"/>
                <w:sz w:val="24"/>
                <w:highlight w:val="none"/>
                <w:lang w:val="en-US" w:eastAsia="zh-CN"/>
              </w:rPr>
              <w:t>25</w:t>
            </w:r>
            <w:r>
              <w:rPr>
                <w:rFonts w:hint="eastAsia" w:asciiTheme="minorEastAsia" w:hAnsiTheme="minorEastAsia" w:eastAsiaTheme="minorEastAsia"/>
                <w:bCs/>
                <w:color w:val="auto"/>
                <w:sz w:val="24"/>
                <w:highlight w:val="none"/>
              </w:rPr>
              <w:t>分；</w:t>
            </w:r>
          </w:p>
          <w:p w14:paraId="2DBC915A">
            <w:pPr>
              <w:spacing w:line="360" w:lineRule="auto"/>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②</w:t>
            </w:r>
            <w:r>
              <w:rPr>
                <w:rFonts w:hint="eastAsia" w:asciiTheme="minorEastAsia" w:hAnsiTheme="minorEastAsia" w:eastAsiaTheme="minorEastAsia"/>
                <w:bCs/>
                <w:color w:val="auto"/>
                <w:sz w:val="24"/>
                <w:highlight w:val="none"/>
                <w:lang w:eastAsia="zh-CN"/>
              </w:rPr>
              <w:t>“无标识项”</w:t>
            </w:r>
            <w:r>
              <w:rPr>
                <w:rFonts w:hint="eastAsia" w:asciiTheme="minorEastAsia" w:hAnsiTheme="minorEastAsia" w:eastAsiaTheme="minorEastAsia"/>
                <w:bCs/>
                <w:color w:val="auto"/>
                <w:sz w:val="24"/>
                <w:highlight w:val="none"/>
              </w:rPr>
              <w:t>条款为</w:t>
            </w:r>
            <w:r>
              <w:rPr>
                <w:rFonts w:hint="eastAsia" w:asciiTheme="minorEastAsia" w:hAnsiTheme="minorEastAsia" w:eastAsiaTheme="minorEastAsia"/>
                <w:bCs/>
                <w:color w:val="auto"/>
                <w:sz w:val="24"/>
                <w:highlight w:val="none"/>
                <w:lang w:val="en-US" w:eastAsia="zh-CN"/>
              </w:rPr>
              <w:t>普通</w:t>
            </w:r>
            <w:r>
              <w:rPr>
                <w:rFonts w:hint="eastAsia" w:asciiTheme="minorEastAsia" w:hAnsiTheme="minorEastAsia" w:eastAsiaTheme="minorEastAsia"/>
                <w:bCs/>
                <w:color w:val="auto"/>
                <w:sz w:val="24"/>
                <w:highlight w:val="none"/>
              </w:rPr>
              <w:t>指标项，每满足（或优于）一项得</w:t>
            </w:r>
            <w:r>
              <w:rPr>
                <w:rFonts w:hint="eastAsia" w:asciiTheme="minorEastAsia" w:hAnsiTheme="minorEastAsia" w:eastAsiaTheme="minorEastAsia"/>
                <w:bCs/>
                <w:color w:val="auto"/>
                <w:sz w:val="24"/>
                <w:highlight w:val="none"/>
                <w:lang w:val="en-US" w:eastAsia="zh-CN"/>
              </w:rPr>
              <w:t>1.2</w:t>
            </w:r>
            <w:r>
              <w:rPr>
                <w:rFonts w:hint="eastAsia" w:asciiTheme="minorEastAsia" w:hAnsiTheme="minorEastAsia" w:eastAsiaTheme="minorEastAsia"/>
                <w:bCs/>
                <w:color w:val="auto"/>
                <w:sz w:val="24"/>
                <w:highlight w:val="none"/>
              </w:rPr>
              <w:t>分，共20项，本项满分</w:t>
            </w:r>
            <w:r>
              <w:rPr>
                <w:rFonts w:hint="eastAsia" w:asciiTheme="minorEastAsia" w:hAnsiTheme="minorEastAsia" w:eastAsiaTheme="minorEastAsia"/>
                <w:bCs/>
                <w:color w:val="auto"/>
                <w:sz w:val="24"/>
                <w:highlight w:val="none"/>
                <w:lang w:val="en-US" w:eastAsia="zh-CN"/>
              </w:rPr>
              <w:t>24</w:t>
            </w:r>
            <w:r>
              <w:rPr>
                <w:rFonts w:hint="eastAsia" w:asciiTheme="minorEastAsia" w:hAnsiTheme="minorEastAsia" w:eastAsiaTheme="minorEastAsia"/>
                <w:bCs/>
                <w:color w:val="auto"/>
                <w:sz w:val="24"/>
                <w:highlight w:val="none"/>
              </w:rPr>
              <w:t>分。</w:t>
            </w:r>
          </w:p>
          <w:p w14:paraId="42B846A0">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注：以招标文件采购需求中要求提供的相应证明材料作为评审依据。</w:t>
            </w:r>
          </w:p>
        </w:tc>
        <w:tc>
          <w:tcPr>
            <w:tcW w:w="926" w:type="pct"/>
            <w:tcBorders>
              <w:top w:val="single" w:color="auto" w:sz="4" w:space="0"/>
              <w:left w:val="single" w:color="auto" w:sz="4" w:space="0"/>
              <w:bottom w:val="single" w:color="auto" w:sz="4" w:space="0"/>
              <w:right w:val="single" w:color="auto" w:sz="4" w:space="0"/>
            </w:tcBorders>
            <w:vAlign w:val="center"/>
          </w:tcPr>
          <w:p w14:paraId="34053CF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0-49分</w:t>
            </w:r>
          </w:p>
        </w:tc>
      </w:tr>
      <w:tr w14:paraId="6D9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14CD28FE">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0BE88C0">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产品业绩</w:t>
            </w:r>
          </w:p>
        </w:tc>
        <w:tc>
          <w:tcPr>
            <w:tcW w:w="2197" w:type="pct"/>
            <w:tcBorders>
              <w:top w:val="single" w:color="auto" w:sz="4" w:space="0"/>
              <w:left w:val="single" w:color="auto" w:sz="4" w:space="0"/>
              <w:bottom w:val="single" w:color="auto" w:sz="4" w:space="0"/>
              <w:right w:val="single" w:color="auto" w:sz="4" w:space="0"/>
            </w:tcBorders>
            <w:vAlign w:val="center"/>
          </w:tcPr>
          <w:p w14:paraId="18458E8E">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年1月1日起至投标截止日（以合同签订日期为准），每提供1个所投产品(须为向三级及以上医院供货的业绩)的供货业绩得1.5分，满分9分。</w:t>
            </w:r>
          </w:p>
          <w:p w14:paraId="61059770">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注：1.投标文件中提供业绩合同扫描件，如合同中无法体现签订时间、产品品牌、型号等关键评审因素的，须同时提供加盖业主（合同甲方）公章的证明材料扫描件，未提供或提供不全的不得分；</w:t>
            </w:r>
          </w:p>
          <w:p w14:paraId="56333D5E">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2.此处业绩系指产品业绩，不限合同签订主体，但合同甲方须为医院。</w:t>
            </w:r>
          </w:p>
          <w:p w14:paraId="68FAF27F">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3.医院等级证明材料（医院等级截图或业主证明或医院主管部门证明）。</w:t>
            </w:r>
          </w:p>
          <w:p w14:paraId="1DB640EA">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4.同一业主业绩不累计计分，不同业主业绩可以累计。</w:t>
            </w:r>
          </w:p>
        </w:tc>
        <w:tc>
          <w:tcPr>
            <w:tcW w:w="926" w:type="pct"/>
            <w:tcBorders>
              <w:top w:val="single" w:color="auto" w:sz="4" w:space="0"/>
              <w:left w:val="single" w:color="auto" w:sz="4" w:space="0"/>
              <w:bottom w:val="single" w:color="auto" w:sz="4" w:space="0"/>
              <w:right w:val="single" w:color="auto" w:sz="4" w:space="0"/>
            </w:tcBorders>
            <w:vAlign w:val="center"/>
          </w:tcPr>
          <w:p w14:paraId="717D62A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0-9分</w:t>
            </w:r>
          </w:p>
        </w:tc>
      </w:tr>
      <w:tr w14:paraId="74F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4B1993B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9AAAE30">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质量保证期</w:t>
            </w:r>
          </w:p>
        </w:tc>
        <w:tc>
          <w:tcPr>
            <w:tcW w:w="2197" w:type="pct"/>
            <w:tcBorders>
              <w:top w:val="single" w:color="auto" w:sz="4" w:space="0"/>
              <w:left w:val="single" w:color="auto" w:sz="4" w:space="0"/>
              <w:bottom w:val="single" w:color="auto" w:sz="4" w:space="0"/>
              <w:right w:val="single" w:color="auto" w:sz="4" w:space="0"/>
            </w:tcBorders>
            <w:vAlign w:val="center"/>
          </w:tcPr>
          <w:p w14:paraId="63010962">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投标人所投所有设备质量保证期在满足招标文件规定质量保证期的基础上，均延长1年加2分（不足1年不加分），最高得 6 分。（提供承诺函，格式自拟）</w:t>
            </w:r>
          </w:p>
        </w:tc>
        <w:tc>
          <w:tcPr>
            <w:tcW w:w="926" w:type="pct"/>
            <w:tcBorders>
              <w:top w:val="single" w:color="auto" w:sz="4" w:space="0"/>
              <w:left w:val="single" w:color="auto" w:sz="4" w:space="0"/>
              <w:bottom w:val="single" w:color="auto" w:sz="4" w:space="0"/>
              <w:right w:val="single" w:color="auto" w:sz="4" w:space="0"/>
            </w:tcBorders>
            <w:vAlign w:val="center"/>
          </w:tcPr>
          <w:p w14:paraId="234B943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0-6分</w:t>
            </w:r>
          </w:p>
        </w:tc>
      </w:tr>
      <w:tr w14:paraId="264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418050C9">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04FC557">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项目实施方案</w:t>
            </w:r>
          </w:p>
        </w:tc>
        <w:tc>
          <w:tcPr>
            <w:tcW w:w="2197" w:type="pct"/>
            <w:tcBorders>
              <w:top w:val="single" w:color="auto" w:sz="4" w:space="0"/>
              <w:left w:val="single" w:color="auto" w:sz="4" w:space="0"/>
              <w:bottom w:val="single" w:color="auto" w:sz="4" w:space="0"/>
              <w:right w:val="single" w:color="auto" w:sz="4" w:space="0"/>
            </w:tcBorders>
            <w:vAlign w:val="center"/>
          </w:tcPr>
          <w:p w14:paraId="40B93D06">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根据各投标人提供的项目实施方案实施计划、进度计划、安装调试的技术人员安排、安装调试方案、验收方案情况进行打分：</w:t>
            </w:r>
          </w:p>
          <w:p w14:paraId="1EAB9727">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①方案内容完整、详实、科学合理，可行性、针对性强且有齐全的保障措施的得3分；</w:t>
            </w:r>
          </w:p>
          <w:p w14:paraId="22D4B617">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②方案内容基本完整、合理、具有可行性、针对性，但保障措施有待进一步完善的得2分；</w:t>
            </w:r>
          </w:p>
          <w:p w14:paraId="280C6F21">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③方案内容在完整性、合理性、可行性、针对性及各项保障措施均有待改善的得1分；</w:t>
            </w:r>
          </w:p>
          <w:p w14:paraId="4ACD9F6B">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④方案不可行或未提供方案的不得分。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7ADB3E7E">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0-3分</w:t>
            </w:r>
          </w:p>
        </w:tc>
      </w:tr>
      <w:tr w14:paraId="11AC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33EA56FA">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1C0872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售后服务方案</w:t>
            </w:r>
          </w:p>
        </w:tc>
        <w:tc>
          <w:tcPr>
            <w:tcW w:w="2197" w:type="pct"/>
            <w:tcBorders>
              <w:top w:val="single" w:color="auto" w:sz="4" w:space="0"/>
              <w:left w:val="single" w:color="auto" w:sz="4" w:space="0"/>
              <w:bottom w:val="single" w:color="auto" w:sz="4" w:space="0"/>
              <w:right w:val="single" w:color="auto" w:sz="4" w:space="0"/>
            </w:tcBorders>
            <w:vAlign w:val="center"/>
          </w:tcPr>
          <w:p w14:paraId="76B66C5D">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根据各投标人提供的售后服务方案</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售后服务人员配置、售后服务响应时间、保障修复时间、培训方案、巡检次数及巡检时间段、应急预案、技术保障措施、回访、备品备件免费供应以及其他承诺等方面方案进行打分：</w:t>
            </w:r>
          </w:p>
          <w:p w14:paraId="5CA0453A">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①方案内容完整、详实、科学合理，可行性、针对性强且有齐全的保障措施的得3分；</w:t>
            </w:r>
          </w:p>
          <w:p w14:paraId="55C49F5C">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②方案内容基本完整、合理、具有可行性、针对性，但保障措施有待进一步完善的得2分；</w:t>
            </w:r>
          </w:p>
          <w:p w14:paraId="20A2D396">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③方案内容在完整性、合理性、可行性、针对性及各项保障措施均有待改善的得1分；</w:t>
            </w:r>
          </w:p>
          <w:p w14:paraId="2F4FB68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④方案不可行或未提供方案的不得分。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6D1752F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0-3分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tcBorders>
              <w:left w:val="single" w:color="auto" w:sz="4" w:space="0"/>
              <w:right w:val="single" w:color="auto" w:sz="4" w:space="0"/>
            </w:tcBorders>
            <w:vAlign w:val="center"/>
          </w:tcPr>
          <w:p w14:paraId="4DFF79F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3"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641BF9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59" w:name="_Toc19973"/>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9"/>
    </w:p>
    <w:p w14:paraId="481E7F4D">
      <w:pPr>
        <w:pStyle w:val="8"/>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rPr>
      </w:pPr>
    </w:p>
    <w:p w14:paraId="6C024A07">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rPr>
      </w:pPr>
    </w:p>
    <w:p w14:paraId="1948CBD0">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rPr>
      </w:pPr>
    </w:p>
    <w:p w14:paraId="2C82C013">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rPr>
      </w:pPr>
    </w:p>
    <w:p w14:paraId="6E3DD6F2">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rPr>
      </w:pPr>
    </w:p>
    <w:p w14:paraId="69AE4AF1">
      <w:pPr>
        <w:pStyle w:val="8"/>
        <w:rPr>
          <w:rFonts w:hint="eastAsia" w:ascii="宋体" w:hAnsi="宋体" w:eastAsia="宋体" w:cs="宋体"/>
          <w:b/>
          <w:bCs/>
          <w:color w:val="auto"/>
          <w:spacing w:val="-20"/>
          <w:kern w:val="44"/>
          <w:sz w:val="24"/>
          <w:szCs w:val="24"/>
        </w:rPr>
      </w:pPr>
    </w:p>
    <w:p w14:paraId="1DCC0BE9">
      <w:pPr>
        <w:pStyle w:val="8"/>
        <w:rPr>
          <w:rFonts w:hint="eastAsia" w:ascii="宋体" w:hAnsi="宋体" w:eastAsia="宋体" w:cs="宋体"/>
          <w:b/>
          <w:bCs/>
          <w:color w:val="auto"/>
          <w:spacing w:val="-20"/>
          <w:kern w:val="44"/>
          <w:sz w:val="24"/>
          <w:szCs w:val="24"/>
        </w:rPr>
      </w:pPr>
    </w:p>
    <w:p w14:paraId="49ADC794">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rPr>
      </w:pPr>
    </w:p>
    <w:p w14:paraId="22B2A3D7">
      <w:pPr>
        <w:pStyle w:val="8"/>
        <w:pageBreakBefore w:val="0"/>
        <w:kinsoku/>
        <w:wordWrap/>
        <w:overflowPunct/>
        <w:topLinePunct w:val="0"/>
        <w:bidi w:val="0"/>
        <w:spacing w:line="360" w:lineRule="auto"/>
        <w:textAlignment w:val="auto"/>
        <w:rPr>
          <w:rFonts w:hint="eastAsia"/>
          <w:color w:val="auto"/>
        </w:rPr>
      </w:pPr>
    </w:p>
    <w:p w14:paraId="5FF8F2E5">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rPr>
      </w:pPr>
    </w:p>
    <w:p w14:paraId="71762C8E">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auto"/>
          <w:sz w:val="24"/>
          <w:szCs w:val="24"/>
        </w:rPr>
      </w:pPr>
      <w:r>
        <w:rPr>
          <w:rFonts w:hint="eastAsia" w:ascii="宋体" w:hAnsi="宋体" w:eastAsia="宋体" w:cs="宋体"/>
          <w:color w:val="auto"/>
          <w:kern w:val="0"/>
          <w:sz w:val="24"/>
          <w:szCs w:val="24"/>
        </w:rPr>
        <w:t>项目名称：</w:t>
      </w:r>
      <w:r>
        <w:rPr>
          <w:rFonts w:hint="eastAsia" w:ascii="宋体" w:hAnsi="宋体" w:eastAsia="宋体" w:cs="宋体"/>
          <w:color w:val="auto"/>
          <w:sz w:val="24"/>
          <w:szCs w:val="24"/>
          <w:u w:val="single"/>
        </w:rPr>
        <w:t xml:space="preserve">                             </w:t>
      </w:r>
      <w:r>
        <w:rPr>
          <w:rFonts w:hint="eastAsia" w:cs="Times New Roman" w:asciiTheme="minorEastAsia" w:hAnsiTheme="minorEastAsia" w:eastAsiaTheme="minorEastAsia"/>
          <w:i/>
          <w:iCs/>
          <w:color w:val="auto"/>
          <w:sz w:val="24"/>
          <w:szCs w:val="24"/>
        </w:rPr>
        <w:t>（分包项目须填写完整的分包号及分包名称）</w:t>
      </w:r>
    </w:p>
    <w:p w14:paraId="3D384426">
      <w:pPr>
        <w:pageBreakBefore w:val="0"/>
        <w:kinsoku/>
        <w:wordWrap/>
        <w:overflowPunct/>
        <w:topLinePunct w:val="0"/>
        <w:bidi w:val="0"/>
        <w:spacing w:line="360" w:lineRule="auto"/>
        <w:ind w:left="420" w:leftChars="200"/>
        <w:textAlignment w:val="auto"/>
        <w:rPr>
          <w:rFonts w:hint="eastAsia"/>
          <w:color w:val="auto"/>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合同编号：</w:t>
      </w:r>
      <w:r>
        <w:rPr>
          <w:rFonts w:hint="eastAsia" w:ascii="宋体" w:hAnsi="宋体" w:eastAsia="宋体" w:cs="宋体"/>
          <w:color w:val="auto"/>
          <w:sz w:val="24"/>
          <w:szCs w:val="24"/>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rPr>
      </w:pPr>
      <w:r>
        <w:rPr>
          <w:rFonts w:hint="eastAsia" w:cs="Times New Roman" w:asciiTheme="minorEastAsia" w:hAnsiTheme="minorEastAsia" w:eastAsiaTheme="minorEastAsia"/>
          <w:color w:val="auto"/>
          <w:sz w:val="24"/>
          <w:szCs w:val="24"/>
        </w:rPr>
        <w:t>甲方（采购人）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u w:val="single"/>
        </w:rPr>
      </w:pPr>
      <w:r>
        <w:rPr>
          <w:rFonts w:hint="eastAsia" w:cs="Times New Roman" w:asciiTheme="minorEastAsia" w:hAnsiTheme="minorEastAsia" w:eastAsiaTheme="minorEastAsia"/>
          <w:color w:val="auto"/>
          <w:sz w:val="24"/>
          <w:szCs w:val="24"/>
        </w:rPr>
        <w:t>乙方（中标人）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签订时间：</w:t>
      </w:r>
      <w:r>
        <w:rPr>
          <w:rFonts w:hint="eastAsia" w:ascii="宋体" w:hAnsi="宋体" w:eastAsia="宋体" w:cs="宋体"/>
          <w:color w:val="auto"/>
          <w:sz w:val="24"/>
          <w:szCs w:val="24"/>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color w:val="auto"/>
          <w:sz w:val="24"/>
          <w:szCs w:val="24"/>
        </w:rPr>
      </w:pPr>
    </w:p>
    <w:p w14:paraId="0BC445AB">
      <w:pPr>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D9DFCF4">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lang w:eastAsia="zh-CN"/>
        </w:rPr>
      </w:pPr>
      <w:bookmarkStart w:id="60" w:name="_Toc32537"/>
      <w:r>
        <w:rPr>
          <w:rFonts w:hint="eastAsia" w:cs="@仿宋_GB2312" w:asciiTheme="minorEastAsia" w:hAnsiTheme="minorEastAsia" w:eastAsiaTheme="minorEastAsia"/>
          <w:b/>
          <w:color w:val="auto"/>
          <w:sz w:val="24"/>
          <w:szCs w:val="20"/>
          <w:lang w:eastAsia="zh-CN"/>
        </w:rPr>
        <w:t>使</w:t>
      </w:r>
      <w:r>
        <w:rPr>
          <w:rFonts w:hint="eastAsia" w:cs="@仿宋_GB2312" w:asciiTheme="minorEastAsia" w:hAnsiTheme="minorEastAsia" w:eastAsiaTheme="minorEastAsia"/>
          <w:b/>
          <w:color w:val="auto"/>
          <w:sz w:val="24"/>
          <w:szCs w:val="20"/>
          <w:lang w:val="en-US" w:eastAsia="zh-CN"/>
        </w:rPr>
        <w:t xml:space="preserve"> </w:t>
      </w:r>
      <w:r>
        <w:rPr>
          <w:rFonts w:hint="eastAsia" w:cs="@仿宋_GB2312" w:asciiTheme="minorEastAsia" w:hAnsiTheme="minorEastAsia" w:eastAsiaTheme="minorEastAsia"/>
          <w:b/>
          <w:color w:val="auto"/>
          <w:sz w:val="24"/>
          <w:szCs w:val="20"/>
          <w:lang w:eastAsia="zh-CN"/>
        </w:rPr>
        <w:t>用</w:t>
      </w:r>
      <w:r>
        <w:rPr>
          <w:rFonts w:hint="eastAsia" w:cs="@仿宋_GB2312" w:asciiTheme="minorEastAsia" w:hAnsiTheme="minorEastAsia" w:eastAsiaTheme="minorEastAsia"/>
          <w:b/>
          <w:color w:val="auto"/>
          <w:sz w:val="24"/>
          <w:szCs w:val="20"/>
          <w:lang w:val="en-US" w:eastAsia="zh-CN"/>
        </w:rPr>
        <w:t xml:space="preserve"> </w:t>
      </w:r>
      <w:r>
        <w:rPr>
          <w:rFonts w:hint="eastAsia" w:cs="@仿宋_GB2312" w:asciiTheme="minorEastAsia" w:hAnsiTheme="minorEastAsia" w:eastAsiaTheme="minorEastAsia"/>
          <w:b/>
          <w:color w:val="auto"/>
          <w:sz w:val="24"/>
          <w:szCs w:val="20"/>
          <w:lang w:eastAsia="zh-CN"/>
        </w:rPr>
        <w:t>说</w:t>
      </w:r>
      <w:r>
        <w:rPr>
          <w:rFonts w:hint="eastAsia" w:cs="@仿宋_GB2312" w:asciiTheme="minorEastAsia" w:hAnsiTheme="minorEastAsia" w:eastAsiaTheme="minorEastAsia"/>
          <w:b/>
          <w:color w:val="auto"/>
          <w:sz w:val="24"/>
          <w:szCs w:val="20"/>
          <w:lang w:val="en-US" w:eastAsia="zh-CN"/>
        </w:rPr>
        <w:t xml:space="preserve"> </w:t>
      </w:r>
      <w:r>
        <w:rPr>
          <w:rFonts w:hint="eastAsia" w:cs="@仿宋_GB2312" w:asciiTheme="minorEastAsia" w:hAnsiTheme="minorEastAsia" w:eastAsiaTheme="minorEastAsia"/>
          <w:b/>
          <w:color w:val="auto"/>
          <w:sz w:val="24"/>
          <w:szCs w:val="20"/>
          <w:lang w:eastAsia="zh-CN"/>
        </w:rPr>
        <w:t>明</w:t>
      </w:r>
      <w:bookmarkEnd w:id="60"/>
    </w:p>
    <w:p w14:paraId="13898A2B">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p>
    <w:p w14:paraId="7A9A0C8F">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1.本合同标准文本适用于购买现成货物的采购项目，不包括需要供应商定制开发、创新研发的货物采购项目。</w:t>
      </w:r>
    </w:p>
    <w:p w14:paraId="5DD6D63A">
      <w:pPr>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2.本合同标准文本为政府采购货物买卖合同编制提供参考，可以结合采购项目具体情况，对文本作必要的调整修订后使用。</w:t>
      </w:r>
    </w:p>
    <w:p w14:paraId="5C459E3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3.本合同标准文本各条款中，如涉及填写多家供应商、制造商，多种采购标的、分包主要内容等信息的，可根据采购项目具体情况添加信息项。</w:t>
      </w:r>
    </w:p>
    <w:p w14:paraId="1A1458F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color w:val="auto"/>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AC8226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rPr>
      </w:pPr>
      <w:bookmarkStart w:id="61" w:name="_Toc22209"/>
      <w:bookmarkStart w:id="62" w:name="_Toc8867"/>
      <w:r>
        <w:rPr>
          <w:rFonts w:hint="eastAsia" w:cs="@仿宋_GB2312" w:asciiTheme="minorEastAsia" w:hAnsiTheme="minorEastAsia" w:eastAsiaTheme="minorEastAsia"/>
          <w:b/>
          <w:color w:val="auto"/>
          <w:sz w:val="24"/>
          <w:szCs w:val="20"/>
        </w:rPr>
        <w:t>第一节 政府采购合同协议书</w:t>
      </w:r>
      <w:bookmarkEnd w:id="61"/>
      <w:bookmarkEnd w:id="62"/>
    </w:p>
    <w:p w14:paraId="6249A37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rPr>
      </w:pPr>
    </w:p>
    <w:p w14:paraId="16DE112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eastAsia="zh-CN"/>
        </w:rPr>
        <w:t>、受采购人委托签订合同的单位</w:t>
      </w:r>
      <w:r>
        <w:rPr>
          <w:rFonts w:hint="eastAsia" w:ascii="宋体" w:hAnsi="宋体" w:eastAsia="宋体" w:cs="宋体"/>
          <w:color w:val="auto"/>
          <w:sz w:val="24"/>
          <w:szCs w:val="24"/>
        </w:rPr>
        <w:t>或采购</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文件约定的合同甲方）</w:t>
      </w:r>
    </w:p>
    <w:p w14:paraId="3D76E6B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w:t>
      </w:r>
    </w:p>
    <w:p w14:paraId="635380D7">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乙方2（全称）：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（联合体成员供应商或其他合同主体）（如有）</w:t>
      </w:r>
    </w:p>
    <w:p w14:paraId="31C8E89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lang w:val="en-US" w:eastAsia="zh-CN"/>
        </w:rPr>
        <w:t>3（全称）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（联合体成员供应商或其他合同主体）（如有）</w:t>
      </w:r>
    </w:p>
    <w:p w14:paraId="3F6AAAC2">
      <w:pPr>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lang w:val="en-US" w:eastAsia="zh-CN"/>
        </w:rPr>
      </w:pPr>
    </w:p>
    <w:p w14:paraId="55DF6642">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《中华人民共和国政府采购法》等有关的法律法规，以及</w:t>
      </w:r>
      <w:r>
        <w:rPr>
          <w:rFonts w:hint="eastAsia" w:ascii="宋体" w:hAnsi="宋体" w:eastAsia="宋体" w:cs="宋体"/>
          <w:i w:val="0"/>
          <w:iCs w:val="0"/>
          <w:color w:val="auto"/>
          <w:sz w:val="24"/>
          <w:szCs w:val="24"/>
          <w:u w:val="none"/>
          <w:lang w:eastAsia="zh-CN"/>
        </w:rPr>
        <w:t>本采购项目</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eastAsia="zh-CN"/>
        </w:rPr>
        <w:t>文件等</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乙方的《投标（响应）文件》及《中标（成交）通知书》，甲乙双方同意签订本合同。具体情况及要求如下：     </w:t>
      </w:r>
    </w:p>
    <w:p w14:paraId="0192DD0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项目信息</w:t>
      </w:r>
    </w:p>
    <w:p w14:paraId="7E8DA577">
      <w:pPr>
        <w:pStyle w:val="9"/>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single"/>
        </w:rPr>
        <w:t xml:space="preserve">                                          </w:t>
      </w:r>
    </w:p>
    <w:p w14:paraId="54CE0EFE">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采购项目编号：</w:t>
      </w:r>
      <w:r>
        <w:rPr>
          <w:rFonts w:hint="eastAsia" w:ascii="宋体" w:hAnsi="宋体" w:eastAsia="宋体" w:cs="宋体"/>
          <w:color w:val="auto"/>
          <w:sz w:val="24"/>
          <w:szCs w:val="24"/>
          <w:u w:val="single"/>
        </w:rPr>
        <w:t xml:space="preserve">                                          </w:t>
      </w:r>
    </w:p>
    <w:p w14:paraId="1B652F2C">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（2）采购计划编号：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AC804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14:paraId="119109A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采购标的及数量</w:t>
      </w:r>
      <w:r>
        <w:rPr>
          <w:rFonts w:hint="eastAsia" w:ascii="宋体" w:hAnsi="宋体" w:eastAsia="宋体" w:cs="宋体"/>
          <w:color w:val="auto"/>
          <w:sz w:val="24"/>
          <w:szCs w:val="24"/>
          <w:lang w:val="en-US" w:eastAsia="zh-CN"/>
        </w:rPr>
        <w:t>（台/套</w:t>
      </w:r>
      <w:r>
        <w:rPr>
          <w:rFonts w:hint="eastAsia" w:ascii="宋体" w:hAnsi="宋体" w:eastAsia="宋体" w:cs="宋体"/>
          <w:color w:val="auto"/>
          <w:sz w:val="24"/>
          <w:szCs w:val="24"/>
          <w:lang w:val="en" w:eastAsia="zh-CN"/>
        </w:rPr>
        <w:t>/个/架/组等</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7E199F5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 w:eastAsia="zh-CN"/>
        </w:rPr>
        <w:t xml:space="preserve">     </w:t>
      </w:r>
      <w:r>
        <w:rPr>
          <w:rFonts w:hint="eastAsia" w:ascii="宋体" w:hAnsi="宋体" w:eastAsia="宋体" w:cs="宋体"/>
          <w:color w:val="auto"/>
          <w:sz w:val="24"/>
          <w:szCs w:val="24"/>
          <w:lang w:val="en-US" w:eastAsia="zh-CN"/>
        </w:rPr>
        <w:t>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p>
    <w:p w14:paraId="5885EAC9">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0628852D">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①涉及信息类产品，请填写该产品关键部件的品牌、型号：</w:t>
      </w:r>
    </w:p>
    <w:p w14:paraId="59CF042D">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sz w:val="24"/>
          <w:szCs w:val="24"/>
          <w:lang w:val="en-US" w:eastAsia="zh-CN"/>
        </w:rPr>
        <w:t xml:space="preserve">     标的名称：</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 w:eastAsia="zh-CN"/>
        </w:rPr>
        <w:t xml:space="preserve">               </w:t>
      </w:r>
      <w:r>
        <w:rPr>
          <w:rFonts w:hint="eastAsia" w:ascii="宋体" w:hAnsi="宋体" w:eastAsia="宋体" w:cs="宋体"/>
          <w:color w:val="auto"/>
          <w:kern w:val="0"/>
          <w:sz w:val="24"/>
          <w:szCs w:val="24"/>
          <w:u w:val="single"/>
          <w:lang w:val="en-US" w:eastAsia="zh-CN"/>
        </w:rPr>
        <w:t xml:space="preserve">    </w:t>
      </w:r>
    </w:p>
    <w:p w14:paraId="2BC913F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关键部件：</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56C9677">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2"/>
          <w:sz w:val="24"/>
          <w:szCs w:val="24"/>
          <w:lang w:val="en-US" w:eastAsia="zh-CN"/>
        </w:rPr>
        <w:t>关键部件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86B9854">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关键部件：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p>
    <w:p w14:paraId="00334371">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750F200">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②涉及车辆采购，请填写是否属于新能源汽车：</w:t>
      </w:r>
    </w:p>
    <w:p w14:paraId="7F0145BD">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数量：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lang w:val="en-US" w:eastAsia="zh-CN"/>
        </w:rPr>
        <w:t xml:space="preserve"> </w:t>
      </w:r>
    </w:p>
    <w:p w14:paraId="78469241">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否</w:t>
      </w:r>
    </w:p>
    <w:p w14:paraId="5E2884D3">
      <w:pPr>
        <w:pStyle w:val="59"/>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lang w:val="en" w:eastAsia="zh-CN"/>
        </w:rPr>
        <w:t>4</w:t>
      </w:r>
      <w:r>
        <w:rPr>
          <w:rFonts w:hint="eastAsia" w:ascii="宋体" w:hAnsi="宋体" w:eastAsia="宋体" w:cs="宋体"/>
          <w:iCs w:val="0"/>
          <w:color w:val="auto"/>
          <w:sz w:val="24"/>
          <w:szCs w:val="24"/>
          <w:lang w:val="en-US" w:eastAsia="zh-CN"/>
        </w:rPr>
        <w:t>）政府采购组织形式：</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政府集中采购</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val="en-US" w:eastAsia="zh-CN"/>
        </w:rPr>
        <w:t xml:space="preserve">部门集中采购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val="en-US" w:eastAsia="zh-CN"/>
        </w:rPr>
        <w:t>分散采购</w:t>
      </w:r>
    </w:p>
    <w:p w14:paraId="06B93630">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w:t>
      </w:r>
      <w:r>
        <w:rPr>
          <w:rFonts w:hint="eastAsia" w:ascii="宋体" w:hAnsi="宋体" w:eastAsia="宋体" w:cs="宋体"/>
          <w:iCs w:val="0"/>
          <w:color w:val="auto"/>
          <w:sz w:val="24"/>
          <w:szCs w:val="24"/>
          <w:lang w:val="en" w:eastAsia="zh-CN"/>
        </w:rPr>
        <w:t>5</w:t>
      </w:r>
      <w:r>
        <w:rPr>
          <w:rFonts w:hint="eastAsia" w:ascii="宋体" w:hAnsi="宋体" w:eastAsia="宋体" w:cs="宋体"/>
          <w:iCs w:val="0"/>
          <w:color w:val="auto"/>
          <w:sz w:val="24"/>
          <w:szCs w:val="24"/>
          <w:lang w:val="en-US" w:eastAsia="zh-CN"/>
        </w:rPr>
        <w:t>）政府采购方式：</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公开招标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邀请招标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竞争性谈判</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竞争性磋商</w:t>
      </w:r>
    </w:p>
    <w:p w14:paraId="2C1BF4DA">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u w:val="singl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询价</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单一来源</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框架协议</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其他：</w:t>
      </w:r>
      <w:r>
        <w:rPr>
          <w:rFonts w:hint="eastAsia" w:ascii="宋体" w:hAnsi="宋体" w:eastAsia="宋体" w:cs="宋体"/>
          <w:iCs w:val="0"/>
          <w:color w:val="auto"/>
          <w:sz w:val="24"/>
          <w:szCs w:val="24"/>
          <w:u w:val="single"/>
          <w:lang w:val="en-US" w:eastAsia="zh-CN"/>
        </w:rPr>
        <w:t xml:space="preserve">          </w:t>
      </w:r>
    </w:p>
    <w:p w14:paraId="4F52D560">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u w:val="none"/>
          <w:lang w:val="en-US" w:eastAsia="zh-CN"/>
        </w:rPr>
      </w:pPr>
      <w:r>
        <w:rPr>
          <w:rFonts w:hint="eastAsia" w:ascii="宋体" w:hAnsi="宋体" w:eastAsia="宋体" w:cs="宋体"/>
          <w:iCs w:val="0"/>
          <w:color w:val="auto"/>
          <w:sz w:val="24"/>
          <w:szCs w:val="24"/>
          <w:u w:val="none"/>
          <w:lang w:val="en-US" w:eastAsia="zh-CN"/>
        </w:rPr>
        <w:t>（注：在框架协议采购的第二阶段，可选择使用该合同文本）</w:t>
      </w:r>
    </w:p>
    <w:p w14:paraId="77F6B326">
      <w:pPr>
        <w:pStyle w:val="59"/>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color w:val="auto"/>
          <w:w w:val="100"/>
          <w:kern w:val="2"/>
          <w:sz w:val="24"/>
          <w:szCs w:val="24"/>
          <w:lang w:val="en-US" w:eastAsia="zh-CN" w:bidi="ar-SA"/>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w w:val="100"/>
          <w:kern w:val="2"/>
          <w:sz w:val="24"/>
          <w:szCs w:val="24"/>
          <w:lang w:val="en-US" w:eastAsia="zh-CN" w:bidi="ar-SA"/>
        </w:rPr>
        <w:t>中标（成交）采购标的制造商是否为中小企业：</w:t>
      </w:r>
      <w:r>
        <w:rPr>
          <w:rFonts w:hint="eastAsia" w:ascii="宋体" w:hAnsi="宋体" w:eastAsia="宋体" w:cs="宋体"/>
          <w:color w:val="auto"/>
          <w:w w:val="100"/>
          <w:kern w:val="2"/>
          <w:sz w:val="24"/>
          <w:szCs w:val="24"/>
          <w:lang w:val="en-US" w:eastAsia="zh-CN" w:bidi="ar-SA"/>
        </w:rPr>
        <w:sym w:font="Wingdings" w:char="00A8"/>
      </w:r>
      <w:r>
        <w:rPr>
          <w:rFonts w:hint="eastAsia" w:ascii="宋体" w:hAnsi="宋体" w:eastAsia="宋体" w:cs="宋体"/>
          <w:color w:val="auto"/>
          <w:w w:val="100"/>
          <w:kern w:val="2"/>
          <w:sz w:val="24"/>
          <w:szCs w:val="24"/>
          <w:lang w:val="en-US" w:eastAsia="zh-CN" w:bidi="ar-SA"/>
        </w:rPr>
        <w:t xml:space="preserve">是      </w:t>
      </w:r>
      <w:r>
        <w:rPr>
          <w:rFonts w:hint="eastAsia" w:ascii="宋体" w:hAnsi="宋体" w:eastAsia="宋体" w:cs="宋体"/>
          <w:color w:val="auto"/>
          <w:w w:val="100"/>
          <w:kern w:val="2"/>
          <w:sz w:val="24"/>
          <w:szCs w:val="24"/>
          <w:lang w:val="en-US" w:eastAsia="zh-CN" w:bidi="ar-SA"/>
        </w:rPr>
        <w:sym w:font="Wingdings" w:char="00A8"/>
      </w:r>
      <w:r>
        <w:rPr>
          <w:rFonts w:hint="eastAsia" w:ascii="宋体" w:hAnsi="宋体" w:eastAsia="宋体" w:cs="宋体"/>
          <w:color w:val="auto"/>
          <w:w w:val="100"/>
          <w:kern w:val="2"/>
          <w:sz w:val="24"/>
          <w:szCs w:val="24"/>
          <w:lang w:val="en-US" w:eastAsia="zh-CN" w:bidi="ar-SA"/>
        </w:rPr>
        <w:t>否</w:t>
      </w:r>
    </w:p>
    <w:p w14:paraId="70F89113">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rPr>
      </w:pPr>
      <w:r>
        <w:rPr>
          <w:rFonts w:hint="eastAsia" w:ascii="宋体" w:hAnsi="宋体" w:eastAsia="宋体" w:cs="宋体"/>
          <w:color w:val="auto"/>
          <w:w w:val="100"/>
          <w:sz w:val="24"/>
          <w:szCs w:val="24"/>
          <w:lang w:val="en-US" w:eastAsia="zh-CN"/>
        </w:rPr>
        <w:t xml:space="preserve">         本合同</w:t>
      </w:r>
      <w:r>
        <w:rPr>
          <w:rFonts w:hint="eastAsia" w:ascii="宋体" w:hAnsi="宋体" w:eastAsia="宋体" w:cs="宋体"/>
          <w:color w:val="auto"/>
          <w:w w:val="100"/>
          <w:sz w:val="24"/>
          <w:szCs w:val="24"/>
        </w:rPr>
        <w:t>是否</w:t>
      </w:r>
      <w:r>
        <w:rPr>
          <w:rFonts w:hint="eastAsia" w:ascii="宋体" w:hAnsi="宋体" w:eastAsia="宋体" w:cs="宋体"/>
          <w:color w:val="auto"/>
          <w:w w:val="100"/>
          <w:sz w:val="24"/>
          <w:szCs w:val="24"/>
          <w:lang w:eastAsia="zh-CN"/>
        </w:rPr>
        <w:t>为专门面向</w:t>
      </w:r>
      <w:r>
        <w:rPr>
          <w:rFonts w:hint="eastAsia" w:ascii="宋体" w:hAnsi="宋体" w:eastAsia="宋体" w:cs="宋体"/>
          <w:color w:val="auto"/>
          <w:w w:val="100"/>
          <w:sz w:val="24"/>
          <w:szCs w:val="24"/>
        </w:rPr>
        <w:t>中小企业</w:t>
      </w:r>
      <w:r>
        <w:rPr>
          <w:rFonts w:hint="eastAsia" w:ascii="宋体" w:hAnsi="宋体" w:eastAsia="宋体" w:cs="宋体"/>
          <w:color w:val="auto"/>
          <w:w w:val="100"/>
          <w:sz w:val="24"/>
          <w:szCs w:val="24"/>
          <w:lang w:eastAsia="zh-CN"/>
        </w:rPr>
        <w:t>的采</w:t>
      </w:r>
      <w:r>
        <w:rPr>
          <w:rFonts w:hint="eastAsia" w:ascii="宋体" w:hAnsi="宋体" w:eastAsia="宋体" w:cs="宋体"/>
          <w:color w:val="auto"/>
          <w:w w:val="100"/>
          <w:sz w:val="24"/>
          <w:szCs w:val="24"/>
          <w:shd w:val="clear"/>
          <w:lang w:eastAsia="zh-CN"/>
        </w:rPr>
        <w:t>购</w:t>
      </w:r>
      <w:r>
        <w:rPr>
          <w:rFonts w:hint="eastAsia" w:ascii="宋体" w:hAnsi="宋体" w:eastAsia="宋体" w:cs="宋体"/>
          <w:color w:val="auto"/>
          <w:w w:val="100"/>
          <w:sz w:val="24"/>
          <w:szCs w:val="24"/>
          <w:shd w:val="clear"/>
        </w:rPr>
        <w:t>合同</w:t>
      </w:r>
      <w:r>
        <w:rPr>
          <w:rFonts w:hint="eastAsia" w:ascii="宋体" w:hAnsi="宋体" w:eastAsia="宋体" w:cs="宋体"/>
          <w:color w:val="auto"/>
          <w:w w:val="100"/>
          <w:sz w:val="24"/>
          <w:szCs w:val="24"/>
          <w:shd w:val="clear"/>
          <w:lang w:eastAsia="zh-CN"/>
        </w:rPr>
        <w:t>（中小企业预留合同）</w:t>
      </w:r>
      <w:r>
        <w:rPr>
          <w:rFonts w:hint="eastAsia" w:ascii="宋体" w:hAnsi="宋体" w:eastAsia="宋体" w:cs="宋体"/>
          <w:color w:val="auto"/>
          <w:sz w:val="24"/>
          <w:szCs w:val="24"/>
          <w:shd w:val="clear"/>
        </w:rPr>
        <w:t>：</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6301AA4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若本项目不专门面向中小企业采购，是否给予小微企业评审优惠：</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59B7856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中标（成交）采购标的制造商是否为残疾人福利性单位：</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260D4F8B">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中标（成交）采购标的制造商是否为监狱企业：</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1941269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 w:eastAsia="zh-CN"/>
        </w:rPr>
        <w:t>7</w:t>
      </w:r>
      <w:r>
        <w:rPr>
          <w:rFonts w:hint="eastAsia" w:ascii="宋体" w:hAnsi="宋体" w:eastAsia="宋体" w:cs="宋体"/>
          <w:color w:val="auto"/>
          <w:sz w:val="24"/>
          <w:szCs w:val="24"/>
        </w:rPr>
        <w:t>）合同是否分包：</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306D740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分包主要内容：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55A75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分包</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2675AA5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D73BC1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rPr>
        <w:t>：</w:t>
      </w:r>
    </w:p>
    <w:p w14:paraId="4E409858">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大型企业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中型企业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小微型企业</w:t>
      </w:r>
      <w:r>
        <w:rPr>
          <w:rFonts w:hint="eastAsia" w:ascii="宋体" w:hAnsi="宋体" w:eastAsia="宋体" w:cs="宋体"/>
          <w:iCs/>
          <w:color w:val="auto"/>
          <w:sz w:val="24"/>
          <w:szCs w:val="24"/>
          <w:lang w:val="en-US" w:eastAsia="zh-CN"/>
        </w:rPr>
        <w:t xml:space="preserve">  </w:t>
      </w:r>
    </w:p>
    <w:p w14:paraId="3B555FC9">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残疾人福利性单位</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监狱</w:t>
      </w:r>
      <w:r>
        <w:rPr>
          <w:rFonts w:hint="eastAsia" w:ascii="宋体" w:hAnsi="宋体" w:eastAsia="宋体" w:cs="宋体"/>
          <w:iCs/>
          <w:color w:val="auto"/>
          <w:sz w:val="24"/>
          <w:szCs w:val="24"/>
        </w:rPr>
        <w:t>企业</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其他</w:t>
      </w:r>
    </w:p>
    <w:p w14:paraId="041E96A7">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4E81743">
      <w:pPr>
        <w:pStyle w:val="59"/>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6F9224D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lang w:val="en" w:eastAsia="zh-CN"/>
        </w:rPr>
        <w:t>9</w:t>
      </w:r>
      <w:r>
        <w:rPr>
          <w:rFonts w:hint="eastAsia" w:ascii="宋体" w:hAnsi="宋体" w:eastAsia="宋体" w:cs="宋体"/>
          <w:b w:val="0"/>
          <w:bCs w:val="0"/>
          <w:color w:val="auto"/>
          <w:sz w:val="24"/>
          <w:szCs w:val="24"/>
          <w:u w:val="none"/>
          <w:lang w:val="en-US" w:eastAsia="zh-CN"/>
        </w:rPr>
        <w:t>）是否涉及进口产品：</w:t>
      </w:r>
    </w:p>
    <w:p w14:paraId="7FE192B0">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p>
    <w:p w14:paraId="3ECE4138">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rPr>
      </w:pPr>
      <w:r>
        <w:rPr>
          <w:rFonts w:hint="eastAsia" w:ascii="宋体" w:hAnsi="宋体" w:eastAsia="宋体" w:cs="宋体"/>
          <w:color w:val="auto"/>
          <w:sz w:val="24"/>
          <w:szCs w:val="24"/>
          <w:lang w:val="en-US" w:eastAsia="zh-CN"/>
        </w:rPr>
        <w:t xml:space="preserve">        国别：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rPr>
        <w:t xml:space="preserve">      </w:t>
      </w:r>
    </w:p>
    <w:p w14:paraId="2190743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否</w:t>
      </w:r>
    </w:p>
    <w:p w14:paraId="326E534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（1</w:t>
      </w:r>
      <w:r>
        <w:rPr>
          <w:rFonts w:hint="eastAsia" w:ascii="宋体" w:hAnsi="宋体" w:eastAsia="宋体" w:cs="宋体"/>
          <w:b w:val="0"/>
          <w:bCs w:val="0"/>
          <w:color w:val="auto"/>
          <w:sz w:val="24"/>
          <w:szCs w:val="24"/>
          <w:u w:val="none"/>
          <w:lang w:val="en" w:eastAsia="zh-CN"/>
        </w:rPr>
        <w:t>0</w:t>
      </w:r>
      <w:r>
        <w:rPr>
          <w:rFonts w:hint="eastAsia" w:ascii="宋体" w:hAnsi="宋体" w:eastAsia="宋体" w:cs="宋体"/>
          <w:b w:val="0"/>
          <w:bCs w:val="0"/>
          <w:color w:val="auto"/>
          <w:sz w:val="24"/>
          <w:szCs w:val="24"/>
          <w:u w:val="none"/>
          <w:lang w:val="en-US" w:eastAsia="zh-CN"/>
        </w:rPr>
        <w:t>）是否涉及节能产品：</w:t>
      </w:r>
    </w:p>
    <w:p w14:paraId="36C76BD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，《节能产品政府采购品目清单》的底级品目名称：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3FA7E16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7B08E22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p>
    <w:p w14:paraId="5F22A14F">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是否涉及环境标志产品：</w:t>
      </w:r>
    </w:p>
    <w:p w14:paraId="062053F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lang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，《环境标志产品政府采购品目清单》的底级品目名称：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2089887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23432BED">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p>
    <w:p w14:paraId="50ECD914">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kern w:val="2"/>
          <w:sz w:val="24"/>
          <w:szCs w:val="24"/>
          <w:u w:val="none"/>
          <w:lang w:val="en-US" w:eastAsia="zh-CN"/>
        </w:rPr>
        <w:t>是否涉及绿色产品：</w:t>
      </w:r>
      <w:r>
        <w:rPr>
          <w:rFonts w:hint="eastAsia" w:ascii="宋体" w:hAnsi="宋体" w:eastAsia="宋体" w:cs="宋体"/>
          <w:iCs w:val="0"/>
          <w:color w:val="auto"/>
          <w:kern w:val="2"/>
          <w:sz w:val="24"/>
          <w:szCs w:val="24"/>
          <w:u w:val="none"/>
          <w:lang w:val="en-US" w:eastAsia="zh-CN"/>
        </w:rPr>
        <w:t xml:space="preserve"> </w:t>
      </w:r>
    </w:p>
    <w:p w14:paraId="6F2799B2">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00A8"/>
      </w:r>
      <w:r>
        <w:rPr>
          <w:rFonts w:hint="eastAsia" w:ascii="宋体" w:hAnsi="宋体" w:eastAsia="宋体" w:cs="宋体"/>
          <w:iCs w:val="0"/>
          <w:color w:val="auto"/>
          <w:kern w:val="2"/>
          <w:sz w:val="24"/>
          <w:szCs w:val="24"/>
          <w:u w:val="none"/>
        </w:rPr>
        <w:t>是</w:t>
      </w:r>
      <w:r>
        <w:rPr>
          <w:rFonts w:hint="eastAsia" w:ascii="宋体" w:hAnsi="宋体" w:eastAsia="宋体" w:cs="宋体"/>
          <w:iCs w:val="0"/>
          <w:color w:val="auto"/>
          <w:kern w:val="2"/>
          <w:sz w:val="24"/>
          <w:szCs w:val="24"/>
          <w:u w:val="none"/>
          <w:lang w:eastAsia="zh-CN"/>
        </w:rPr>
        <w:t>，绿色产品政府采购相关政策确定的底级品目名称：</w:t>
      </w:r>
      <w:r>
        <w:rPr>
          <w:rFonts w:hint="eastAsia" w:ascii="宋体" w:hAnsi="宋体" w:eastAsia="宋体" w:cs="宋体"/>
          <w:color w:val="auto"/>
          <w:sz w:val="24"/>
          <w:szCs w:val="24"/>
          <w:u w:val="single"/>
          <w:lang w:val="en-US" w:eastAsia="zh-CN"/>
        </w:rPr>
        <w:t xml:space="preserve">         </w:t>
      </w:r>
    </w:p>
    <w:p w14:paraId="6699114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178973F8">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00A8"/>
      </w:r>
      <w:r>
        <w:rPr>
          <w:rFonts w:hint="eastAsia" w:ascii="宋体" w:hAnsi="宋体" w:eastAsia="宋体" w:cs="宋体"/>
          <w:iCs w:val="0"/>
          <w:color w:val="auto"/>
          <w:kern w:val="2"/>
          <w:sz w:val="24"/>
          <w:szCs w:val="24"/>
          <w:u w:val="none"/>
        </w:rPr>
        <w:t>否</w:t>
      </w:r>
    </w:p>
    <w:p w14:paraId="3157FF8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lang w:val="en" w:eastAsia="zh-CN"/>
        </w:rPr>
        <w:t>1</w:t>
      </w:r>
      <w:r>
        <w:rPr>
          <w:rFonts w:hint="eastAsia" w:ascii="宋体" w:hAnsi="宋体" w:eastAsia="宋体" w:cs="宋体"/>
          <w:color w:val="auto"/>
          <w:sz w:val="24"/>
          <w:szCs w:val="24"/>
          <w:lang w:val="en-US" w:eastAsia="zh-CN"/>
        </w:rPr>
        <w:t>）涉及商品包装和快递包装的，是否参考</w:t>
      </w:r>
      <w:r>
        <w:rPr>
          <w:rFonts w:hint="eastAsia" w:ascii="宋体" w:hAnsi="宋体" w:eastAsia="宋体" w:cs="宋体"/>
          <w:color w:val="auto"/>
          <w:sz w:val="24"/>
          <w:szCs w:val="24"/>
        </w:rPr>
        <w:t>《商品包装政府采购需求标准（试行）》、《快递包装政府采购需求标准（试行）》</w:t>
      </w:r>
      <w:r>
        <w:rPr>
          <w:rFonts w:hint="eastAsia" w:ascii="宋体" w:hAnsi="宋体" w:eastAsia="宋体" w:cs="宋体"/>
          <w:color w:val="auto"/>
          <w:sz w:val="24"/>
          <w:szCs w:val="24"/>
          <w:lang w:eastAsia="zh-CN"/>
        </w:rPr>
        <w:t>明确产品及相关快递服务的具体包装要求：</w:t>
      </w:r>
    </w:p>
    <w:p w14:paraId="17250C3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 xml:space="preserve">是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不涉及</w:t>
      </w:r>
    </w:p>
    <w:p w14:paraId="4199C56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525E54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（1）合同金额小写：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D04DB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CBEEA8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分包金额</w:t>
      </w:r>
      <w:r>
        <w:rPr>
          <w:rFonts w:hint="eastAsia" w:ascii="宋体" w:hAnsi="宋体" w:eastAsia="宋体" w:cs="宋体"/>
          <w:color w:val="auto"/>
          <w:sz w:val="24"/>
          <w:szCs w:val="24"/>
          <w:lang w:eastAsia="zh-CN"/>
        </w:rPr>
        <w:t>（如有）</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p>
    <w:p w14:paraId="51AEFC4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B150E9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（注：固定单价合同应填写单价和最高限价）</w:t>
      </w:r>
    </w:p>
    <w:p w14:paraId="6ACDB8AC">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合同定价方式</w:t>
      </w:r>
      <w:r>
        <w:rPr>
          <w:rFonts w:hint="eastAsia" w:ascii="宋体" w:hAnsi="宋体" w:eastAsia="宋体" w:cs="宋体"/>
          <w:color w:val="auto"/>
          <w:sz w:val="24"/>
          <w:szCs w:val="24"/>
          <w:lang w:eastAsia="zh-CN"/>
        </w:rPr>
        <w:t>（采用组合定价方式的，可以勾选多项）</w:t>
      </w:r>
      <w:r>
        <w:rPr>
          <w:rFonts w:hint="eastAsia" w:ascii="宋体" w:hAnsi="宋体" w:eastAsia="宋体" w:cs="宋体"/>
          <w:color w:val="auto"/>
          <w:sz w:val="24"/>
          <w:szCs w:val="24"/>
        </w:rPr>
        <w:t>：</w:t>
      </w:r>
    </w:p>
    <w:p w14:paraId="4522CF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固定总价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固定单价</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固定费率</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成本补偿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绩效激励</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其他</w:t>
      </w:r>
      <w:r>
        <w:rPr>
          <w:rFonts w:hint="eastAsia" w:ascii="宋体" w:hAnsi="宋体" w:eastAsia="宋体" w:cs="宋体"/>
          <w:color w:val="auto"/>
          <w:sz w:val="24"/>
          <w:szCs w:val="24"/>
          <w:u w:val="single"/>
        </w:rPr>
        <w:t xml:space="preserve">       </w:t>
      </w:r>
    </w:p>
    <w:p w14:paraId="368A12BA">
      <w:pPr>
        <w:pStyle w:val="6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）付款方式（按项目实际勾选填写）：</w:t>
      </w:r>
    </w:p>
    <w:p w14:paraId="3770A1FC">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全额付款：</w:t>
      </w:r>
      <w:r>
        <w:rPr>
          <w:rFonts w:hint="eastAsia" w:ascii="宋体" w:hAnsi="宋体" w:eastAsia="宋体" w:cs="宋体"/>
          <w:color w:val="auto"/>
          <w:sz w:val="24"/>
          <w:szCs w:val="24"/>
          <w:u w:val="single"/>
        </w:rPr>
        <w:t xml:space="preserve">     （应</w:t>
      </w:r>
      <w:r>
        <w:rPr>
          <w:rFonts w:hint="eastAsia" w:ascii="宋体" w:hAnsi="宋体" w:eastAsia="宋体" w:cs="宋体"/>
          <w:color w:val="auto"/>
          <w:sz w:val="24"/>
          <w:szCs w:val="24"/>
          <w:u w:val="single"/>
          <w:lang w:eastAsia="zh-CN"/>
        </w:rPr>
        <w:t>明确</w:t>
      </w:r>
      <w:r>
        <w:rPr>
          <w:rFonts w:hint="eastAsia" w:ascii="宋体" w:hAnsi="宋体" w:eastAsia="宋体" w:cs="宋体"/>
          <w:color w:val="auto"/>
          <w:sz w:val="24"/>
          <w:szCs w:val="24"/>
          <w:u w:val="single"/>
        </w:rPr>
        <w:t>一次性支付合同款项</w:t>
      </w:r>
      <w:r>
        <w:rPr>
          <w:rFonts w:hint="eastAsia" w:ascii="宋体" w:hAnsi="宋体" w:eastAsia="宋体" w:cs="宋体"/>
          <w:color w:val="auto"/>
          <w:sz w:val="24"/>
          <w:szCs w:val="24"/>
          <w:u w:val="single"/>
          <w:lang w:eastAsia="zh-CN"/>
        </w:rPr>
        <w:t>的条件</w:t>
      </w:r>
      <w:r>
        <w:rPr>
          <w:rFonts w:hint="eastAsia" w:ascii="宋体" w:hAnsi="宋体" w:eastAsia="宋体" w:cs="宋体"/>
          <w:color w:val="auto"/>
          <w:sz w:val="24"/>
          <w:szCs w:val="24"/>
          <w:u w:val="single"/>
        </w:rPr>
        <w:t xml:space="preserve">）                    </w:t>
      </w:r>
    </w:p>
    <w:p w14:paraId="4939359A">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分期付款：</w:t>
      </w:r>
      <w:r>
        <w:rPr>
          <w:rFonts w:hint="eastAsia" w:ascii="宋体" w:hAnsi="宋体" w:eastAsia="宋体" w:cs="宋体"/>
          <w:color w:val="auto"/>
          <w:sz w:val="24"/>
          <w:szCs w:val="24"/>
          <w:u w:val="single"/>
        </w:rPr>
        <w:t xml:space="preserve">  （应明确分期支付合同款项的各期比例和支付条件</w:t>
      </w:r>
      <w:r>
        <w:rPr>
          <w:rFonts w:hint="eastAsia" w:ascii="宋体" w:hAnsi="宋体" w:eastAsia="宋体" w:cs="宋体"/>
          <w:color w:val="auto"/>
          <w:sz w:val="24"/>
          <w:szCs w:val="24"/>
          <w:u w:val="single"/>
          <w:lang w:eastAsia="zh-CN"/>
        </w:rPr>
        <w:t>，各期支付条件应与分期履约验收情况挂钩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lang w:eastAsia="zh-CN"/>
        </w:rPr>
        <w:t>其中涉及预付款的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（应明确预付款的支付比例和支付条件） </w:t>
      </w:r>
    </w:p>
    <w:p w14:paraId="5B69929F">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成本补偿：</w:t>
      </w:r>
      <w:r>
        <w:rPr>
          <w:rFonts w:hint="eastAsia" w:ascii="宋体" w:hAnsi="宋体" w:eastAsia="宋体" w:cs="宋体"/>
          <w:color w:val="auto"/>
          <w:sz w:val="24"/>
          <w:szCs w:val="24"/>
          <w:u w:val="single"/>
        </w:rPr>
        <w:t xml:space="preserve">      （应明确按照成本补偿方式的支付方式和支付条件）   </w:t>
      </w:r>
    </w:p>
    <w:p w14:paraId="05F2D4E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绩效激励：</w:t>
      </w:r>
      <w:r>
        <w:rPr>
          <w:rFonts w:hint="eastAsia" w:ascii="宋体" w:hAnsi="宋体" w:eastAsia="宋体" w:cs="宋体"/>
          <w:color w:val="auto"/>
          <w:sz w:val="24"/>
          <w:szCs w:val="24"/>
          <w:u w:val="single"/>
        </w:rPr>
        <w:t xml:space="preserve">      （应明确按照绩效激励方式的支付方式和支付条件）   </w:t>
      </w:r>
    </w:p>
    <w:p w14:paraId="1D5AC2A2">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rPr>
        <w:t>合同履行</w:t>
      </w:r>
    </w:p>
    <w:p w14:paraId="20A4374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（1）起始日期：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日，完成日期：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6CD59A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履约</w:t>
      </w:r>
      <w:r>
        <w:rPr>
          <w:rFonts w:hint="eastAsia" w:ascii="宋体" w:hAnsi="宋体" w:eastAsia="宋体" w:cs="宋体"/>
          <w:color w:val="auto"/>
          <w:sz w:val="24"/>
          <w:szCs w:val="24"/>
        </w:rPr>
        <w:t>地点</w:t>
      </w:r>
      <w:r>
        <w:rPr>
          <w:rFonts w:hint="eastAsia" w:ascii="宋体" w:hAnsi="宋体" w:eastAsia="宋体" w:cs="宋体"/>
          <w:b w:val="0"/>
          <w:bCs/>
          <w:color w:val="auto"/>
          <w:sz w:val="24"/>
          <w:szCs w:val="24"/>
        </w:rPr>
        <w:t>：</w:t>
      </w:r>
      <w:r>
        <w:rPr>
          <w:rFonts w:hint="eastAsia" w:ascii="宋体" w:hAnsi="宋体" w:eastAsia="宋体" w:cs="宋体"/>
          <w:color w:val="auto"/>
          <w:sz w:val="24"/>
          <w:szCs w:val="24"/>
          <w:u w:val="single"/>
        </w:rPr>
        <w:t xml:space="preserve">                             </w:t>
      </w:r>
    </w:p>
    <w:p w14:paraId="0FED1C4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（3）履约担保：</w:t>
      </w:r>
      <w:r>
        <w:rPr>
          <w:rFonts w:hint="eastAsia" w:ascii="宋体" w:hAnsi="宋体" w:eastAsia="宋体" w:cs="宋体"/>
          <w:color w:val="auto"/>
          <w:sz w:val="24"/>
          <w:szCs w:val="24"/>
          <w:lang w:val="en-US" w:eastAsia="zh-CN"/>
        </w:rPr>
        <w:t>是否收取履约保证金：</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lang w:eastAsia="zh-CN"/>
        </w:rPr>
        <w:t>否</w:t>
      </w:r>
    </w:p>
    <w:p w14:paraId="52CF0434">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color w:val="auto"/>
          <w:sz w:val="24"/>
          <w:szCs w:val="24"/>
          <w:lang w:val="en-US" w:eastAsia="zh-CN"/>
        </w:rPr>
        <w:t xml:space="preserve">  收取履约保证金形式：</w:t>
      </w:r>
      <w:r>
        <w:rPr>
          <w:rFonts w:hint="eastAsia" w:ascii="宋体" w:hAnsi="宋体" w:eastAsia="宋体" w:cs="宋体"/>
          <w:bCs/>
          <w:color w:val="auto"/>
          <w:sz w:val="24"/>
          <w:szCs w:val="24"/>
          <w:u w:val="single"/>
        </w:rPr>
        <w:t xml:space="preserve">                            </w:t>
      </w:r>
    </w:p>
    <w:p w14:paraId="7276231C">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收取履约保证金金额：</w:t>
      </w:r>
      <w:r>
        <w:rPr>
          <w:rFonts w:hint="eastAsia" w:ascii="宋体" w:hAnsi="宋体" w:eastAsia="宋体" w:cs="宋体"/>
          <w:bCs/>
          <w:color w:val="auto"/>
          <w:sz w:val="24"/>
          <w:szCs w:val="24"/>
          <w:u w:val="single"/>
        </w:rPr>
        <w:t xml:space="preserve">                            </w:t>
      </w:r>
    </w:p>
    <w:p w14:paraId="43326420">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履约担保期限</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04ABA7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（4）分期履行要求：</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34CEDE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eastAsia="zh-CN"/>
        </w:rPr>
        <w:t>风险处置措施和替代方案</w:t>
      </w:r>
      <w:r>
        <w:rPr>
          <w:rFonts w:hint="eastAsia" w:ascii="宋体" w:hAnsi="宋体" w:eastAsia="宋体" w:cs="宋体"/>
          <w:bCs/>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p>
    <w:p w14:paraId="21431EF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合同验收</w:t>
      </w:r>
    </w:p>
    <w:p w14:paraId="7AC62BB9">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验收组织方式：</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自行组织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委托第三方组织</w:t>
      </w:r>
    </w:p>
    <w:p w14:paraId="4204E435">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验收主体：</w:t>
      </w:r>
      <w:r>
        <w:rPr>
          <w:rFonts w:hint="eastAsia" w:ascii="宋体" w:hAnsi="宋体" w:eastAsia="宋体" w:cs="宋体"/>
          <w:bCs/>
          <w:color w:val="auto"/>
          <w:sz w:val="24"/>
          <w:szCs w:val="24"/>
          <w:u w:val="single"/>
        </w:rPr>
        <w:t xml:space="preserve">                  </w:t>
      </w:r>
    </w:p>
    <w:p w14:paraId="618473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是否邀请本项目的其他供应商</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51F8CCE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是否邀请专家</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606F0D3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是否邀请服务对象</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4AE18EB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是否邀请第三方检测机构</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174F6C0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是否进行抽查检测：</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，抽查比例：</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00FA2CB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lang w:val="en-US" w:eastAsia="zh-CN"/>
        </w:rPr>
        <w:t>是否存在破坏性检测：</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lang w:eastAsia="zh-CN"/>
        </w:rPr>
        <w:t>（应明确对被破坏的检测产品的处理方式）</w:t>
      </w:r>
    </w:p>
    <w:p w14:paraId="1D738EA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6206296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验收组织的其他事项：</w:t>
      </w:r>
      <w:r>
        <w:rPr>
          <w:rFonts w:hint="eastAsia" w:ascii="宋体" w:hAnsi="宋体" w:eastAsia="宋体" w:cs="宋体"/>
          <w:bCs/>
          <w:color w:val="auto"/>
          <w:sz w:val="24"/>
          <w:szCs w:val="24"/>
          <w:u w:val="single"/>
        </w:rPr>
        <w:t xml:space="preserve">                </w:t>
      </w:r>
    </w:p>
    <w:p w14:paraId="66FACE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（2）履约验收时间：</w:t>
      </w:r>
      <w:r>
        <w:rPr>
          <w:rFonts w:hint="eastAsia" w:ascii="宋体" w:hAnsi="宋体" w:eastAsia="宋体" w:cs="宋体"/>
          <w:bCs/>
          <w:color w:val="auto"/>
          <w:sz w:val="24"/>
          <w:szCs w:val="24"/>
          <w:u w:val="single"/>
        </w:rPr>
        <w:t>（计划于何时验收/供应商提出验收申请之日起   日内组织验收）</w:t>
      </w:r>
      <w:r>
        <w:rPr>
          <w:rFonts w:hint="eastAsia" w:ascii="宋体" w:hAnsi="宋体" w:eastAsia="宋体" w:cs="宋体"/>
          <w:bCs/>
          <w:color w:val="auto"/>
          <w:sz w:val="24"/>
          <w:szCs w:val="24"/>
          <w:u w:val="single"/>
          <w:lang w:val="en-US" w:eastAsia="zh-CN"/>
        </w:rPr>
        <w:t xml:space="preserve"> </w:t>
      </w:r>
    </w:p>
    <w:p w14:paraId="3EFE26E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（3）履约验收方式：</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一次性验收         </w:t>
      </w:r>
    </w:p>
    <w:p w14:paraId="744F5EA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分期/分项验收</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（应明确分期</w:t>
      </w:r>
      <w:r>
        <w:rPr>
          <w:rFonts w:hint="eastAsia" w:ascii="宋体" w:hAnsi="宋体" w:eastAsia="宋体" w:cs="宋体"/>
          <w:bCs/>
          <w:color w:val="auto"/>
          <w:sz w:val="24"/>
          <w:szCs w:val="24"/>
          <w:u w:val="single"/>
          <w:lang w:val="en" w:eastAsia="zh-CN"/>
        </w:rPr>
        <w:t>/分项验收的工作安排</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p>
    <w:p w14:paraId="40633E7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（4）履约验收程序：</w:t>
      </w:r>
      <w:r>
        <w:rPr>
          <w:rFonts w:hint="eastAsia" w:ascii="宋体" w:hAnsi="宋体" w:eastAsia="宋体" w:cs="宋体"/>
          <w:bCs/>
          <w:color w:val="auto"/>
          <w:sz w:val="24"/>
          <w:szCs w:val="24"/>
          <w:u w:val="single"/>
        </w:rPr>
        <w:t xml:space="preserve">                                         </w:t>
      </w:r>
    </w:p>
    <w:p w14:paraId="4AC2555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（5）履约验收的内容：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u w:val="single"/>
        </w:rPr>
        <w:t xml:space="preserve">                                      </w:t>
      </w:r>
    </w:p>
    <w:p w14:paraId="2B5E0D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（6）履约验收标准：</w:t>
      </w:r>
      <w:r>
        <w:rPr>
          <w:rFonts w:hint="eastAsia" w:ascii="宋体" w:hAnsi="宋体" w:eastAsia="宋体" w:cs="宋体"/>
          <w:bCs/>
          <w:color w:val="auto"/>
          <w:sz w:val="24"/>
          <w:szCs w:val="24"/>
          <w:u w:val="single"/>
        </w:rPr>
        <w:t xml:space="preserve">                                         </w:t>
      </w:r>
    </w:p>
    <w:p w14:paraId="41F5F689">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lang w:val="en-US" w:eastAsia="zh-CN"/>
        </w:rPr>
        <w:t>7</w:t>
      </w:r>
      <w:r>
        <w:rPr>
          <w:rFonts w:hint="eastAsia" w:ascii="宋体" w:hAnsi="宋体" w:eastAsia="宋体" w:cs="宋体"/>
          <w:bCs/>
          <w:color w:val="auto"/>
          <w:sz w:val="24"/>
          <w:szCs w:val="24"/>
          <w:u w:val="none"/>
          <w:lang w:eastAsia="zh-CN"/>
        </w:rPr>
        <w:t>）是否以采购活动中供应商提供的样品作为参考：</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12923F3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（8）履约验收其他事项：</w:t>
      </w:r>
      <w:r>
        <w:rPr>
          <w:rFonts w:hint="eastAsia" w:ascii="宋体" w:hAnsi="宋体" w:eastAsia="宋体" w:cs="宋体"/>
          <w:bCs/>
          <w:color w:val="auto"/>
          <w:sz w:val="24"/>
          <w:szCs w:val="24"/>
          <w:u w:val="single"/>
        </w:rPr>
        <w:t xml:space="preserve">      </w:t>
      </w:r>
      <w:r>
        <w:rPr>
          <w:rFonts w:hint="eastAsia" w:ascii="宋体" w:hAnsi="宋体" w:eastAsia="宋体" w:cs="宋体"/>
          <w:bCs/>
          <w:i w:val="0"/>
          <w:iCs w:val="0"/>
          <w:color w:val="auto"/>
          <w:sz w:val="24"/>
          <w:szCs w:val="24"/>
          <w:u w:val="single"/>
        </w:rPr>
        <w:t>（产权过户登记等）</w:t>
      </w:r>
      <w:r>
        <w:rPr>
          <w:rFonts w:hint="eastAsia" w:ascii="宋体" w:hAnsi="宋体" w:eastAsia="宋体" w:cs="宋体"/>
          <w:bCs/>
          <w:color w:val="auto"/>
          <w:sz w:val="24"/>
          <w:szCs w:val="24"/>
          <w:u w:val="single"/>
        </w:rPr>
        <w:t xml:space="preserve">          </w:t>
      </w:r>
    </w:p>
    <w:p w14:paraId="18E1306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组成合同的文件</w:t>
      </w:r>
    </w:p>
    <w:p w14:paraId="5500EE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2ADFA49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0092542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）政府采购合同专用条款</w:t>
      </w:r>
    </w:p>
    <w:p w14:paraId="1822805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）政府采购合同通用条款</w:t>
      </w:r>
    </w:p>
    <w:p w14:paraId="3A486C8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4A072DD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）投标（响应）文件</w:t>
      </w:r>
    </w:p>
    <w:p w14:paraId="74FE4BB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14:paraId="2459D0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14:paraId="1AB92E46">
      <w:pPr>
        <w:pStyle w:val="59"/>
        <w:pageBreakBefore w:val="0"/>
        <w:kinsoku/>
        <w:wordWrap/>
        <w:overflowPunct/>
        <w:topLinePunct w:val="0"/>
        <w:bidi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5680C2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合同生效</w:t>
      </w:r>
    </w:p>
    <w:p w14:paraId="741CBD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生效。</w:t>
      </w:r>
    </w:p>
    <w:p w14:paraId="2FD6FFC3">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合同份数</w:t>
      </w:r>
    </w:p>
    <w:p w14:paraId="2EEC708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份，均具有同等法律效力。</w:t>
      </w:r>
    </w:p>
    <w:p w14:paraId="4C67AC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E7A3F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合同订立地点：</w:t>
      </w:r>
      <w:r>
        <w:rPr>
          <w:rFonts w:hint="eastAsia" w:ascii="宋体" w:hAnsi="宋体" w:eastAsia="宋体" w:cs="宋体"/>
          <w:color w:val="auto"/>
          <w:sz w:val="24"/>
          <w:szCs w:val="24"/>
          <w:u w:val="single"/>
        </w:rPr>
        <w:t xml:space="preserve">                           </w:t>
      </w:r>
    </w:p>
    <w:p w14:paraId="640509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附件：具体标</w:t>
      </w:r>
      <w:r>
        <w:rPr>
          <w:rFonts w:hint="eastAsia" w:ascii="宋体" w:hAnsi="宋体" w:eastAsia="宋体" w:cs="宋体"/>
          <w:color w:val="auto"/>
          <w:sz w:val="24"/>
          <w:szCs w:val="24"/>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rPr>
        <w:t>、联合协议、分包</w:t>
      </w:r>
      <w:r>
        <w:rPr>
          <w:rFonts w:hint="eastAsia" w:ascii="宋体" w:hAnsi="宋体" w:eastAsia="宋体" w:cs="宋体"/>
          <w:color w:val="auto"/>
          <w:sz w:val="24"/>
          <w:szCs w:val="24"/>
          <w:lang w:eastAsia="zh-CN"/>
        </w:rPr>
        <w:t>意向</w:t>
      </w:r>
      <w:r>
        <w:rPr>
          <w:rFonts w:hint="eastAsia" w:ascii="宋体" w:hAnsi="宋体" w:eastAsia="宋体" w:cs="宋体"/>
          <w:color w:val="auto"/>
          <w:sz w:val="24"/>
          <w:szCs w:val="24"/>
        </w:rPr>
        <w:t>协议等。</w:t>
      </w:r>
    </w:p>
    <w:p w14:paraId="63A5A87B">
      <w:pPr>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0289C18">
      <w:pPr>
        <w:pStyle w:val="60"/>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24617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1F113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lang w:eastAsia="zh-CN"/>
              </w:rPr>
              <w:t>、受采购人委托签订合同的单位</w:t>
            </w:r>
            <w:r>
              <w:rPr>
                <w:rFonts w:hint="eastAsia" w:ascii="宋体" w:hAnsi="宋体" w:eastAsia="宋体" w:cs="宋体"/>
                <w:color w:val="auto"/>
                <w:sz w:val="24"/>
                <w:szCs w:val="24"/>
              </w:rPr>
              <w:t>或采购文件约定的合同甲方）</w:t>
            </w:r>
          </w:p>
        </w:tc>
        <w:tc>
          <w:tcPr>
            <w:tcW w:w="2437" w:type="pct"/>
            <w:gridSpan w:val="2"/>
            <w:tcBorders>
              <w:left w:val="single" w:color="auto" w:sz="2" w:space="0"/>
              <w:bottom w:val="single" w:color="auto" w:sz="2" w:space="0"/>
            </w:tcBorders>
            <w:vAlign w:val="center"/>
          </w:tcPr>
          <w:p w14:paraId="798DD8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乙方（供应商）</w:t>
            </w:r>
          </w:p>
        </w:tc>
      </w:tr>
      <w:tr w14:paraId="01AC5F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0ACFB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40360E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68720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259" w:type="pct"/>
            <w:tcBorders>
              <w:top w:val="single" w:color="auto" w:sz="2" w:space="0"/>
              <w:left w:val="single" w:color="auto" w:sz="2" w:space="0"/>
              <w:bottom w:val="single" w:color="auto" w:sz="2" w:space="0"/>
            </w:tcBorders>
            <w:vAlign w:val="center"/>
          </w:tcPr>
          <w:p w14:paraId="73A212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4617A9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FB103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1E1D5978">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C2D54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right w:val="single" w:color="auto" w:sz="2" w:space="0"/>
            </w:tcBorders>
            <w:vAlign w:val="center"/>
          </w:tcPr>
          <w:p w14:paraId="2B918F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429B7C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0E4459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r>
      <w:tr w14:paraId="31108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84F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436" w:type="pct"/>
            <w:vMerge w:val="continue"/>
            <w:tcBorders>
              <w:left w:val="single" w:color="auto" w:sz="2" w:space="0"/>
              <w:bottom w:val="single" w:color="auto" w:sz="2" w:space="0"/>
              <w:right w:val="single" w:color="auto" w:sz="2" w:space="0"/>
            </w:tcBorders>
            <w:vAlign w:val="center"/>
          </w:tcPr>
          <w:p w14:paraId="0AEB1E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E1AB2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276E24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0E49FD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694A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B44B2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6143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42B8A6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7DC63A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CCA6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D3E2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14042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259" w:type="pct"/>
            <w:tcBorders>
              <w:top w:val="single" w:color="auto" w:sz="2" w:space="0"/>
              <w:left w:val="single" w:color="auto" w:sz="2" w:space="0"/>
              <w:bottom w:val="single" w:color="auto" w:sz="2" w:space="0"/>
            </w:tcBorders>
            <w:vAlign w:val="center"/>
          </w:tcPr>
          <w:p w14:paraId="172C37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355980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CA23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41B9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4E4E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259" w:type="pct"/>
            <w:tcBorders>
              <w:top w:val="single" w:color="auto" w:sz="2" w:space="0"/>
              <w:left w:val="single" w:color="auto" w:sz="2" w:space="0"/>
              <w:bottom w:val="single" w:color="auto" w:sz="2" w:space="0"/>
            </w:tcBorders>
            <w:vAlign w:val="center"/>
          </w:tcPr>
          <w:p w14:paraId="3A795B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63A3B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A281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D22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925A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5D5B0A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1DD5F4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58F8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9497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492E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259" w:type="pct"/>
            <w:tcBorders>
              <w:top w:val="single" w:color="auto" w:sz="2" w:space="0"/>
              <w:left w:val="single" w:color="auto" w:sz="2" w:space="0"/>
              <w:bottom w:val="single" w:color="auto" w:sz="2" w:space="0"/>
            </w:tcBorders>
            <w:vAlign w:val="center"/>
          </w:tcPr>
          <w:p w14:paraId="592C65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1979C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6D5C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FA667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A0C58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259" w:type="pct"/>
            <w:tcBorders>
              <w:top w:val="single" w:color="auto" w:sz="2" w:space="0"/>
              <w:left w:val="single" w:color="auto" w:sz="2" w:space="0"/>
              <w:bottom w:val="single" w:color="auto" w:sz="2" w:space="0"/>
            </w:tcBorders>
            <w:vAlign w:val="center"/>
          </w:tcPr>
          <w:p w14:paraId="77A629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071344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E3B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2E41A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E8859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1587E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5139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2FE9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20674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930A2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tc>
        <w:tc>
          <w:tcPr>
            <w:tcW w:w="1259" w:type="pct"/>
            <w:tcBorders>
              <w:top w:val="single" w:color="auto" w:sz="2" w:space="0"/>
              <w:left w:val="single" w:color="auto" w:sz="2" w:space="0"/>
              <w:bottom w:val="single" w:color="auto" w:sz="2" w:space="0"/>
            </w:tcBorders>
            <w:vAlign w:val="center"/>
          </w:tcPr>
          <w:p w14:paraId="00442A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1F4842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1FB0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106FA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B6D5A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259" w:type="pct"/>
            <w:tcBorders>
              <w:top w:val="single" w:color="auto" w:sz="2" w:space="0"/>
              <w:left w:val="single" w:color="auto" w:sz="2" w:space="0"/>
              <w:bottom w:val="single" w:color="auto" w:sz="2" w:space="0"/>
            </w:tcBorders>
            <w:vAlign w:val="center"/>
          </w:tcPr>
          <w:p w14:paraId="215B36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0A295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51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38701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5E0A0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tc>
        <w:tc>
          <w:tcPr>
            <w:tcW w:w="1259" w:type="pct"/>
            <w:tcBorders>
              <w:top w:val="single" w:color="auto" w:sz="2" w:space="0"/>
              <w:left w:val="single" w:color="auto" w:sz="2" w:space="0"/>
              <w:bottom w:val="single" w:color="auto" w:sz="2" w:space="0"/>
            </w:tcBorders>
            <w:vAlign w:val="center"/>
          </w:tcPr>
          <w:p w14:paraId="4C311D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rPr>
            </w:pPr>
          </w:p>
        </w:tc>
      </w:tr>
      <w:tr w14:paraId="2E0E4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334BD0E">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color w:val="auto"/>
                <w:spacing w:val="20"/>
                <w:sz w:val="24"/>
                <w:szCs w:val="24"/>
              </w:rPr>
            </w:pPr>
            <w:r>
              <w:rPr>
                <w:rFonts w:hint="eastAsia" w:ascii="宋体" w:hAnsi="宋体" w:eastAsia="宋体" w:cs="宋体"/>
                <w:color w:val="auto"/>
                <w:sz w:val="24"/>
                <w:szCs w:val="24"/>
              </w:rPr>
              <w:t>注：涉及联合体或其他合同主体的信息应按上表格式加列。</w:t>
            </w:r>
          </w:p>
        </w:tc>
      </w:tr>
    </w:tbl>
    <w:p w14:paraId="33AE4F50">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63" w:name="_Toc3171"/>
      <w:bookmarkStart w:id="64" w:name="_Toc27624"/>
      <w:r>
        <w:rPr>
          <w:rFonts w:hint="eastAsia" w:cs="@仿宋_GB2312" w:asciiTheme="minorEastAsia" w:hAnsiTheme="minorEastAsia" w:eastAsiaTheme="minorEastAsia"/>
          <w:b/>
          <w:bCs w:val="0"/>
          <w:color w:val="auto"/>
          <w:kern w:val="2"/>
          <w:sz w:val="24"/>
          <w:szCs w:val="20"/>
          <w:lang w:val="en-US" w:eastAsia="zh-CN" w:bidi="ar-SA"/>
        </w:rPr>
        <w:t>第二节 政府采购合同通用条款</w:t>
      </w:r>
      <w:bookmarkEnd w:id="63"/>
      <w:bookmarkEnd w:id="64"/>
    </w:p>
    <w:p w14:paraId="4DE468A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color w:val="auto"/>
          <w:sz w:val="24"/>
          <w:szCs w:val="24"/>
        </w:rPr>
        <w:t>定义</w:t>
      </w:r>
    </w:p>
    <w:p w14:paraId="3D870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A68D9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4FFA5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B2E38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AB928B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7D2E4B4">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color w:val="auto"/>
          <w:sz w:val="24"/>
          <w:szCs w:val="24"/>
        </w:rPr>
        <w:t>政府采购合同专用条款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政府采购合同通用条款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有关技术文件</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图纸</w:t>
      </w:r>
      <w:r>
        <w:rPr>
          <w:rFonts w:hint="eastAsia" w:ascii="宋体" w:hAnsi="宋体" w:eastAsia="宋体" w:cs="宋体"/>
          <w:color w:val="auto"/>
          <w:sz w:val="24"/>
          <w:szCs w:val="24"/>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ADE7C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51C2E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auto"/>
          <w:sz w:val="24"/>
          <w:szCs w:val="24"/>
          <w:highlight w:val="none"/>
        </w:rPr>
        <w:t>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F548A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1B56BC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5C42AF2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“联合体”系指</w:t>
      </w: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rPr>
        <w:t>两个以上的自然人、法人或者</w:t>
      </w:r>
      <w:r>
        <w:rPr>
          <w:rFonts w:hint="eastAsia" w:ascii="宋体" w:hAnsi="宋体" w:eastAsia="宋体" w:cs="宋体"/>
          <w:color w:val="auto"/>
          <w:sz w:val="24"/>
          <w:szCs w:val="24"/>
          <w:lang w:val="en-US" w:eastAsia="zh-CN"/>
        </w:rPr>
        <w:t>非法人</w:t>
      </w:r>
      <w:r>
        <w:rPr>
          <w:rFonts w:hint="eastAsia" w:ascii="宋体" w:hAnsi="宋体" w:eastAsia="宋体" w:cs="宋体"/>
          <w:color w:val="auto"/>
          <w:sz w:val="24"/>
          <w:szCs w:val="24"/>
        </w:rPr>
        <w:t>组织组成，</w:t>
      </w:r>
      <w:r>
        <w:rPr>
          <w:rFonts w:hint="eastAsia" w:ascii="宋体" w:hAnsi="宋体" w:eastAsia="宋体" w:cs="宋体"/>
          <w:color w:val="auto"/>
          <w:sz w:val="24"/>
          <w:szCs w:val="24"/>
          <w:lang w:eastAsia="zh-CN"/>
        </w:rPr>
        <w:t>以一个供应商的身份共同参加政府采购的主体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7EFBD3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4C0B6AA">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2987E3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49C74D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452E57C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rPr>
        <w:t>乙方应当在约定的时间、地点</w:t>
      </w:r>
      <w:r>
        <w:rPr>
          <w:rFonts w:hint="eastAsia" w:ascii="宋体" w:hAnsi="宋体" w:eastAsia="宋体" w:cs="宋体"/>
          <w:color w:val="auto"/>
          <w:sz w:val="24"/>
          <w:szCs w:val="24"/>
          <w:lang w:eastAsia="zh-CN"/>
        </w:rPr>
        <w:t>，按照约定</w:t>
      </w:r>
      <w:r>
        <w:rPr>
          <w:rFonts w:hint="eastAsia" w:ascii="宋体" w:hAnsi="宋体" w:eastAsia="宋体" w:cs="宋体"/>
          <w:color w:val="auto"/>
          <w:sz w:val="24"/>
          <w:szCs w:val="24"/>
        </w:rPr>
        <w:t>方式履行合同。</w:t>
      </w:r>
    </w:p>
    <w:p w14:paraId="26E6D1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40B096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794B40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EFE99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15EA225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4069E33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5ACB74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1EE2D11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68FC6A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36C161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7DBFBC22">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113BD4B1">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4EE36645">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258D78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59F603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4612F9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7B572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0EC4E7A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1C729CB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4C0D16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D1178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rPr>
        <w:t>乙方在运输到达之前</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提前通知</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，并提示货物运输装卸的注意事项</w:t>
      </w:r>
      <w:r>
        <w:rPr>
          <w:rFonts w:hint="eastAsia" w:ascii="宋体" w:hAnsi="宋体" w:eastAsia="宋体" w:cs="宋体"/>
          <w:color w:val="auto"/>
          <w:sz w:val="24"/>
          <w:szCs w:val="24"/>
          <w:lang w:eastAsia="zh-CN"/>
        </w:rPr>
        <w:t>，甲方配合乙方做好货物的接收工作。</w:t>
      </w:r>
    </w:p>
    <w:p w14:paraId="754A4C6C">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31C60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10FD084">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811CC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rPr>
        <w:t>定的</w:t>
      </w:r>
      <w:r>
        <w:rPr>
          <w:rFonts w:hint="eastAsia" w:ascii="宋体" w:hAnsi="宋体" w:eastAsia="宋体" w:cs="宋体"/>
          <w:color w:val="auto"/>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738D356">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52904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97E85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9E947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D06C9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color w:val="auto"/>
          <w:sz w:val="24"/>
          <w:szCs w:val="24"/>
        </w:rPr>
        <w:t>在其使用寿命期内具</w:t>
      </w:r>
      <w:r>
        <w:rPr>
          <w:rFonts w:hint="eastAsia" w:ascii="宋体" w:hAnsi="宋体" w:eastAsia="宋体" w:cs="宋体"/>
          <w:color w:val="auto"/>
          <w:sz w:val="24"/>
          <w:szCs w:val="24"/>
          <w:lang w:eastAsia="zh-CN"/>
        </w:rPr>
        <w:t>备合同约定</w:t>
      </w:r>
      <w:r>
        <w:rPr>
          <w:rFonts w:hint="eastAsia" w:ascii="宋体" w:hAnsi="宋体" w:eastAsia="宋体" w:cs="宋体"/>
          <w:color w:val="auto"/>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86424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6909D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96606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2A4F63C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E2C41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0A8837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AF4EC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rPr>
        <w:t>乙方保证在交付的货物上不存在抵押权等担保物权。</w:t>
      </w:r>
    </w:p>
    <w:p w14:paraId="5A209C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61B8F3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1E8BC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5" w:name="_Hlk163047038"/>
      <w:r>
        <w:rPr>
          <w:rFonts w:hint="eastAsia" w:ascii="宋体" w:hAnsi="宋体" w:eastAsia="宋体" w:cs="宋体"/>
          <w:color w:val="auto"/>
          <w:sz w:val="24"/>
          <w:szCs w:val="24"/>
        </w:rPr>
        <w:t>因违反前述约定对第三人构成侵权的，应当由乙方向第三人承担法律责任；甲方依法向第三人赔偿后，有权向乙方追偿。甲方有其他损失的，乙方应当赔偿</w:t>
      </w:r>
      <w:bookmarkEnd w:id="65"/>
      <w:r>
        <w:rPr>
          <w:rFonts w:hint="eastAsia" w:ascii="宋体" w:hAnsi="宋体" w:eastAsia="宋体" w:cs="宋体"/>
          <w:color w:val="auto"/>
          <w:sz w:val="24"/>
          <w:szCs w:val="24"/>
          <w:highlight w:val="none"/>
        </w:rPr>
        <w:t>。</w:t>
      </w:r>
    </w:p>
    <w:p w14:paraId="02879CD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7E400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11.1 </w:t>
      </w:r>
      <w:r>
        <w:rPr>
          <w:rFonts w:hint="eastAsia" w:ascii="宋体" w:hAnsi="宋体" w:eastAsia="宋体" w:cs="宋体"/>
          <w:color w:val="auto"/>
          <w:sz w:val="24"/>
          <w:szCs w:val="24"/>
        </w:rPr>
        <w:t>甲、乙双方</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采购和合同履行过程中所获悉的</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商业秘密或者其他应当保密的信息，均有保密义务</w:t>
      </w:r>
      <w:r>
        <w:rPr>
          <w:rFonts w:hint="eastAsia" w:ascii="宋体" w:hAnsi="宋体" w:eastAsia="宋体" w:cs="宋体"/>
          <w:color w:val="auto"/>
          <w:sz w:val="24"/>
          <w:szCs w:val="24"/>
          <w:lang w:eastAsia="zh-CN"/>
        </w:rPr>
        <w:t>且不受合同有效期所限，直至该信息成为公开信息</w:t>
      </w:r>
      <w:r>
        <w:rPr>
          <w:rFonts w:hint="eastAsia" w:ascii="宋体" w:hAnsi="宋体" w:eastAsia="宋体" w:cs="宋体"/>
          <w:color w:val="auto"/>
          <w:sz w:val="24"/>
          <w:szCs w:val="24"/>
        </w:rPr>
        <w:t>。泄露、不正当地使用</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w:t>
      </w:r>
      <w:r>
        <w:rPr>
          <w:rFonts w:hint="eastAsia" w:ascii="宋体" w:hAnsi="宋体" w:eastAsia="宋体" w:cs="宋体"/>
          <w:color w:val="auto"/>
          <w:sz w:val="24"/>
          <w:szCs w:val="24"/>
          <w:lang w:eastAsia="zh-CN"/>
        </w:rPr>
        <w:t>其他应当保密的</w:t>
      </w:r>
      <w:r>
        <w:rPr>
          <w:rFonts w:hint="eastAsia" w:ascii="宋体" w:hAnsi="宋体" w:eastAsia="宋体" w:cs="宋体"/>
          <w:color w:val="auto"/>
          <w:sz w:val="24"/>
          <w:szCs w:val="24"/>
        </w:rPr>
        <w:t>信息，应当承担</w:t>
      </w:r>
      <w:r>
        <w:rPr>
          <w:rFonts w:hint="eastAsia" w:ascii="宋体" w:hAnsi="宋体" w:eastAsia="宋体" w:cs="宋体"/>
          <w:color w:val="auto"/>
          <w:sz w:val="24"/>
          <w:szCs w:val="24"/>
          <w:lang w:eastAsia="zh-CN"/>
        </w:rPr>
        <w:t>相应</w:t>
      </w:r>
      <w:r>
        <w:rPr>
          <w:rFonts w:hint="eastAsia" w:ascii="宋体" w:hAnsi="宋体" w:eastAsia="宋体" w:cs="宋体"/>
          <w:color w:val="auto"/>
          <w:sz w:val="24"/>
          <w:szCs w:val="24"/>
        </w:rPr>
        <w:t>责任。其他应当保密的信息由双方在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中约定。</w:t>
      </w:r>
    </w:p>
    <w:p w14:paraId="2C81245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1E57F75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2A5940B">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66" w:name="_Toc10237"/>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bookmarkEnd w:id="66"/>
    </w:p>
    <w:p w14:paraId="59BC7762">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3B0F6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rPr>
        <w:t>乙方应当以支票、汇票、本票或者金融机构、担保机构出具的保函等非现金形式提交。</w:t>
      </w:r>
    </w:p>
    <w:p w14:paraId="6F57372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w:t>
      </w:r>
      <w:r>
        <w:rPr>
          <w:rFonts w:hint="eastAsia" w:ascii="宋体" w:hAnsi="宋体" w:eastAsia="宋体" w:cs="宋体"/>
          <w:b w:val="0"/>
          <w:bCs w:val="0"/>
          <w:color w:val="auto"/>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49634C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CB35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B0285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5EF9D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AFDD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EA024A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6111C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lang w:eastAsia="zh-CN"/>
        </w:rPr>
        <w:t>；</w:t>
      </w:r>
    </w:p>
    <w:p w14:paraId="594C4B0D">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14:paraId="73A503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1431B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6EAD82">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D057F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DE96C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FD6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36C91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4EB2F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8E3C7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D2B7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13589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66B1A08">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440876DC">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51680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EAF56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64D60D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E8293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9CE4C1C">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w:t>
      </w:r>
      <w:r>
        <w:rPr>
          <w:rFonts w:hint="eastAsia" w:ascii="宋体" w:hAnsi="宋体" w:eastAsia="宋体" w:cs="宋体"/>
          <w:color w:val="auto"/>
          <w:sz w:val="24"/>
          <w:szCs w:val="24"/>
          <w:lang w:eastAsia="zh-CN"/>
        </w:rPr>
        <w:t>及时告知</w:t>
      </w:r>
      <w:r>
        <w:rPr>
          <w:rFonts w:hint="eastAsia" w:ascii="宋体" w:hAnsi="宋体" w:eastAsia="宋体" w:cs="宋体"/>
          <w:color w:val="auto"/>
          <w:sz w:val="24"/>
          <w:szCs w:val="24"/>
        </w:rPr>
        <w:t>甲方，致使</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履行发生困难的，甲方可以中止合同履行并要求乙方承担由此给甲方造成的损失。</w:t>
      </w:r>
    </w:p>
    <w:p w14:paraId="557939F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D4DBD7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EBFDD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7CF92A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并追究乙方的违约责</w:t>
      </w:r>
      <w:r>
        <w:rPr>
          <w:rFonts w:hint="eastAsia" w:ascii="宋体" w:hAnsi="宋体" w:eastAsia="宋体" w:cs="宋体"/>
          <w:color w:val="auto"/>
          <w:sz w:val="24"/>
          <w:szCs w:val="24"/>
          <w:lang w:val="en-US" w:eastAsia="zh-CN"/>
        </w:rPr>
        <w:t>任</w:t>
      </w:r>
      <w:r>
        <w:rPr>
          <w:rFonts w:hint="eastAsia" w:ascii="宋体" w:hAnsi="宋体" w:eastAsia="宋体" w:cs="宋体"/>
          <w:color w:val="auto"/>
          <w:sz w:val="24"/>
          <w:szCs w:val="24"/>
          <w:highlight w:val="none"/>
        </w:rPr>
        <w:t>。</w:t>
      </w:r>
    </w:p>
    <w:p w14:paraId="4813795D">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11202C94">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rPr>
        <w:t>中止</w:t>
      </w:r>
      <w:r>
        <w:rPr>
          <w:rFonts w:hint="eastAsia" w:ascii="宋体" w:hAnsi="宋体" w:eastAsia="宋体" w:cs="宋体"/>
          <w:color w:val="auto"/>
          <w:sz w:val="24"/>
          <w:szCs w:val="24"/>
          <w:lang w:eastAsia="zh-CN"/>
        </w:rPr>
        <w:t>或者终止</w:t>
      </w:r>
      <w:r>
        <w:rPr>
          <w:rFonts w:hint="eastAsia" w:ascii="宋体" w:hAnsi="宋体" w:eastAsia="宋体" w:cs="宋体"/>
          <w:color w:val="auto"/>
          <w:sz w:val="24"/>
          <w:szCs w:val="24"/>
        </w:rPr>
        <w:t>合同。有过错的一方应当承担赔偿责任，双方都有过错的，各自承担相应的责任。</w:t>
      </w:r>
    </w:p>
    <w:p w14:paraId="67AB61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7A4C4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D1CEC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FCE3A7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96878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DF2372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D33D7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97E71B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62CC2F2">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.1 因本合同及合同有关事项发生的争议，由</w:t>
      </w:r>
      <w:r>
        <w:rPr>
          <w:rFonts w:hint="eastAsia" w:ascii="宋体" w:hAnsi="宋体" w:eastAsia="宋体" w:cs="宋体"/>
          <w:color w:val="auto"/>
          <w:sz w:val="24"/>
          <w:szCs w:val="24"/>
          <w:lang w:eastAsia="zh-CN"/>
        </w:rPr>
        <w:t>甲乙双</w:t>
      </w:r>
      <w:r>
        <w:rPr>
          <w:rFonts w:hint="eastAsia" w:ascii="宋体" w:hAnsi="宋体" w:eastAsia="宋体" w:cs="宋体"/>
          <w:color w:val="auto"/>
          <w:sz w:val="24"/>
          <w:szCs w:val="24"/>
        </w:rPr>
        <w:t>方友好协商解决。协商不成时，可以</w:t>
      </w:r>
      <w:r>
        <w:rPr>
          <w:rFonts w:hint="eastAsia" w:ascii="宋体" w:hAnsi="宋体" w:eastAsia="宋体" w:cs="宋体"/>
          <w:color w:val="auto"/>
          <w:sz w:val="24"/>
          <w:szCs w:val="24"/>
          <w:lang w:eastAsia="zh-CN"/>
        </w:rPr>
        <w:t>向有关组织申请</w:t>
      </w:r>
      <w:r>
        <w:rPr>
          <w:rFonts w:hint="eastAsia" w:ascii="宋体" w:hAnsi="宋体" w:eastAsia="宋体" w:cs="宋体"/>
          <w:color w:val="auto"/>
          <w:sz w:val="24"/>
          <w:szCs w:val="24"/>
        </w:rPr>
        <w:t>调解。合同一方或</w:t>
      </w:r>
      <w:r>
        <w:rPr>
          <w:rFonts w:hint="eastAsia" w:ascii="宋体" w:hAnsi="宋体" w:eastAsia="宋体" w:cs="宋体"/>
          <w:color w:val="auto"/>
          <w:sz w:val="24"/>
          <w:szCs w:val="24"/>
          <w:lang w:eastAsia="zh-CN"/>
        </w:rPr>
        <w:t>双</w:t>
      </w:r>
      <w:r>
        <w:rPr>
          <w:rFonts w:hint="eastAsia" w:ascii="宋体" w:hAnsi="宋体" w:eastAsia="宋体" w:cs="宋体"/>
          <w:color w:val="auto"/>
          <w:sz w:val="24"/>
          <w:szCs w:val="24"/>
        </w:rPr>
        <w:t>方不愿调解或调解不成的，可以通过仲裁或诉讼的方式解决争议。</w:t>
      </w:r>
    </w:p>
    <w:p w14:paraId="6A2A3AEA">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14:paraId="2A1B1022">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.3 如</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rPr>
        <w:t>有争议的事项不影响合同其他部分的履行，在争议解决期间，合同其他部分应</w:t>
      </w:r>
      <w:r>
        <w:rPr>
          <w:rFonts w:hint="eastAsia" w:ascii="宋体" w:hAnsi="宋体" w:eastAsia="宋体" w:cs="宋体"/>
          <w:color w:val="auto"/>
          <w:sz w:val="24"/>
          <w:szCs w:val="24"/>
          <w:lang w:eastAsia="zh-CN"/>
        </w:rPr>
        <w:t>当</w:t>
      </w:r>
      <w:r>
        <w:rPr>
          <w:rFonts w:hint="eastAsia" w:ascii="宋体" w:hAnsi="宋体" w:eastAsia="宋体" w:cs="宋体"/>
          <w:color w:val="auto"/>
          <w:sz w:val="24"/>
          <w:szCs w:val="24"/>
        </w:rPr>
        <w:t>继续履行。</w:t>
      </w:r>
    </w:p>
    <w:p w14:paraId="3BEE2A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F3C7F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lang w:val="en-GB"/>
        </w:rPr>
        <w:t>本合同应当按照规定执行政府采购政策。</w:t>
      </w:r>
    </w:p>
    <w:p w14:paraId="43936D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88856D8">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62CE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EB3A14F">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本合同的订立、生效、解释、履行及与本合同有关的争议解决，均适用法律、行政法规。</w:t>
      </w:r>
    </w:p>
    <w:p w14:paraId="1C0077CD">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本合同条款与法律、行政法规的强制性规定不一致的，双方当事人应按照法律、行政法规的强制性规定修改本合同的相关条款。</w:t>
      </w:r>
    </w:p>
    <w:p w14:paraId="14FB2268">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00537406">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本合同任何一方向对方发出的通知、信件、数据电文等，应当发送至本合同第一部分《政府采购合同协议书》所约定的通讯地址、联系人、联系电话或电子邮箱。</w:t>
      </w:r>
    </w:p>
    <w:p w14:paraId="26F8F1BA">
      <w:pPr>
        <w:pStyle w:val="59"/>
        <w:pageBreakBefore w:val="0"/>
        <w:kinsoku/>
        <w:wordWrap/>
        <w:overflowPunct/>
        <w:topLinePunct w:val="0"/>
        <w:bidi w:val="0"/>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一方当事人变更名称、</w:t>
      </w:r>
      <w:r>
        <w:rPr>
          <w:rFonts w:hint="eastAsia" w:ascii="宋体" w:hAnsi="宋体" w:eastAsia="宋体" w:cs="宋体"/>
          <w:color w:val="auto"/>
          <w:sz w:val="24"/>
          <w:szCs w:val="24"/>
          <w:lang w:eastAsia="zh-CN"/>
        </w:rPr>
        <w:t>住所</w:t>
      </w:r>
      <w:r>
        <w:rPr>
          <w:rFonts w:hint="eastAsia" w:ascii="宋体" w:hAnsi="宋体" w:eastAsia="宋体" w:cs="宋体"/>
          <w:color w:val="auto"/>
          <w:sz w:val="24"/>
          <w:szCs w:val="24"/>
        </w:rPr>
        <w:t>、联系人、联系电话或电子邮箱</w:t>
      </w:r>
      <w:r>
        <w:rPr>
          <w:rFonts w:hint="eastAsia" w:ascii="宋体" w:hAnsi="宋体" w:eastAsia="宋体" w:cs="宋体"/>
          <w:color w:val="auto"/>
          <w:sz w:val="24"/>
          <w:szCs w:val="24"/>
          <w:lang w:eastAsia="zh-CN"/>
        </w:rPr>
        <w:t>等信息</w:t>
      </w:r>
      <w:r>
        <w:rPr>
          <w:rFonts w:hint="eastAsia" w:ascii="宋体" w:hAnsi="宋体" w:eastAsia="宋体" w:cs="宋体"/>
          <w:color w:val="auto"/>
          <w:sz w:val="24"/>
          <w:szCs w:val="24"/>
        </w:rPr>
        <w:t>的，应当在变更后3日内及时书面通知对方，对方实际收到变更通知前的送达仍为有效送达。</w:t>
      </w:r>
    </w:p>
    <w:p w14:paraId="59A2FD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1F7683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7C6E0983">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E9532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E4AB5CB">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7" w:name="_Toc20313"/>
    </w:p>
    <w:p w14:paraId="4BA328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4AC815C8">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auto"/>
          <w:kern w:val="2"/>
          <w:sz w:val="24"/>
          <w:szCs w:val="20"/>
          <w:lang w:val="en-US" w:eastAsia="zh-CN" w:bidi="ar-SA"/>
        </w:rPr>
      </w:pPr>
      <w:bookmarkStart w:id="68" w:name="_Toc2258"/>
      <w:r>
        <w:rPr>
          <w:rFonts w:hint="eastAsia" w:cs="@仿宋_GB2312" w:asciiTheme="minorEastAsia" w:hAnsiTheme="minorEastAsia" w:eastAsiaTheme="minorEastAsia"/>
          <w:b/>
          <w:bCs w:val="0"/>
          <w:color w:val="auto"/>
          <w:kern w:val="2"/>
          <w:sz w:val="24"/>
          <w:szCs w:val="20"/>
          <w:lang w:val="en-US" w:eastAsia="zh-CN" w:bidi="ar-SA"/>
        </w:rPr>
        <w:t>第三节 政府采购合同专用条款</w:t>
      </w:r>
      <w:bookmarkEnd w:id="67"/>
      <w:bookmarkEnd w:id="68"/>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DFFF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E3C6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1A4E2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5AFA91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联合体具体要求</w:t>
            </w:r>
          </w:p>
        </w:tc>
        <w:tc>
          <w:tcPr>
            <w:tcW w:w="5170" w:type="dxa"/>
            <w:vAlign w:val="center"/>
          </w:tcPr>
          <w:p w14:paraId="54A01E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p>
        </w:tc>
      </w:tr>
      <w:tr w14:paraId="32511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41774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30F78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）项</w:t>
            </w:r>
          </w:p>
        </w:tc>
        <w:tc>
          <w:tcPr>
            <w:tcW w:w="1742" w:type="dxa"/>
            <w:vAlign w:val="center"/>
          </w:tcPr>
          <w:p w14:paraId="5E6C7A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其他术语解释</w:t>
            </w:r>
          </w:p>
        </w:tc>
        <w:tc>
          <w:tcPr>
            <w:tcW w:w="5170" w:type="dxa"/>
            <w:vAlign w:val="center"/>
          </w:tcPr>
          <w:p w14:paraId="04813E7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lang w:val="en-US" w:eastAsia="zh-CN" w:bidi="ar-SA"/>
              </w:rPr>
            </w:pPr>
          </w:p>
        </w:tc>
      </w:tr>
      <w:tr w14:paraId="18E01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1449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48E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4.4款</w:t>
            </w:r>
          </w:p>
        </w:tc>
        <w:tc>
          <w:tcPr>
            <w:tcW w:w="1742" w:type="dxa"/>
            <w:vAlign w:val="center"/>
          </w:tcPr>
          <w:p w14:paraId="31EBB3A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履约验收中甲方提出异议或作出说明的期限</w:t>
            </w:r>
          </w:p>
        </w:tc>
        <w:tc>
          <w:tcPr>
            <w:tcW w:w="5170" w:type="dxa"/>
            <w:vAlign w:val="center"/>
          </w:tcPr>
          <w:p w14:paraId="73CC3A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lang w:val="en-US" w:eastAsia="zh-CN" w:bidi="ar-SA"/>
              </w:rPr>
            </w:pPr>
          </w:p>
        </w:tc>
      </w:tr>
      <w:tr w14:paraId="4D50D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3F34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37700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4.6款</w:t>
            </w:r>
          </w:p>
        </w:tc>
        <w:tc>
          <w:tcPr>
            <w:tcW w:w="1742" w:type="dxa"/>
            <w:vAlign w:val="center"/>
          </w:tcPr>
          <w:p w14:paraId="00A9DA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约定甲方承担的其他义务和责任</w:t>
            </w:r>
          </w:p>
        </w:tc>
        <w:tc>
          <w:tcPr>
            <w:tcW w:w="5170" w:type="dxa"/>
            <w:vAlign w:val="center"/>
          </w:tcPr>
          <w:p w14:paraId="76137C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lang w:val="en-US" w:eastAsia="zh-CN" w:bidi="ar-SA"/>
              </w:rPr>
            </w:pPr>
          </w:p>
        </w:tc>
      </w:tr>
      <w:tr w14:paraId="5937F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56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15BC60E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5.4款</w:t>
            </w:r>
          </w:p>
        </w:tc>
        <w:tc>
          <w:tcPr>
            <w:tcW w:w="1742" w:type="dxa"/>
            <w:vAlign w:val="center"/>
          </w:tcPr>
          <w:p w14:paraId="445A045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约定乙方承担的其他义务和责任</w:t>
            </w:r>
          </w:p>
        </w:tc>
        <w:tc>
          <w:tcPr>
            <w:tcW w:w="5170" w:type="dxa"/>
            <w:vAlign w:val="center"/>
          </w:tcPr>
          <w:p w14:paraId="2325937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lang w:val="en-US" w:eastAsia="zh-CN" w:bidi="ar-SA"/>
              </w:rPr>
            </w:pPr>
          </w:p>
        </w:tc>
      </w:tr>
      <w:tr w14:paraId="7D479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D23D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18F55897">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6.1款</w:t>
            </w:r>
          </w:p>
        </w:tc>
        <w:tc>
          <w:tcPr>
            <w:tcW w:w="1742" w:type="dxa"/>
            <w:vAlign w:val="center"/>
          </w:tcPr>
          <w:p w14:paraId="68FE36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履行合同义务的顺序</w:t>
            </w:r>
          </w:p>
        </w:tc>
        <w:tc>
          <w:tcPr>
            <w:tcW w:w="5170" w:type="dxa"/>
            <w:vAlign w:val="center"/>
          </w:tcPr>
          <w:p w14:paraId="5806151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lang w:val="en-US" w:eastAsia="zh-CN" w:bidi="ar-SA"/>
              </w:rPr>
            </w:pPr>
          </w:p>
        </w:tc>
      </w:tr>
      <w:tr w14:paraId="7B1D1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F600A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2454B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款</w:t>
            </w:r>
          </w:p>
        </w:tc>
        <w:tc>
          <w:tcPr>
            <w:tcW w:w="1742" w:type="dxa"/>
            <w:vAlign w:val="center"/>
          </w:tcPr>
          <w:p w14:paraId="2D643C2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w:t>
            </w:r>
            <w:r>
              <w:rPr>
                <w:rFonts w:hint="eastAsia" w:ascii="宋体" w:hAnsi="宋体" w:eastAsia="宋体" w:cs="宋体"/>
                <w:color w:val="auto"/>
                <w:sz w:val="24"/>
                <w:szCs w:val="24"/>
                <w:lang w:eastAsia="zh-CN"/>
              </w:rPr>
              <w:t>特殊要求</w:t>
            </w:r>
          </w:p>
        </w:tc>
        <w:tc>
          <w:tcPr>
            <w:tcW w:w="5170" w:type="dxa"/>
            <w:vAlign w:val="center"/>
          </w:tcPr>
          <w:p w14:paraId="59217776">
            <w:pPr>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14:paraId="65BB9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A85FE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p>
        </w:tc>
        <w:tc>
          <w:tcPr>
            <w:tcW w:w="1742" w:type="dxa"/>
            <w:vAlign w:val="center"/>
          </w:tcPr>
          <w:p w14:paraId="4237896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指定现场</w:t>
            </w:r>
          </w:p>
        </w:tc>
        <w:tc>
          <w:tcPr>
            <w:tcW w:w="5170" w:type="dxa"/>
            <w:vAlign w:val="center"/>
          </w:tcPr>
          <w:p w14:paraId="58B256F3">
            <w:pPr>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14:paraId="4311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5FB2A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D2EC1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vAlign w:val="center"/>
          </w:tcPr>
          <w:p w14:paraId="04FFEF0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运输特殊要求</w:t>
            </w:r>
          </w:p>
        </w:tc>
        <w:tc>
          <w:tcPr>
            <w:tcW w:w="5170" w:type="dxa"/>
            <w:vAlign w:val="center"/>
          </w:tcPr>
          <w:p w14:paraId="6E5D806C">
            <w:pPr>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14:paraId="2164C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01226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53C8B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款</w:t>
            </w:r>
          </w:p>
        </w:tc>
        <w:tc>
          <w:tcPr>
            <w:tcW w:w="1742" w:type="dxa"/>
            <w:vAlign w:val="center"/>
          </w:tcPr>
          <w:p w14:paraId="584823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保险要求</w:t>
            </w:r>
          </w:p>
        </w:tc>
        <w:tc>
          <w:tcPr>
            <w:tcW w:w="5170" w:type="dxa"/>
            <w:vAlign w:val="center"/>
          </w:tcPr>
          <w:p w14:paraId="7AA07E7B">
            <w:pPr>
              <w:pageBreakBefore w:val="0"/>
              <w:kinsoku/>
              <w:wordWrap/>
              <w:overflowPunct/>
              <w:topLinePunct w:val="0"/>
              <w:bidi w:val="0"/>
              <w:spacing w:line="360" w:lineRule="auto"/>
              <w:textAlignment w:val="auto"/>
              <w:rPr>
                <w:rFonts w:hint="eastAsia" w:ascii="宋体" w:hAnsi="宋体" w:eastAsia="宋体" w:cs="宋体"/>
                <w:color w:val="auto"/>
                <w:sz w:val="24"/>
                <w:szCs w:val="24"/>
              </w:rPr>
            </w:pPr>
          </w:p>
        </w:tc>
      </w:tr>
      <w:tr w14:paraId="76687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BA3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B31F9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.2（1）项</w:t>
            </w:r>
          </w:p>
        </w:tc>
        <w:tc>
          <w:tcPr>
            <w:tcW w:w="1742" w:type="dxa"/>
            <w:vAlign w:val="center"/>
          </w:tcPr>
          <w:p w14:paraId="059F45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5170" w:type="dxa"/>
            <w:vAlign w:val="center"/>
          </w:tcPr>
          <w:p w14:paraId="7CC299A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p>
        </w:tc>
      </w:tr>
      <w:tr w14:paraId="23EEE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1652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73EF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.2（3）项</w:t>
            </w:r>
          </w:p>
        </w:tc>
        <w:tc>
          <w:tcPr>
            <w:tcW w:w="1742" w:type="dxa"/>
            <w:vAlign w:val="center"/>
          </w:tcPr>
          <w:p w14:paraId="5233DB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货物质量缺陷</w:t>
            </w:r>
          </w:p>
          <w:p w14:paraId="71A10E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5170" w:type="dxa"/>
            <w:vAlign w:val="center"/>
          </w:tcPr>
          <w:p w14:paraId="1D29BB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p>
        </w:tc>
      </w:tr>
      <w:tr w14:paraId="1D82F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BABF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第二节</w:t>
            </w:r>
          </w:p>
          <w:p w14:paraId="3C670734">
            <w:pPr>
              <w:pStyle w:val="59"/>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第11.1款</w:t>
            </w:r>
          </w:p>
        </w:tc>
        <w:tc>
          <w:tcPr>
            <w:tcW w:w="1742" w:type="dxa"/>
            <w:vAlign w:val="center"/>
          </w:tcPr>
          <w:p w14:paraId="1D76EECF">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其他应当保密的信息</w:t>
            </w:r>
          </w:p>
        </w:tc>
        <w:tc>
          <w:tcPr>
            <w:tcW w:w="5170" w:type="dxa"/>
            <w:vAlign w:val="center"/>
          </w:tcPr>
          <w:p w14:paraId="016407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p>
        </w:tc>
      </w:tr>
      <w:tr w14:paraId="42504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6A95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D610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.2款</w:t>
            </w:r>
          </w:p>
        </w:tc>
        <w:tc>
          <w:tcPr>
            <w:tcW w:w="1742" w:type="dxa"/>
            <w:vAlign w:val="center"/>
          </w:tcPr>
          <w:p w14:paraId="0CEABB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合同价款支付</w:t>
            </w:r>
            <w:r>
              <w:rPr>
                <w:rFonts w:hint="eastAsia" w:ascii="宋体" w:hAnsi="宋体" w:eastAsia="宋体" w:cs="宋体"/>
                <w:color w:val="auto"/>
                <w:sz w:val="24"/>
                <w:szCs w:val="24"/>
                <w:lang w:eastAsia="zh-CN"/>
              </w:rPr>
              <w:t>时间</w:t>
            </w:r>
          </w:p>
        </w:tc>
        <w:tc>
          <w:tcPr>
            <w:tcW w:w="5170" w:type="dxa"/>
            <w:vAlign w:val="center"/>
          </w:tcPr>
          <w:p w14:paraId="2A0C6B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p>
        </w:tc>
      </w:tr>
      <w:tr w14:paraId="4F8C2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A1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AD99F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13.2</w:t>
            </w:r>
            <w:r>
              <w:rPr>
                <w:rFonts w:hint="eastAsia" w:ascii="宋体" w:hAnsi="宋体" w:eastAsia="宋体" w:cs="宋体"/>
                <w:color w:val="auto"/>
                <w:sz w:val="24"/>
                <w:szCs w:val="24"/>
              </w:rPr>
              <w:t>款</w:t>
            </w:r>
          </w:p>
        </w:tc>
        <w:tc>
          <w:tcPr>
            <w:tcW w:w="1742" w:type="dxa"/>
            <w:vAlign w:val="center"/>
          </w:tcPr>
          <w:p w14:paraId="69FF91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履约保证金不予退还的情形</w:t>
            </w:r>
          </w:p>
        </w:tc>
        <w:tc>
          <w:tcPr>
            <w:tcW w:w="5170" w:type="dxa"/>
            <w:vAlign w:val="center"/>
          </w:tcPr>
          <w:p w14:paraId="539D43B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p>
        </w:tc>
      </w:tr>
      <w:tr w14:paraId="36158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146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3B3D6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13.3</w:t>
            </w:r>
            <w:r>
              <w:rPr>
                <w:rFonts w:hint="eastAsia" w:ascii="宋体" w:hAnsi="宋体" w:eastAsia="宋体" w:cs="宋体"/>
                <w:color w:val="auto"/>
                <w:sz w:val="24"/>
                <w:szCs w:val="24"/>
              </w:rPr>
              <w:t>款</w:t>
            </w:r>
          </w:p>
        </w:tc>
        <w:tc>
          <w:tcPr>
            <w:tcW w:w="1742" w:type="dxa"/>
            <w:vAlign w:val="center"/>
          </w:tcPr>
          <w:p w14:paraId="7D193A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w:t>
            </w:r>
            <w:r>
              <w:rPr>
                <w:rFonts w:hint="eastAsia" w:ascii="宋体" w:hAnsi="宋体" w:eastAsia="宋体" w:cs="宋体"/>
                <w:color w:val="auto"/>
                <w:sz w:val="24"/>
                <w:szCs w:val="24"/>
                <w:lang w:eastAsia="zh-CN"/>
              </w:rPr>
              <w:t>逾期退还的</w:t>
            </w:r>
            <w:r>
              <w:rPr>
                <w:rFonts w:hint="eastAsia" w:ascii="宋体" w:hAnsi="宋体" w:eastAsia="宋体" w:cs="宋体"/>
                <w:color w:val="auto"/>
                <w:sz w:val="24"/>
                <w:szCs w:val="24"/>
              </w:rPr>
              <w:t>违约金</w:t>
            </w:r>
          </w:p>
        </w:tc>
        <w:tc>
          <w:tcPr>
            <w:tcW w:w="5170" w:type="dxa"/>
            <w:vAlign w:val="center"/>
          </w:tcPr>
          <w:p w14:paraId="33E0AEE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p>
        </w:tc>
      </w:tr>
      <w:tr w14:paraId="0C8F9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68B0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F8622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p>
        </w:tc>
        <w:tc>
          <w:tcPr>
            <w:tcW w:w="1742" w:type="dxa"/>
            <w:vAlign w:val="center"/>
          </w:tcPr>
          <w:p w14:paraId="0FA4F8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运行监督、维修期限</w:t>
            </w:r>
          </w:p>
        </w:tc>
        <w:tc>
          <w:tcPr>
            <w:tcW w:w="5170" w:type="dxa"/>
            <w:vAlign w:val="center"/>
          </w:tcPr>
          <w:p w14:paraId="066F2AF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p>
        </w:tc>
      </w:tr>
      <w:tr w14:paraId="0AFF5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51BA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C7F4C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）项</w:t>
            </w:r>
          </w:p>
        </w:tc>
        <w:tc>
          <w:tcPr>
            <w:tcW w:w="1742" w:type="dxa"/>
            <w:vAlign w:val="center"/>
          </w:tcPr>
          <w:p w14:paraId="0D17EC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货物回收的约定</w:t>
            </w:r>
          </w:p>
        </w:tc>
        <w:tc>
          <w:tcPr>
            <w:tcW w:w="5170" w:type="dxa"/>
            <w:vAlign w:val="center"/>
          </w:tcPr>
          <w:p w14:paraId="43C13EA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p>
        </w:tc>
      </w:tr>
      <w:tr w14:paraId="1D2B4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0445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7F27C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3500E3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5170" w:type="dxa"/>
            <w:vAlign w:val="center"/>
          </w:tcPr>
          <w:p w14:paraId="13194C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p>
        </w:tc>
      </w:tr>
      <w:tr w14:paraId="3E9B2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E34C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619A0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1款</w:t>
            </w:r>
          </w:p>
        </w:tc>
        <w:tc>
          <w:tcPr>
            <w:tcW w:w="1742" w:type="dxa"/>
            <w:vAlign w:val="center"/>
          </w:tcPr>
          <w:p w14:paraId="668BB6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1513F0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p>
        </w:tc>
      </w:tr>
      <w:tr w14:paraId="771A2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ED1E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C4AD2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.2（2）项</w:t>
            </w:r>
          </w:p>
        </w:tc>
        <w:tc>
          <w:tcPr>
            <w:tcW w:w="1742" w:type="dxa"/>
            <w:vAlign w:val="center"/>
          </w:tcPr>
          <w:p w14:paraId="692039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5170" w:type="dxa"/>
            <w:vAlign w:val="center"/>
          </w:tcPr>
          <w:p w14:paraId="28507A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none"/>
              </w:rPr>
              <w:t>如果中标供应商没有按照合同规定的时间提供</w:t>
            </w:r>
            <w:r>
              <w:rPr>
                <w:rFonts w:hint="eastAsia" w:ascii="宋体" w:hAnsi="宋体" w:eastAsia="宋体" w:cs="宋体"/>
                <w:color w:val="auto"/>
                <w:sz w:val="24"/>
                <w:szCs w:val="24"/>
                <w:highlight w:val="none"/>
                <w:lang w:val="en-US" w:eastAsia="zh-CN"/>
              </w:rPr>
              <w:t>货物或</w:t>
            </w:r>
            <w:r>
              <w:rPr>
                <w:rFonts w:hint="eastAsia" w:ascii="宋体" w:hAnsi="宋体" w:eastAsia="宋体" w:cs="宋体"/>
                <w:color w:val="auto"/>
                <w:sz w:val="24"/>
                <w:szCs w:val="24"/>
                <w:highlight w:val="none"/>
              </w:rPr>
              <w:t>服务，中标供应商应向采购人支付违约金。违约金按每周未提供货物和服务总费用的0.5%计收，如未提供货物和服务时间超过4周，则按合同总价的20%计收违约金。一周按7天计算，不足7天按一周计算。如未提供货物和服务时间超过4周，采购人可以终止合同。</w:t>
            </w:r>
          </w:p>
        </w:tc>
      </w:tr>
      <w:tr w14:paraId="2E098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319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0B894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3款</w:t>
            </w:r>
          </w:p>
        </w:tc>
        <w:tc>
          <w:tcPr>
            <w:tcW w:w="1742" w:type="dxa"/>
            <w:vAlign w:val="center"/>
          </w:tcPr>
          <w:p w14:paraId="0B0B1C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5170" w:type="dxa"/>
            <w:vAlign w:val="center"/>
          </w:tcPr>
          <w:p w14:paraId="38F3C75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u w:val="single"/>
              </w:rPr>
            </w:pPr>
          </w:p>
        </w:tc>
      </w:tr>
      <w:tr w14:paraId="47B2F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88A5D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93EC5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68364E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5170" w:type="dxa"/>
            <w:tcBorders>
              <w:left w:val="single" w:color="auto" w:sz="2" w:space="0"/>
              <w:bottom w:val="single" w:color="auto" w:sz="2" w:space="0"/>
            </w:tcBorders>
            <w:vAlign w:val="center"/>
          </w:tcPr>
          <w:p w14:paraId="39CD55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none"/>
              </w:rPr>
              <w:t>因采购人原因导致延期返还履约保证金、延期支付合同款项，变更、中止或终止政府采购合同的，因政策变化等原因不能签订合同，造成企业合法利益受损的情形，采购人应与供应商充分协商，按照货物或提供服务合同价</w:t>
            </w:r>
            <w:r>
              <w:rPr>
                <w:rFonts w:hint="eastAsia" w:ascii="宋体" w:hAnsi="宋体" w:eastAsia="宋体" w:cs="宋体"/>
                <w:color w:val="auto"/>
                <w:sz w:val="24"/>
                <w:szCs w:val="24"/>
                <w:highlight w:val="none"/>
                <w:u w:val="single"/>
              </w:rPr>
              <w:t>0.1%</w:t>
            </w:r>
            <w:r>
              <w:rPr>
                <w:rFonts w:hint="eastAsia" w:ascii="宋体" w:hAnsi="宋体" w:eastAsia="宋体" w:cs="宋体"/>
                <w:color w:val="auto"/>
                <w:sz w:val="24"/>
                <w:szCs w:val="24"/>
                <w:highlight w:val="none"/>
              </w:rPr>
              <w:t>给予合理赔偿或者补偿</w:t>
            </w:r>
            <w:r>
              <w:rPr>
                <w:rFonts w:hint="eastAsia" w:ascii="宋体" w:hAnsi="宋体" w:eastAsia="宋体" w:cs="宋体"/>
                <w:color w:val="auto"/>
                <w:sz w:val="24"/>
                <w:szCs w:val="24"/>
                <w:highlight w:val="none"/>
                <w:lang w:eastAsia="zh-CN"/>
              </w:rPr>
              <w:t>。</w:t>
            </w:r>
          </w:p>
        </w:tc>
      </w:tr>
      <w:tr w14:paraId="3872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86A8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633A7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1B9F43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解决争议的方法</w:t>
            </w:r>
          </w:p>
        </w:tc>
        <w:tc>
          <w:tcPr>
            <w:tcW w:w="5170" w:type="dxa"/>
            <w:tcBorders>
              <w:top w:val="single" w:color="auto" w:sz="2" w:space="0"/>
              <w:left w:val="single" w:color="auto" w:sz="2" w:space="0"/>
            </w:tcBorders>
            <w:vAlign w:val="center"/>
          </w:tcPr>
          <w:p w14:paraId="003C7A2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因本合同及合同有关事项发生的争议，按下列第</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种方式解决：</w:t>
            </w:r>
          </w:p>
          <w:p w14:paraId="12A8214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（1）向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仲裁委员会申请仲裁，仲裁地点为</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w:t>
            </w:r>
          </w:p>
          <w:p w14:paraId="1C064E38">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u w:val="single"/>
              </w:rPr>
            </w:pPr>
            <w:r>
              <w:rPr>
                <w:rFonts w:hint="eastAsia" w:ascii="宋体" w:hAnsi="宋体" w:eastAsia="宋体" w:cs="宋体"/>
                <w:b w:val="0"/>
                <w:bCs w:val="0"/>
                <w:iCs/>
                <w:color w:val="auto"/>
                <w:sz w:val="24"/>
                <w:szCs w:val="24"/>
              </w:rPr>
              <w:t>（2）向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人民法院起诉。</w:t>
            </w:r>
          </w:p>
        </w:tc>
      </w:tr>
      <w:tr w14:paraId="13467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F357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FA4F2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第2</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款</w:t>
            </w:r>
          </w:p>
        </w:tc>
        <w:tc>
          <w:tcPr>
            <w:tcW w:w="1742" w:type="dxa"/>
            <w:vAlign w:val="center"/>
          </w:tcPr>
          <w:p w14:paraId="187F7F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F917DD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lang w:val="en-US" w:eastAsia="zh-CN"/>
              </w:rPr>
            </w:pPr>
          </w:p>
        </w:tc>
      </w:tr>
    </w:tbl>
    <w:p w14:paraId="29092542">
      <w:pPr>
        <w:rPr>
          <w:rFonts w:hint="eastAsia" w:ascii="宋体" w:hAnsi="宋体" w:eastAsia="宋体" w:cs="宋体"/>
          <w:color w:val="auto"/>
          <w:sz w:val="24"/>
          <w:szCs w:val="24"/>
        </w:rPr>
      </w:pPr>
    </w:p>
    <w:p w14:paraId="0E6D9201">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69" w:name="_Toc20699"/>
      <w:r>
        <w:rPr>
          <w:rFonts w:hint="eastAsia" w:asciiTheme="minorEastAsia" w:hAnsiTheme="minorEastAsia" w:eastAsiaTheme="minorEastAsia"/>
          <w:b/>
          <w:color w:val="auto"/>
          <w:sz w:val="28"/>
          <w:highlight w:val="none"/>
        </w:rPr>
        <w:t>第六章  投标文件格式</w:t>
      </w:r>
      <w:bookmarkEnd w:id="69"/>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70" w:name="_Toc26837"/>
      <w:bookmarkStart w:id="71" w:name="_Toc651"/>
      <w:r>
        <w:rPr>
          <w:rFonts w:hint="eastAsia" w:asciiTheme="minorEastAsia" w:hAnsiTheme="minorEastAsia" w:eastAsiaTheme="minorEastAsia"/>
          <w:b/>
          <w:color w:val="auto"/>
          <w:sz w:val="72"/>
          <w:highlight w:val="none"/>
        </w:rPr>
        <w:t>投</w:t>
      </w:r>
      <w:bookmarkEnd w:id="70"/>
      <w:bookmarkEnd w:id="71"/>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72" w:name="_Toc401"/>
      <w:bookmarkStart w:id="73" w:name="_Toc6148"/>
      <w:r>
        <w:rPr>
          <w:rFonts w:hint="eastAsia" w:asciiTheme="minorEastAsia" w:hAnsiTheme="minorEastAsia" w:eastAsiaTheme="minorEastAsia"/>
          <w:b/>
          <w:color w:val="auto"/>
          <w:sz w:val="72"/>
          <w:highlight w:val="none"/>
        </w:rPr>
        <w:t>标</w:t>
      </w:r>
      <w:bookmarkEnd w:id="72"/>
      <w:bookmarkEnd w:id="73"/>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74" w:name="_Toc1338"/>
      <w:bookmarkStart w:id="75" w:name="_Toc17043"/>
      <w:r>
        <w:rPr>
          <w:rFonts w:hint="eastAsia" w:asciiTheme="minorEastAsia" w:hAnsiTheme="minorEastAsia" w:eastAsiaTheme="minorEastAsia"/>
          <w:b/>
          <w:color w:val="auto"/>
          <w:sz w:val="72"/>
          <w:highlight w:val="none"/>
        </w:rPr>
        <w:t>文</w:t>
      </w:r>
      <w:bookmarkEnd w:id="74"/>
      <w:bookmarkEnd w:id="75"/>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76" w:name="_Toc5730"/>
      <w:bookmarkStart w:id="77" w:name="_Toc10796"/>
      <w:r>
        <w:rPr>
          <w:rFonts w:hint="eastAsia" w:asciiTheme="minorEastAsia" w:hAnsiTheme="minorEastAsia" w:eastAsiaTheme="minorEastAsia"/>
          <w:b/>
          <w:color w:val="auto"/>
          <w:sz w:val="72"/>
          <w:highlight w:val="none"/>
        </w:rPr>
        <w:t>件</w:t>
      </w:r>
      <w:bookmarkEnd w:id="76"/>
      <w:bookmarkEnd w:id="77"/>
    </w:p>
    <w:p w14:paraId="100863D2">
      <w:pPr>
        <w:spacing w:after="156" w:afterLines="50"/>
        <w:jc w:val="center"/>
        <w:rPr>
          <w:rFonts w:asciiTheme="minorEastAsia" w:hAnsiTheme="minorEastAsia" w:eastAsiaTheme="minorEastAsia"/>
          <w:b/>
          <w:color w:val="auto"/>
          <w:sz w:val="72"/>
          <w:highlight w:val="none"/>
        </w:rPr>
      </w:pPr>
    </w:p>
    <w:p w14:paraId="0179187E">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textAlignment w:val="auto"/>
        <w:outlineLvl w:val="1"/>
        <w:rPr>
          <w:rFonts w:hint="default" w:ascii="宋体" w:hAnsi="宋体" w:eastAsia="宋体"/>
          <w:color w:val="auto"/>
          <w:sz w:val="24"/>
          <w:szCs w:val="18"/>
          <w:highlight w:val="none"/>
          <w:lang w:val="en-US" w:eastAsia="zh-CN"/>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8" w:name="_Toc8037"/>
      <w:bookmarkStart w:id="79" w:name="_Toc9994"/>
      <w:bookmarkStart w:id="80" w:name="_Toc28235"/>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8"/>
      <w:bookmarkEnd w:id="79"/>
      <w:bookmarkEnd w:id="80"/>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81" w:name="_Toc28960"/>
      <w:bookmarkStart w:id="82" w:name="_Toc5555"/>
      <w:bookmarkStart w:id="83" w:name="_Toc9934"/>
      <w:r>
        <w:rPr>
          <w:rFonts w:hint="eastAsia" w:asciiTheme="minorEastAsia" w:hAnsiTheme="minorEastAsia" w:eastAsiaTheme="minorEastAsia"/>
          <w:b/>
          <w:color w:val="auto"/>
          <w:sz w:val="24"/>
          <w:highlight w:val="none"/>
        </w:rPr>
        <w:t>一、开标一览表</w:t>
      </w:r>
      <w:bookmarkEnd w:id="81"/>
      <w:bookmarkEnd w:id="82"/>
      <w:bookmarkEnd w:id="83"/>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84" w:name="_Toc18010"/>
      <w:bookmarkStart w:id="85" w:name="_Toc6441"/>
      <w:bookmarkStart w:id="86" w:name="_Toc9394"/>
      <w:r>
        <w:rPr>
          <w:rFonts w:hint="eastAsia" w:asciiTheme="minorEastAsia" w:hAnsiTheme="minorEastAsia" w:eastAsiaTheme="minorEastAsia"/>
          <w:b/>
          <w:color w:val="auto"/>
          <w:sz w:val="24"/>
          <w:highlight w:val="none"/>
        </w:rPr>
        <w:t>二、投标函</w:t>
      </w:r>
      <w:bookmarkEnd w:id="84"/>
      <w:bookmarkEnd w:id="85"/>
      <w:bookmarkEnd w:id="86"/>
    </w:p>
    <w:p w14:paraId="5A91387F">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87" w:name="_Toc1328"/>
      <w:bookmarkStart w:id="88" w:name="_Toc25191"/>
      <w:r>
        <w:rPr>
          <w:rFonts w:hint="eastAsia" w:asciiTheme="minorEastAsia" w:hAnsiTheme="minorEastAsia" w:eastAsiaTheme="minorEastAsia"/>
          <w:b/>
          <w:color w:val="auto"/>
          <w:sz w:val="24"/>
          <w:highlight w:val="none"/>
          <w:lang w:val="en-US" w:eastAsia="zh-CN"/>
        </w:rPr>
        <w:t>三．投标人资格声明书</w:t>
      </w:r>
      <w:bookmarkEnd w:id="87"/>
      <w:bookmarkEnd w:id="88"/>
      <w:r>
        <w:rPr>
          <w:rFonts w:hint="eastAsia" w:asciiTheme="minorEastAsia" w:hAnsiTheme="minorEastAsia" w:eastAsiaTheme="minorEastAsia"/>
          <w:b/>
          <w:color w:val="auto"/>
          <w:sz w:val="24"/>
          <w:highlight w:val="none"/>
          <w:lang w:val="en-US" w:eastAsia="zh-CN"/>
        </w:rPr>
        <w:t xml:space="preserve"> </w:t>
      </w:r>
    </w:p>
    <w:p w14:paraId="71C42E2A">
      <w:pPr>
        <w:pStyle w:val="12"/>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EA20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55C34C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7D36F4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3575D4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EB28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8B2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9514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7AB1403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9A8ACB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A13D49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9931D3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6476754D">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70D37D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05A5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8"/>
        <w:rPr>
          <w:rFonts w:hint="eastAsia" w:asciiTheme="minorEastAsia" w:hAnsiTheme="minorEastAsia" w:eastAsiaTheme="minorEastAsia" w:cstheme="minorEastAsia"/>
          <w:color w:val="auto"/>
          <w:kern w:val="0"/>
          <w:sz w:val="24"/>
          <w:szCs w:val="24"/>
          <w:highlight w:val="green"/>
          <w:lang w:val="en-US" w:eastAsia="zh-CN" w:bidi="ar"/>
        </w:rPr>
      </w:pPr>
    </w:p>
    <w:p w14:paraId="62FACBB4">
      <w:pPr>
        <w:pStyle w:val="8"/>
        <w:rPr>
          <w:rFonts w:hint="eastAsia" w:asciiTheme="minorEastAsia" w:hAnsiTheme="minorEastAsia" w:eastAsiaTheme="minorEastAsia" w:cstheme="minorEastAsia"/>
          <w:color w:val="auto"/>
          <w:kern w:val="0"/>
          <w:sz w:val="24"/>
          <w:szCs w:val="24"/>
          <w:lang w:val="en-US" w:eastAsia="zh-CN" w:bidi="ar"/>
        </w:rPr>
      </w:pPr>
    </w:p>
    <w:p w14:paraId="29236E8F">
      <w:pPr>
        <w:pStyle w:val="8"/>
        <w:rPr>
          <w:rFonts w:hint="eastAsia" w:asciiTheme="minorEastAsia" w:hAnsiTheme="minorEastAsia" w:eastAsiaTheme="minorEastAsia" w:cstheme="minorEastAsia"/>
          <w:color w:val="auto"/>
          <w:kern w:val="0"/>
          <w:sz w:val="24"/>
          <w:szCs w:val="24"/>
          <w:lang w:val="en-US" w:eastAsia="zh-CN" w:bidi="ar"/>
        </w:rPr>
      </w:pPr>
    </w:p>
    <w:p w14:paraId="17F618DD">
      <w:pPr>
        <w:rPr>
          <w:rFonts w:hint="eastAsia" w:asciiTheme="minorEastAsia" w:hAnsiTheme="minorEastAsia" w:eastAsiaTheme="minorEastAsia"/>
          <w:b/>
          <w:color w:val="auto"/>
          <w:sz w:val="24"/>
          <w:highlight w:val="none"/>
        </w:rPr>
      </w:pPr>
      <w:bookmarkStart w:id="89"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asciiTheme="minorEastAsia" w:hAnsiTheme="minorEastAsia" w:eastAsiaTheme="minorEastAsia"/>
          <w:b/>
          <w:color w:val="auto"/>
          <w:sz w:val="24"/>
          <w:highlight w:val="none"/>
        </w:rPr>
      </w:pPr>
      <w:bookmarkStart w:id="90" w:name="_Toc16960"/>
      <w:bookmarkStart w:id="91" w:name="_Toc14870"/>
      <w:r>
        <w:rPr>
          <w:rFonts w:hint="eastAsia" w:asciiTheme="minorEastAsia" w:hAnsiTheme="minorEastAsia" w:eastAsiaTheme="minorEastAsia"/>
          <w:b/>
          <w:color w:val="auto"/>
          <w:sz w:val="24"/>
          <w:highlight w:val="none"/>
        </w:rPr>
        <w:t>四、授权书</w:t>
      </w:r>
      <w:bookmarkEnd w:id="89"/>
      <w:bookmarkEnd w:id="90"/>
      <w:bookmarkEnd w:id="91"/>
    </w:p>
    <w:p w14:paraId="08E8CC0E">
      <w:pPr>
        <w:pStyle w:val="11"/>
        <w:snapToGrid w:val="0"/>
        <w:spacing w:line="360" w:lineRule="auto"/>
        <w:ind w:firstLine="480" w:firstLineChars="200"/>
        <w:jc w:val="left"/>
        <w:rPr>
          <w:rFonts w:hAnsi="宋体" w:eastAsia="宋体"/>
          <w:color w:val="auto"/>
          <w:sz w:val="24"/>
          <w:szCs w:val="28"/>
          <w:highlight w:val="none"/>
        </w:rPr>
      </w:pPr>
    </w:p>
    <w:p w14:paraId="5E50A68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asciiTheme="minorEastAsia" w:hAnsiTheme="minorEastAsia" w:eastAsiaTheme="minorEastAsia"/>
          <w:color w:val="auto"/>
          <w:sz w:val="24"/>
          <w:highlight w:val="none"/>
        </w:rPr>
      </w:pPr>
    </w:p>
    <w:p w14:paraId="53CAB130">
      <w:pPr>
        <w:spacing w:line="360" w:lineRule="auto"/>
        <w:ind w:firstLine="435"/>
        <w:rPr>
          <w:rFonts w:asciiTheme="minorEastAsia" w:hAnsiTheme="minorEastAsia" w:eastAsiaTheme="minorEastAsia"/>
          <w:color w:val="auto"/>
          <w:sz w:val="24"/>
          <w:highlight w:val="none"/>
        </w:rPr>
      </w:pPr>
    </w:p>
    <w:p w14:paraId="2C5C8315">
      <w:pPr>
        <w:spacing w:line="360" w:lineRule="auto"/>
        <w:ind w:firstLine="435"/>
        <w:rPr>
          <w:rFonts w:asciiTheme="minorEastAsia" w:hAnsiTheme="minorEastAsia" w:eastAsiaTheme="minorEastAsia"/>
          <w:color w:val="auto"/>
          <w:sz w:val="24"/>
          <w:highlight w:val="none"/>
        </w:rPr>
      </w:pPr>
    </w:p>
    <w:p w14:paraId="7BA2559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Ansi="宋体" w:eastAsia="宋体"/>
          <w:color w:val="auto"/>
          <w:sz w:val="24"/>
          <w:szCs w:val="28"/>
          <w:highlight w:val="none"/>
          <w:lang w:val="zh-CN"/>
        </w:rPr>
      </w:pPr>
    </w:p>
    <w:p w14:paraId="1B778D7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ascii="宋体" w:hAnsi="宋体" w:eastAsia="宋体"/>
          <w:color w:val="auto"/>
          <w:sz w:val="24"/>
          <w:szCs w:val="28"/>
          <w:highlight w:val="none"/>
        </w:rPr>
      </w:pPr>
    </w:p>
    <w:p w14:paraId="13DCB21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asciiTheme="minorEastAsia" w:hAnsiTheme="minorEastAsia" w:eastAsiaTheme="minorEastAsia"/>
          <w:color w:val="auto"/>
          <w:sz w:val="24"/>
          <w:highlight w:val="none"/>
        </w:rPr>
      </w:pPr>
    </w:p>
    <w:p w14:paraId="7A581D12">
      <w:pPr>
        <w:spacing w:line="360" w:lineRule="auto"/>
        <w:ind w:firstLine="435"/>
        <w:rPr>
          <w:rFonts w:asciiTheme="minorEastAsia" w:hAnsiTheme="minorEastAsia" w:eastAsiaTheme="minorEastAsia"/>
          <w:color w:val="auto"/>
          <w:sz w:val="24"/>
          <w:highlight w:val="none"/>
        </w:rPr>
      </w:pPr>
    </w:p>
    <w:p w14:paraId="2A1BBD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92" w:name="_Toc6796"/>
      <w:bookmarkStart w:id="93" w:name="_Toc31991"/>
      <w:bookmarkStart w:id="94" w:name="_Toc7123"/>
      <w:r>
        <w:rPr>
          <w:rFonts w:hint="eastAsia" w:asciiTheme="minorEastAsia" w:hAnsiTheme="minorEastAsia" w:eastAsiaTheme="minorEastAsia"/>
          <w:b/>
          <w:color w:val="auto"/>
          <w:sz w:val="24"/>
          <w:highlight w:val="none"/>
        </w:rPr>
        <w:t>五、投标分项报价表</w:t>
      </w:r>
      <w:bookmarkEnd w:id="92"/>
      <w:bookmarkEnd w:id="93"/>
      <w:bookmarkEnd w:id="94"/>
    </w:p>
    <w:p w14:paraId="7BFA8A4B">
      <w:pPr>
        <w:pStyle w:val="39"/>
        <w:jc w:val="left"/>
        <w:rPr>
          <w:rFonts w:hint="default" w:ascii="宋体" w:hAnsi="宋体" w:eastAsia="宋体"/>
          <w:b/>
          <w:bCs/>
          <w:color w:val="auto"/>
          <w:lang w:val="en-US" w:eastAsia="zh-CN"/>
        </w:rPr>
      </w:pPr>
      <w:r>
        <w:rPr>
          <w:rFonts w:hint="eastAsia" w:ascii="宋体" w:hAnsi="宋体" w:eastAsia="宋体"/>
          <w:b/>
          <w:bCs/>
          <w:color w:val="auto"/>
          <w:lang w:val="en-US" w:eastAsia="zh-CN"/>
        </w:rPr>
        <w:t>5-1货物部分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31"/>
              <w:widowControl w:val="0"/>
              <w:spacing w:before="0" w:beforeAutospacing="0" w:after="0" w:afterAutospacing="0"/>
              <w:rPr>
                <w:rFonts w:ascii="宋体" w:hAnsi="宋体" w:eastAsia="宋体"/>
                <w:bCs w:val="0"/>
                <w:color w:val="auto"/>
                <w:kern w:val="2"/>
                <w:sz w:val="24"/>
                <w:szCs w:val="20"/>
              </w:rPr>
            </w:pPr>
            <w:r>
              <w:rPr>
                <w:rFonts w:hint="eastAsia" w:ascii="宋体" w:hAnsi="宋体" w:eastAsia="宋体"/>
                <w:bCs w:val="0"/>
                <w:color w:val="auto"/>
                <w:kern w:val="2"/>
                <w:sz w:val="24"/>
                <w:szCs w:val="20"/>
              </w:rPr>
              <w:t>序号</w:t>
            </w:r>
          </w:p>
        </w:tc>
        <w:tc>
          <w:tcPr>
            <w:tcW w:w="776" w:type="pct"/>
            <w:noWrap w:val="0"/>
            <w:vAlign w:val="center"/>
          </w:tcPr>
          <w:p w14:paraId="73FB9F55">
            <w:pPr>
              <w:jc w:val="center"/>
              <w:rPr>
                <w:rFonts w:ascii="宋体" w:hAnsi="宋体" w:eastAsia="宋体"/>
                <w:b/>
                <w:color w:val="auto"/>
                <w:sz w:val="24"/>
              </w:rPr>
            </w:pPr>
            <w:r>
              <w:rPr>
                <w:rFonts w:hint="eastAsia" w:ascii="宋体" w:hAnsi="宋体" w:eastAsia="宋体"/>
                <w:b/>
                <w:color w:val="auto"/>
                <w:sz w:val="24"/>
              </w:rPr>
              <w:t>货物名称</w:t>
            </w:r>
          </w:p>
        </w:tc>
        <w:tc>
          <w:tcPr>
            <w:tcW w:w="772" w:type="pct"/>
            <w:noWrap w:val="0"/>
            <w:vAlign w:val="center"/>
          </w:tcPr>
          <w:p w14:paraId="74F9288A">
            <w:pPr>
              <w:jc w:val="center"/>
              <w:rPr>
                <w:rFonts w:ascii="宋体" w:hAnsi="宋体" w:eastAsia="宋体"/>
                <w:b/>
                <w:color w:val="auto"/>
                <w:sz w:val="24"/>
              </w:rPr>
            </w:pPr>
            <w:r>
              <w:rPr>
                <w:rFonts w:hint="eastAsia" w:ascii="宋体" w:hAnsi="宋体" w:eastAsia="宋体"/>
                <w:b/>
                <w:color w:val="auto"/>
                <w:sz w:val="24"/>
              </w:rPr>
              <w:t>品牌、型</w:t>
            </w:r>
          </w:p>
          <w:p w14:paraId="75AB3D77">
            <w:pPr>
              <w:jc w:val="center"/>
              <w:rPr>
                <w:rFonts w:ascii="宋体" w:hAnsi="宋体" w:eastAsia="宋体"/>
                <w:b/>
                <w:color w:val="auto"/>
                <w:sz w:val="24"/>
              </w:rPr>
            </w:pPr>
            <w:r>
              <w:rPr>
                <w:rFonts w:hint="eastAsia" w:ascii="宋体" w:hAnsi="宋体" w:eastAsia="宋体"/>
                <w:b/>
                <w:color w:val="auto"/>
                <w:sz w:val="24"/>
              </w:rPr>
              <w:t>号规格</w:t>
            </w:r>
          </w:p>
        </w:tc>
        <w:tc>
          <w:tcPr>
            <w:tcW w:w="772" w:type="pct"/>
            <w:noWrap w:val="0"/>
            <w:vAlign w:val="center"/>
          </w:tcPr>
          <w:p w14:paraId="3FC9B9D4">
            <w:pPr>
              <w:jc w:val="center"/>
              <w:rPr>
                <w:rFonts w:ascii="宋体" w:hAnsi="宋体" w:eastAsia="宋体"/>
                <w:b/>
                <w:color w:val="auto"/>
                <w:sz w:val="24"/>
              </w:rPr>
            </w:pPr>
            <w:r>
              <w:rPr>
                <w:rFonts w:hint="eastAsia" w:ascii="宋体" w:hAnsi="宋体" w:eastAsia="宋体"/>
                <w:b/>
                <w:color w:val="auto"/>
                <w:sz w:val="24"/>
              </w:rPr>
              <w:t>原产地及</w:t>
            </w:r>
          </w:p>
          <w:p w14:paraId="69A6F33E">
            <w:pPr>
              <w:jc w:val="center"/>
              <w:rPr>
                <w:rFonts w:ascii="宋体" w:hAnsi="宋体" w:eastAsia="宋体"/>
                <w:b/>
                <w:color w:val="auto"/>
                <w:sz w:val="24"/>
              </w:rPr>
            </w:pPr>
            <w:r>
              <w:rPr>
                <w:rFonts w:hint="eastAsia" w:ascii="宋体" w:hAnsi="宋体" w:eastAsia="宋体"/>
                <w:b/>
                <w:color w:val="auto"/>
                <w:sz w:val="24"/>
              </w:rPr>
              <w:t>生产厂商</w:t>
            </w:r>
          </w:p>
        </w:tc>
        <w:tc>
          <w:tcPr>
            <w:tcW w:w="394" w:type="pct"/>
            <w:noWrap w:val="0"/>
            <w:vAlign w:val="center"/>
          </w:tcPr>
          <w:p w14:paraId="5E220F61">
            <w:pPr>
              <w:jc w:val="center"/>
              <w:rPr>
                <w:rFonts w:ascii="宋体" w:hAnsi="宋体" w:eastAsia="宋体"/>
                <w:b/>
                <w:color w:val="auto"/>
                <w:sz w:val="24"/>
              </w:rPr>
            </w:pPr>
            <w:r>
              <w:rPr>
                <w:rFonts w:hint="eastAsia" w:ascii="宋体" w:hAnsi="宋体" w:eastAsia="宋体"/>
                <w:b/>
                <w:color w:val="auto"/>
                <w:sz w:val="24"/>
              </w:rPr>
              <w:t>单位</w:t>
            </w:r>
          </w:p>
        </w:tc>
        <w:tc>
          <w:tcPr>
            <w:tcW w:w="394" w:type="pct"/>
            <w:noWrap w:val="0"/>
            <w:vAlign w:val="center"/>
          </w:tcPr>
          <w:p w14:paraId="320CC90F">
            <w:pPr>
              <w:jc w:val="center"/>
              <w:rPr>
                <w:rFonts w:ascii="宋体" w:hAnsi="宋体" w:eastAsia="宋体"/>
                <w:b/>
                <w:color w:val="auto"/>
                <w:sz w:val="24"/>
              </w:rPr>
            </w:pPr>
            <w:r>
              <w:rPr>
                <w:rFonts w:hint="eastAsia" w:ascii="宋体" w:hAnsi="宋体" w:eastAsia="宋体"/>
                <w:b/>
                <w:color w:val="auto"/>
                <w:sz w:val="24"/>
              </w:rPr>
              <w:t>数量</w:t>
            </w:r>
          </w:p>
        </w:tc>
        <w:tc>
          <w:tcPr>
            <w:tcW w:w="551" w:type="pct"/>
            <w:noWrap w:val="0"/>
            <w:vAlign w:val="center"/>
          </w:tcPr>
          <w:p w14:paraId="57B37F39">
            <w:pPr>
              <w:jc w:val="center"/>
              <w:rPr>
                <w:rFonts w:ascii="宋体" w:hAnsi="宋体" w:eastAsia="宋体"/>
                <w:b/>
                <w:color w:val="auto"/>
                <w:sz w:val="24"/>
              </w:rPr>
            </w:pPr>
            <w:r>
              <w:rPr>
                <w:rFonts w:hint="eastAsia" w:ascii="宋体" w:hAnsi="宋体" w:eastAsia="宋体"/>
                <w:b/>
                <w:color w:val="auto"/>
                <w:sz w:val="24"/>
              </w:rPr>
              <w:t>单价</w:t>
            </w:r>
          </w:p>
          <w:p w14:paraId="39894848">
            <w:pPr>
              <w:jc w:val="center"/>
              <w:rPr>
                <w:rFonts w:ascii="宋体" w:hAnsi="宋体" w:eastAsia="宋体"/>
                <w:b/>
                <w:color w:val="auto"/>
                <w:sz w:val="24"/>
              </w:rPr>
            </w:pPr>
            <w:r>
              <w:rPr>
                <w:rFonts w:hint="eastAsia" w:ascii="宋体" w:hAnsi="宋体" w:eastAsia="宋体"/>
                <w:b/>
                <w:color w:val="auto"/>
                <w:sz w:val="24"/>
              </w:rPr>
              <w:t>（元）</w:t>
            </w:r>
          </w:p>
        </w:tc>
        <w:tc>
          <w:tcPr>
            <w:tcW w:w="551" w:type="pct"/>
            <w:noWrap w:val="0"/>
            <w:vAlign w:val="center"/>
          </w:tcPr>
          <w:p w14:paraId="3425285D">
            <w:pPr>
              <w:jc w:val="center"/>
              <w:rPr>
                <w:rFonts w:ascii="宋体" w:hAnsi="宋体" w:eastAsia="宋体"/>
                <w:b/>
                <w:color w:val="auto"/>
                <w:sz w:val="24"/>
              </w:rPr>
            </w:pPr>
            <w:r>
              <w:rPr>
                <w:rFonts w:hint="eastAsia" w:ascii="宋体" w:hAnsi="宋体" w:eastAsia="宋体"/>
                <w:b/>
                <w:color w:val="auto"/>
                <w:sz w:val="24"/>
              </w:rPr>
              <w:t>小计</w:t>
            </w:r>
          </w:p>
          <w:p w14:paraId="57010817">
            <w:pPr>
              <w:jc w:val="center"/>
              <w:rPr>
                <w:rFonts w:ascii="宋体" w:hAnsi="宋体" w:eastAsia="宋体"/>
                <w:b/>
                <w:color w:val="auto"/>
                <w:sz w:val="24"/>
              </w:rPr>
            </w:pPr>
            <w:r>
              <w:rPr>
                <w:rFonts w:hint="eastAsia" w:ascii="宋体" w:hAnsi="宋体" w:eastAsia="宋体"/>
                <w:b/>
                <w:color w:val="auto"/>
                <w:sz w:val="24"/>
              </w:rPr>
              <w:t>（元）</w:t>
            </w:r>
          </w:p>
        </w:tc>
        <w:tc>
          <w:tcPr>
            <w:tcW w:w="393" w:type="pct"/>
            <w:noWrap w:val="0"/>
            <w:vAlign w:val="center"/>
          </w:tcPr>
          <w:p w14:paraId="47A63804">
            <w:pPr>
              <w:jc w:val="center"/>
              <w:rPr>
                <w:rFonts w:ascii="宋体" w:hAnsi="宋体" w:eastAsia="宋体"/>
                <w:b/>
                <w:color w:val="auto"/>
                <w:sz w:val="24"/>
              </w:rPr>
            </w:pPr>
            <w:r>
              <w:rPr>
                <w:rFonts w:hint="eastAsia" w:ascii="宋体" w:hAnsi="宋体" w:eastAsia="宋体"/>
                <w:b/>
                <w:color w:val="auto"/>
                <w:sz w:val="24"/>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color w:val="auto"/>
                <w:sz w:val="24"/>
              </w:rPr>
            </w:pPr>
            <w:r>
              <w:rPr>
                <w:rFonts w:hint="eastAsia" w:ascii="宋体" w:hAnsi="宋体" w:eastAsia="宋体"/>
                <w:color w:val="auto"/>
                <w:sz w:val="24"/>
              </w:rPr>
              <w:t>1</w:t>
            </w:r>
          </w:p>
        </w:tc>
        <w:tc>
          <w:tcPr>
            <w:tcW w:w="776" w:type="pct"/>
            <w:noWrap w:val="0"/>
            <w:vAlign w:val="top"/>
          </w:tcPr>
          <w:p w14:paraId="7761E195">
            <w:pPr>
              <w:rPr>
                <w:rFonts w:ascii="宋体" w:hAnsi="宋体" w:eastAsia="宋体"/>
                <w:color w:val="auto"/>
                <w:sz w:val="24"/>
              </w:rPr>
            </w:pPr>
          </w:p>
        </w:tc>
        <w:tc>
          <w:tcPr>
            <w:tcW w:w="772" w:type="pct"/>
            <w:noWrap w:val="0"/>
            <w:vAlign w:val="top"/>
          </w:tcPr>
          <w:p w14:paraId="0375DE1C">
            <w:pPr>
              <w:rPr>
                <w:rFonts w:ascii="宋体" w:hAnsi="宋体" w:eastAsia="宋体"/>
                <w:color w:val="auto"/>
                <w:sz w:val="24"/>
              </w:rPr>
            </w:pPr>
          </w:p>
        </w:tc>
        <w:tc>
          <w:tcPr>
            <w:tcW w:w="772" w:type="pct"/>
            <w:noWrap w:val="0"/>
            <w:vAlign w:val="top"/>
          </w:tcPr>
          <w:p w14:paraId="52FF1C92">
            <w:pPr>
              <w:rPr>
                <w:rFonts w:ascii="宋体" w:hAnsi="宋体" w:eastAsia="宋体"/>
                <w:color w:val="auto"/>
                <w:sz w:val="24"/>
              </w:rPr>
            </w:pPr>
          </w:p>
        </w:tc>
        <w:tc>
          <w:tcPr>
            <w:tcW w:w="394" w:type="pct"/>
            <w:noWrap w:val="0"/>
            <w:vAlign w:val="top"/>
          </w:tcPr>
          <w:p w14:paraId="7C01FFE9">
            <w:pPr>
              <w:rPr>
                <w:rFonts w:ascii="宋体" w:hAnsi="宋体" w:eastAsia="宋体"/>
                <w:color w:val="auto"/>
                <w:sz w:val="24"/>
              </w:rPr>
            </w:pPr>
          </w:p>
        </w:tc>
        <w:tc>
          <w:tcPr>
            <w:tcW w:w="394" w:type="pct"/>
            <w:noWrap w:val="0"/>
            <w:vAlign w:val="top"/>
          </w:tcPr>
          <w:p w14:paraId="4DE5AC10">
            <w:pPr>
              <w:rPr>
                <w:rFonts w:ascii="宋体" w:hAnsi="宋体" w:eastAsia="宋体"/>
                <w:color w:val="auto"/>
                <w:sz w:val="24"/>
              </w:rPr>
            </w:pPr>
          </w:p>
        </w:tc>
        <w:tc>
          <w:tcPr>
            <w:tcW w:w="551" w:type="pct"/>
            <w:noWrap w:val="0"/>
            <w:vAlign w:val="top"/>
          </w:tcPr>
          <w:p w14:paraId="21DA4597">
            <w:pPr>
              <w:rPr>
                <w:rFonts w:ascii="宋体" w:hAnsi="宋体" w:eastAsia="宋体"/>
                <w:color w:val="auto"/>
                <w:sz w:val="24"/>
              </w:rPr>
            </w:pPr>
          </w:p>
        </w:tc>
        <w:tc>
          <w:tcPr>
            <w:tcW w:w="551" w:type="pct"/>
            <w:noWrap w:val="0"/>
            <w:vAlign w:val="top"/>
          </w:tcPr>
          <w:p w14:paraId="2A9B41D8">
            <w:pPr>
              <w:rPr>
                <w:rFonts w:ascii="宋体" w:hAnsi="宋体" w:eastAsia="宋体"/>
                <w:color w:val="auto"/>
                <w:sz w:val="24"/>
              </w:rPr>
            </w:pPr>
          </w:p>
        </w:tc>
        <w:tc>
          <w:tcPr>
            <w:tcW w:w="393" w:type="pct"/>
            <w:noWrap w:val="0"/>
            <w:vAlign w:val="top"/>
          </w:tcPr>
          <w:p w14:paraId="2B68B0FE">
            <w:pPr>
              <w:rPr>
                <w:rFonts w:ascii="宋体" w:hAnsi="宋体" w:eastAsia="宋体"/>
                <w:color w:val="auto"/>
                <w:sz w:val="24"/>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color w:val="auto"/>
                <w:sz w:val="24"/>
              </w:rPr>
            </w:pPr>
            <w:r>
              <w:rPr>
                <w:rFonts w:hint="eastAsia" w:ascii="宋体" w:hAnsi="宋体" w:eastAsia="宋体"/>
                <w:color w:val="auto"/>
                <w:sz w:val="24"/>
              </w:rPr>
              <w:t>2</w:t>
            </w:r>
          </w:p>
        </w:tc>
        <w:tc>
          <w:tcPr>
            <w:tcW w:w="776" w:type="pct"/>
            <w:noWrap w:val="0"/>
            <w:vAlign w:val="top"/>
          </w:tcPr>
          <w:p w14:paraId="1C5F27B4">
            <w:pPr>
              <w:rPr>
                <w:rFonts w:ascii="宋体" w:hAnsi="宋体" w:eastAsia="宋体"/>
                <w:color w:val="auto"/>
                <w:sz w:val="24"/>
              </w:rPr>
            </w:pPr>
          </w:p>
        </w:tc>
        <w:tc>
          <w:tcPr>
            <w:tcW w:w="772" w:type="pct"/>
            <w:noWrap w:val="0"/>
            <w:vAlign w:val="top"/>
          </w:tcPr>
          <w:p w14:paraId="439F3115">
            <w:pPr>
              <w:rPr>
                <w:rFonts w:ascii="宋体" w:hAnsi="宋体" w:eastAsia="宋体"/>
                <w:color w:val="auto"/>
                <w:sz w:val="24"/>
              </w:rPr>
            </w:pPr>
          </w:p>
        </w:tc>
        <w:tc>
          <w:tcPr>
            <w:tcW w:w="772" w:type="pct"/>
            <w:noWrap w:val="0"/>
            <w:vAlign w:val="top"/>
          </w:tcPr>
          <w:p w14:paraId="0B5EF6A2">
            <w:pPr>
              <w:rPr>
                <w:rFonts w:ascii="宋体" w:hAnsi="宋体" w:eastAsia="宋体"/>
                <w:color w:val="auto"/>
                <w:sz w:val="24"/>
              </w:rPr>
            </w:pPr>
          </w:p>
        </w:tc>
        <w:tc>
          <w:tcPr>
            <w:tcW w:w="394" w:type="pct"/>
            <w:noWrap w:val="0"/>
            <w:vAlign w:val="top"/>
          </w:tcPr>
          <w:p w14:paraId="66BA4716">
            <w:pPr>
              <w:rPr>
                <w:rFonts w:ascii="宋体" w:hAnsi="宋体" w:eastAsia="宋体"/>
                <w:color w:val="auto"/>
                <w:sz w:val="24"/>
              </w:rPr>
            </w:pPr>
          </w:p>
        </w:tc>
        <w:tc>
          <w:tcPr>
            <w:tcW w:w="394" w:type="pct"/>
            <w:noWrap w:val="0"/>
            <w:vAlign w:val="top"/>
          </w:tcPr>
          <w:p w14:paraId="4981F119">
            <w:pPr>
              <w:rPr>
                <w:rFonts w:ascii="宋体" w:hAnsi="宋体" w:eastAsia="宋体"/>
                <w:color w:val="auto"/>
                <w:sz w:val="24"/>
              </w:rPr>
            </w:pPr>
          </w:p>
        </w:tc>
        <w:tc>
          <w:tcPr>
            <w:tcW w:w="551" w:type="pct"/>
            <w:noWrap w:val="0"/>
            <w:vAlign w:val="top"/>
          </w:tcPr>
          <w:p w14:paraId="6A08DEBB">
            <w:pPr>
              <w:rPr>
                <w:rFonts w:ascii="宋体" w:hAnsi="宋体" w:eastAsia="宋体"/>
                <w:color w:val="auto"/>
                <w:sz w:val="24"/>
              </w:rPr>
            </w:pPr>
          </w:p>
        </w:tc>
        <w:tc>
          <w:tcPr>
            <w:tcW w:w="551" w:type="pct"/>
            <w:noWrap w:val="0"/>
            <w:vAlign w:val="top"/>
          </w:tcPr>
          <w:p w14:paraId="21EA39CE">
            <w:pPr>
              <w:rPr>
                <w:rFonts w:ascii="宋体" w:hAnsi="宋体" w:eastAsia="宋体"/>
                <w:color w:val="auto"/>
                <w:sz w:val="24"/>
              </w:rPr>
            </w:pPr>
          </w:p>
        </w:tc>
        <w:tc>
          <w:tcPr>
            <w:tcW w:w="393" w:type="pct"/>
            <w:noWrap w:val="0"/>
            <w:vAlign w:val="top"/>
          </w:tcPr>
          <w:p w14:paraId="2599FD7C">
            <w:pPr>
              <w:rPr>
                <w:rFonts w:ascii="宋体" w:hAnsi="宋体" w:eastAsia="宋体"/>
                <w:color w:val="auto"/>
                <w:sz w:val="24"/>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color w:val="auto"/>
                <w:sz w:val="24"/>
              </w:rPr>
            </w:pPr>
            <w:r>
              <w:rPr>
                <w:rFonts w:hint="eastAsia" w:ascii="宋体" w:hAnsi="宋体" w:eastAsia="宋体"/>
                <w:color w:val="auto"/>
                <w:sz w:val="24"/>
              </w:rPr>
              <w:t>3</w:t>
            </w:r>
          </w:p>
        </w:tc>
        <w:tc>
          <w:tcPr>
            <w:tcW w:w="776" w:type="pct"/>
            <w:noWrap w:val="0"/>
            <w:vAlign w:val="top"/>
          </w:tcPr>
          <w:p w14:paraId="3F508895">
            <w:pPr>
              <w:rPr>
                <w:rFonts w:ascii="宋体" w:hAnsi="宋体" w:eastAsia="宋体"/>
                <w:color w:val="auto"/>
                <w:sz w:val="24"/>
              </w:rPr>
            </w:pPr>
          </w:p>
        </w:tc>
        <w:tc>
          <w:tcPr>
            <w:tcW w:w="772" w:type="pct"/>
            <w:noWrap w:val="0"/>
            <w:vAlign w:val="top"/>
          </w:tcPr>
          <w:p w14:paraId="20B310BD">
            <w:pPr>
              <w:rPr>
                <w:rFonts w:ascii="宋体" w:hAnsi="宋体" w:eastAsia="宋体"/>
                <w:color w:val="auto"/>
                <w:sz w:val="24"/>
              </w:rPr>
            </w:pPr>
          </w:p>
        </w:tc>
        <w:tc>
          <w:tcPr>
            <w:tcW w:w="772" w:type="pct"/>
            <w:noWrap w:val="0"/>
            <w:vAlign w:val="top"/>
          </w:tcPr>
          <w:p w14:paraId="09A7230D">
            <w:pPr>
              <w:rPr>
                <w:rFonts w:ascii="宋体" w:hAnsi="宋体" w:eastAsia="宋体"/>
                <w:color w:val="auto"/>
                <w:sz w:val="24"/>
              </w:rPr>
            </w:pPr>
          </w:p>
        </w:tc>
        <w:tc>
          <w:tcPr>
            <w:tcW w:w="394" w:type="pct"/>
            <w:noWrap w:val="0"/>
            <w:vAlign w:val="top"/>
          </w:tcPr>
          <w:p w14:paraId="275F91C4">
            <w:pPr>
              <w:rPr>
                <w:rFonts w:ascii="宋体" w:hAnsi="宋体" w:eastAsia="宋体"/>
                <w:color w:val="auto"/>
                <w:sz w:val="24"/>
              </w:rPr>
            </w:pPr>
          </w:p>
        </w:tc>
        <w:tc>
          <w:tcPr>
            <w:tcW w:w="394" w:type="pct"/>
            <w:noWrap w:val="0"/>
            <w:vAlign w:val="top"/>
          </w:tcPr>
          <w:p w14:paraId="6E9B5D37">
            <w:pPr>
              <w:rPr>
                <w:rFonts w:ascii="宋体" w:hAnsi="宋体" w:eastAsia="宋体"/>
                <w:color w:val="auto"/>
                <w:sz w:val="24"/>
              </w:rPr>
            </w:pPr>
          </w:p>
        </w:tc>
        <w:tc>
          <w:tcPr>
            <w:tcW w:w="551" w:type="pct"/>
            <w:noWrap w:val="0"/>
            <w:vAlign w:val="top"/>
          </w:tcPr>
          <w:p w14:paraId="7D351FDC">
            <w:pPr>
              <w:rPr>
                <w:rFonts w:ascii="宋体" w:hAnsi="宋体" w:eastAsia="宋体"/>
                <w:color w:val="auto"/>
                <w:sz w:val="24"/>
              </w:rPr>
            </w:pPr>
          </w:p>
        </w:tc>
        <w:tc>
          <w:tcPr>
            <w:tcW w:w="551" w:type="pct"/>
            <w:noWrap w:val="0"/>
            <w:vAlign w:val="top"/>
          </w:tcPr>
          <w:p w14:paraId="68D6AC0F">
            <w:pPr>
              <w:rPr>
                <w:rFonts w:ascii="宋体" w:hAnsi="宋体" w:eastAsia="宋体"/>
                <w:color w:val="auto"/>
                <w:sz w:val="24"/>
              </w:rPr>
            </w:pPr>
          </w:p>
        </w:tc>
        <w:tc>
          <w:tcPr>
            <w:tcW w:w="393" w:type="pct"/>
            <w:noWrap w:val="0"/>
            <w:vAlign w:val="top"/>
          </w:tcPr>
          <w:p w14:paraId="2EB92AF3">
            <w:pPr>
              <w:rPr>
                <w:rFonts w:ascii="宋体" w:hAnsi="宋体" w:eastAsia="宋体"/>
                <w:color w:val="auto"/>
                <w:sz w:val="24"/>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color w:val="auto"/>
                <w:sz w:val="24"/>
              </w:rPr>
            </w:pPr>
            <w:r>
              <w:rPr>
                <w:rFonts w:hint="eastAsia" w:ascii="宋体" w:hAnsi="宋体" w:eastAsia="宋体"/>
                <w:color w:val="auto"/>
                <w:sz w:val="24"/>
              </w:rPr>
              <w:t>…</w:t>
            </w:r>
          </w:p>
        </w:tc>
        <w:tc>
          <w:tcPr>
            <w:tcW w:w="776" w:type="pct"/>
            <w:noWrap w:val="0"/>
            <w:vAlign w:val="top"/>
          </w:tcPr>
          <w:p w14:paraId="52FDDD29">
            <w:pPr>
              <w:rPr>
                <w:rFonts w:ascii="宋体" w:hAnsi="宋体" w:eastAsia="宋体"/>
                <w:color w:val="auto"/>
                <w:sz w:val="24"/>
              </w:rPr>
            </w:pPr>
          </w:p>
        </w:tc>
        <w:tc>
          <w:tcPr>
            <w:tcW w:w="772" w:type="pct"/>
            <w:noWrap w:val="0"/>
            <w:vAlign w:val="top"/>
          </w:tcPr>
          <w:p w14:paraId="0F448206">
            <w:pPr>
              <w:rPr>
                <w:rFonts w:ascii="宋体" w:hAnsi="宋体" w:eastAsia="宋体"/>
                <w:color w:val="auto"/>
                <w:sz w:val="24"/>
              </w:rPr>
            </w:pPr>
          </w:p>
        </w:tc>
        <w:tc>
          <w:tcPr>
            <w:tcW w:w="772" w:type="pct"/>
            <w:noWrap w:val="0"/>
            <w:vAlign w:val="top"/>
          </w:tcPr>
          <w:p w14:paraId="6F4523F1">
            <w:pPr>
              <w:rPr>
                <w:rFonts w:ascii="宋体" w:hAnsi="宋体" w:eastAsia="宋体"/>
                <w:color w:val="auto"/>
                <w:sz w:val="24"/>
              </w:rPr>
            </w:pPr>
          </w:p>
        </w:tc>
        <w:tc>
          <w:tcPr>
            <w:tcW w:w="394" w:type="pct"/>
            <w:noWrap w:val="0"/>
            <w:vAlign w:val="top"/>
          </w:tcPr>
          <w:p w14:paraId="5713503A">
            <w:pPr>
              <w:rPr>
                <w:rFonts w:ascii="宋体" w:hAnsi="宋体" w:eastAsia="宋体"/>
                <w:color w:val="auto"/>
                <w:sz w:val="24"/>
              </w:rPr>
            </w:pPr>
          </w:p>
        </w:tc>
        <w:tc>
          <w:tcPr>
            <w:tcW w:w="394" w:type="pct"/>
            <w:noWrap w:val="0"/>
            <w:vAlign w:val="top"/>
          </w:tcPr>
          <w:p w14:paraId="44B66D33">
            <w:pPr>
              <w:rPr>
                <w:rFonts w:ascii="宋体" w:hAnsi="宋体" w:eastAsia="宋体"/>
                <w:color w:val="auto"/>
                <w:sz w:val="24"/>
              </w:rPr>
            </w:pPr>
          </w:p>
        </w:tc>
        <w:tc>
          <w:tcPr>
            <w:tcW w:w="551" w:type="pct"/>
            <w:noWrap w:val="0"/>
            <w:vAlign w:val="top"/>
          </w:tcPr>
          <w:p w14:paraId="4D3028A2">
            <w:pPr>
              <w:rPr>
                <w:rFonts w:ascii="宋体" w:hAnsi="宋体" w:eastAsia="宋体"/>
                <w:color w:val="auto"/>
                <w:sz w:val="24"/>
              </w:rPr>
            </w:pPr>
          </w:p>
        </w:tc>
        <w:tc>
          <w:tcPr>
            <w:tcW w:w="551" w:type="pct"/>
            <w:noWrap w:val="0"/>
            <w:vAlign w:val="top"/>
          </w:tcPr>
          <w:p w14:paraId="1790092E">
            <w:pPr>
              <w:rPr>
                <w:rFonts w:ascii="宋体" w:hAnsi="宋体" w:eastAsia="宋体"/>
                <w:color w:val="auto"/>
                <w:sz w:val="24"/>
              </w:rPr>
            </w:pPr>
          </w:p>
        </w:tc>
        <w:tc>
          <w:tcPr>
            <w:tcW w:w="393" w:type="pct"/>
            <w:noWrap w:val="0"/>
            <w:vAlign w:val="top"/>
          </w:tcPr>
          <w:p w14:paraId="578F6552">
            <w:pPr>
              <w:rPr>
                <w:rFonts w:ascii="宋体" w:hAnsi="宋体" w:eastAsia="宋体"/>
                <w:color w:val="auto"/>
                <w:sz w:val="24"/>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color w:val="auto"/>
                <w:sz w:val="24"/>
              </w:rPr>
            </w:pPr>
            <w:r>
              <w:rPr>
                <w:rFonts w:hint="eastAsia" w:ascii="宋体" w:hAnsi="宋体" w:eastAsia="宋体"/>
                <w:b/>
                <w:color w:val="auto"/>
                <w:sz w:val="24"/>
              </w:rPr>
              <w:t>合计</w:t>
            </w:r>
            <w:r>
              <w:rPr>
                <w:rFonts w:hint="eastAsia" w:ascii="宋体" w:hAnsi="宋体" w:eastAsia="宋体"/>
                <w:b/>
                <w:color w:val="auto"/>
                <w:sz w:val="24"/>
                <w:lang w:val="en-US" w:eastAsia="zh-CN"/>
              </w:rPr>
              <w:t>金额</w:t>
            </w:r>
            <w:r>
              <w:rPr>
                <w:rFonts w:hint="eastAsia" w:ascii="宋体" w:hAnsi="宋体" w:eastAsia="宋体"/>
                <w:b/>
                <w:color w:val="auto"/>
                <w:sz w:val="24"/>
              </w:rPr>
              <w:t>（元）</w:t>
            </w:r>
          </w:p>
        </w:tc>
        <w:tc>
          <w:tcPr>
            <w:tcW w:w="945" w:type="pct"/>
            <w:gridSpan w:val="2"/>
            <w:noWrap w:val="0"/>
            <w:vAlign w:val="top"/>
          </w:tcPr>
          <w:p w14:paraId="559957D4">
            <w:pPr>
              <w:rPr>
                <w:rFonts w:ascii="宋体" w:hAnsi="宋体" w:eastAsia="宋体"/>
                <w:color w:val="auto"/>
                <w:sz w:val="24"/>
              </w:rPr>
            </w:pPr>
          </w:p>
        </w:tc>
      </w:tr>
    </w:tbl>
    <w:p w14:paraId="6AD76037">
      <w:pPr>
        <w:spacing w:line="360" w:lineRule="auto"/>
        <w:ind w:firstLine="435"/>
        <w:jc w:val="right"/>
        <w:rPr>
          <w:rFonts w:hint="eastAsia" w:ascii="宋体" w:hAnsi="宋体" w:eastAsia="宋体"/>
          <w:b/>
          <w:bCs/>
          <w:color w:val="auto"/>
          <w:lang w:val="en-US" w:eastAsia="zh-CN"/>
        </w:rPr>
      </w:pPr>
      <w:r>
        <w:rPr>
          <w:rFonts w:hint="eastAsia" w:ascii="宋体" w:hAnsi="宋体" w:eastAsia="宋体"/>
          <w:bCs/>
          <w:color w:val="auto"/>
          <w:sz w:val="24"/>
          <w:szCs w:val="28"/>
          <w:highlight w:val="none"/>
          <w:u w:val="single"/>
        </w:rPr>
        <w:t xml:space="preserve">       </w:t>
      </w:r>
    </w:p>
    <w:p w14:paraId="7C354805">
      <w:pPr>
        <w:pStyle w:val="39"/>
        <w:jc w:val="both"/>
        <w:rPr>
          <w:rFonts w:hint="eastAsia" w:ascii="宋体" w:hAnsi="宋体" w:eastAsia="宋体"/>
          <w:b/>
          <w:bCs/>
          <w:color w:val="auto"/>
          <w:lang w:val="en-US" w:eastAsia="zh-CN"/>
        </w:rPr>
      </w:pPr>
      <w:r>
        <w:rPr>
          <w:rFonts w:hint="eastAsia" w:ascii="宋体" w:hAnsi="宋体" w:eastAsia="宋体"/>
          <w:b/>
          <w:bCs/>
          <w:color w:val="auto"/>
          <w:lang w:val="en-US" w:eastAsia="zh-CN"/>
        </w:rPr>
        <w:t>5-</w:t>
      </w:r>
      <w:r>
        <w:rPr>
          <w:rFonts w:hint="eastAsia" w:ascii="宋体" w:hAnsi="宋体"/>
          <w:b/>
          <w:bCs/>
          <w:color w:val="auto"/>
          <w:lang w:val="en-US" w:eastAsia="zh-CN"/>
        </w:rPr>
        <w:t>2</w:t>
      </w:r>
      <w:r>
        <w:rPr>
          <w:rFonts w:hint="eastAsia" w:ascii="宋体" w:hAnsi="宋体" w:eastAsia="宋体"/>
          <w:b/>
          <w:bCs/>
          <w:color w:val="auto"/>
          <w:lang w:val="en-US" w:eastAsia="zh-CN"/>
        </w:rPr>
        <w:t xml:space="preserve"> 符合本国产品标准的产品成本之和占比</w:t>
      </w:r>
    </w:p>
    <w:tbl>
      <w:tblPr>
        <w:tblStyle w:val="23"/>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color w:val="auto"/>
                <w:sz w:val="21"/>
                <w:szCs w:val="21"/>
                <w:vertAlign w:val="baseline"/>
                <w:lang w:eastAsia="zh-CN"/>
              </w:rPr>
            </w:pPr>
            <w:r>
              <w:rPr>
                <w:rFonts w:hint="eastAsia" w:ascii="宋体" w:hAnsi="宋体" w:eastAsia="宋体" w:cs="宋体"/>
                <w:color w:val="auto"/>
                <w:sz w:val="24"/>
                <w:szCs w:val="24"/>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u w:val="single"/>
                <w:lang w:val="en-US" w:eastAsia="zh-CN"/>
              </w:rPr>
            </w:pPr>
          </w:p>
          <w:p w14:paraId="218CB0CA">
            <w:pPr>
              <w:spacing w:line="360" w:lineRule="auto"/>
              <w:rPr>
                <w:rFonts w:hint="eastAsia" w:ascii="宋体" w:hAnsi="宋体" w:eastAsia="宋体"/>
                <w:b/>
                <w:bCs/>
                <w:color w:val="auto"/>
                <w:sz w:val="21"/>
                <w:szCs w:val="21"/>
                <w:vertAlign w:val="baseline"/>
                <w:lang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Times New Roman"/>
                <w:b w:val="0"/>
                <w:bCs/>
                <w:color w:val="auto"/>
                <w:szCs w:val="24"/>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color w:val="auto"/>
                <w:szCs w:val="24"/>
                <w:lang w:val="en-US" w:eastAsia="zh-CN"/>
              </w:rPr>
            </w:pPr>
            <w:r>
              <w:rPr>
                <w:rFonts w:hint="eastAsia" w:ascii="宋体" w:hAnsi="宋体" w:eastAsia="宋体" w:cs="Times New Roman"/>
                <w:b/>
                <w:bCs w:val="0"/>
                <w:color w:val="auto"/>
                <w:szCs w:val="24"/>
                <w:lang w:val="en-US" w:eastAsia="zh-CN"/>
              </w:rPr>
              <w:t>提醒：</w:t>
            </w:r>
          </w:p>
          <w:p w14:paraId="4211CC09">
            <w:pPr>
              <w:tabs>
                <w:tab w:val="left" w:pos="4620"/>
              </w:tabs>
              <w:spacing w:line="360" w:lineRule="auto"/>
              <w:jc w:val="left"/>
              <w:rPr>
                <w:rFonts w:hint="eastAsia" w:ascii="宋体" w:hAnsi="宋体" w:eastAsia="宋体" w:cs="Times New Roman"/>
                <w:b w:val="0"/>
                <w:bCs/>
                <w:color w:val="auto"/>
                <w:szCs w:val="24"/>
                <w:lang w:val="en-US" w:eastAsia="zh-CN"/>
              </w:rPr>
            </w:pPr>
            <w:r>
              <w:rPr>
                <w:rFonts w:hint="eastAsia" w:ascii="宋体" w:hAnsi="宋体" w:eastAsia="宋体" w:cs="Times New Roman"/>
                <w:b w:val="0"/>
                <w:bCs/>
                <w:color w:val="auto"/>
                <w:szCs w:val="24"/>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color w:val="auto"/>
          <w:sz w:val="21"/>
          <w:szCs w:val="21"/>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lang w:eastAsia="zh-CN"/>
        </w:rPr>
      </w:pPr>
      <w:r>
        <w:rPr>
          <w:rFonts w:hint="eastAsia" w:ascii="宋体" w:hAnsi="宋体" w:eastAsia="宋体"/>
          <w:b/>
          <w:bCs/>
          <w:color w:val="auto"/>
          <w:sz w:val="21"/>
          <w:szCs w:val="21"/>
          <w:lang w:eastAsia="zh-CN"/>
        </w:rPr>
        <w:t>注：</w:t>
      </w:r>
    </w:p>
    <w:p w14:paraId="0FC5F10B">
      <w:pPr>
        <w:spacing w:line="360" w:lineRule="auto"/>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1.表5-1</w:t>
      </w:r>
      <w:r>
        <w:rPr>
          <w:rFonts w:hint="eastAsia" w:ascii="宋体" w:hAnsi="宋体" w:eastAsia="宋体"/>
          <w:color w:val="auto"/>
          <w:sz w:val="21"/>
          <w:szCs w:val="21"/>
        </w:rPr>
        <w:t>中须明确列出所投产品的货物名称、品牌、型号规格、原产地及生产厂商，否则可能导致</w:t>
      </w:r>
      <w:r>
        <w:rPr>
          <w:rFonts w:hint="eastAsia" w:ascii="宋体" w:hAnsi="宋体" w:eastAsia="宋体"/>
          <w:b/>
          <w:bCs/>
          <w:color w:val="auto"/>
          <w:sz w:val="21"/>
          <w:szCs w:val="21"/>
        </w:rPr>
        <w:t>投标无效</w:t>
      </w:r>
      <w:r>
        <w:rPr>
          <w:rFonts w:hint="eastAsia" w:ascii="宋体" w:hAnsi="宋体" w:eastAsia="宋体"/>
          <w:b/>
          <w:bCs/>
          <w:color w:val="auto"/>
          <w:sz w:val="21"/>
          <w:szCs w:val="21"/>
          <w:lang w:eastAsia="zh-CN"/>
        </w:rPr>
        <w:t>。</w:t>
      </w:r>
    </w:p>
    <w:p w14:paraId="6F8C7329">
      <w:pPr>
        <w:spacing w:line="360" w:lineRule="auto"/>
        <w:rPr>
          <w:rFonts w:hint="eastAsia" w:ascii="宋体" w:hAnsi="宋体" w:eastAsia="宋体"/>
          <w:color w:val="auto"/>
          <w:sz w:val="21"/>
          <w:szCs w:val="21"/>
        </w:rPr>
      </w:pPr>
      <w:r>
        <w:rPr>
          <w:rFonts w:hint="eastAsia" w:ascii="宋体" w:hAnsi="宋体" w:eastAsia="宋体"/>
          <w:color w:val="auto"/>
          <w:sz w:val="21"/>
          <w:szCs w:val="21"/>
          <w:lang w:val="en-US" w:eastAsia="zh-CN"/>
        </w:rPr>
        <w:t>2.上述报价为投标人完成本项目内容的全部费用（总报价为表5-1合计金额），</w:t>
      </w:r>
      <w:r>
        <w:rPr>
          <w:rFonts w:hint="eastAsia" w:ascii="宋体" w:hAnsi="宋体" w:eastAsia="宋体"/>
          <w:color w:val="auto"/>
          <w:sz w:val="21"/>
          <w:szCs w:val="21"/>
        </w:rPr>
        <w:t>如有漏项或缺项，</w:t>
      </w:r>
      <w:r>
        <w:rPr>
          <w:rFonts w:hint="eastAsia" w:ascii="宋体" w:hAnsi="宋体" w:eastAsia="宋体"/>
          <w:color w:val="auto"/>
          <w:sz w:val="21"/>
          <w:szCs w:val="21"/>
          <w:lang w:val="en-US" w:eastAsia="zh-CN"/>
        </w:rPr>
        <w:t>自行</w:t>
      </w:r>
      <w:r>
        <w:rPr>
          <w:rFonts w:hint="eastAsia" w:ascii="宋体" w:hAnsi="宋体" w:eastAsia="宋体"/>
          <w:color w:val="auto"/>
          <w:sz w:val="21"/>
          <w:szCs w:val="21"/>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95" w:name="_Toc11940"/>
      <w:bookmarkStart w:id="96" w:name="_Toc20329"/>
      <w:bookmarkStart w:id="97" w:name="_Toc10929"/>
      <w:r>
        <w:rPr>
          <w:rFonts w:hint="eastAsia" w:asciiTheme="minorEastAsia" w:hAnsiTheme="minorEastAsia" w:eastAsiaTheme="minorEastAsia"/>
          <w:b/>
          <w:color w:val="auto"/>
          <w:sz w:val="24"/>
          <w:highlight w:val="none"/>
        </w:rPr>
        <w:t>六、投标响应表</w:t>
      </w:r>
      <w:bookmarkEnd w:id="95"/>
      <w:bookmarkEnd w:id="96"/>
      <w:bookmarkEnd w:id="97"/>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39"/>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39"/>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39"/>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2"/>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98" w:name="_Toc9573"/>
      <w:bookmarkStart w:id="99" w:name="_Toc31244"/>
      <w:bookmarkStart w:id="100" w:name="_Toc15519"/>
      <w:bookmarkStart w:id="101" w:name="OLE_LINK14"/>
      <w:bookmarkStart w:id="102" w:name="OLE_LINK13"/>
      <w:r>
        <w:rPr>
          <w:rFonts w:hint="eastAsia" w:asciiTheme="minorEastAsia" w:hAnsiTheme="minorEastAsia" w:eastAsiaTheme="minorEastAsia"/>
          <w:b/>
          <w:color w:val="auto"/>
          <w:sz w:val="24"/>
          <w:highlight w:val="none"/>
          <w:lang w:val="en-US" w:eastAsia="zh-CN"/>
        </w:rPr>
        <w:t>七、中小企业声明函</w:t>
      </w:r>
      <w:bookmarkEnd w:id="98"/>
      <w:bookmarkEnd w:id="99"/>
      <w:bookmarkEnd w:id="100"/>
    </w:p>
    <w:p w14:paraId="745ACDA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p>
    <w:p w14:paraId="7313C946">
      <w:pPr>
        <w:rPr>
          <w:rFonts w:asciiTheme="minorEastAsia" w:hAnsiTheme="minorEastAsia" w:eastAsiaTheme="minorEastAsia"/>
          <w:color w:val="auto"/>
          <w:sz w:val="24"/>
          <w:szCs w:val="24"/>
          <w:highlight w:val="none"/>
        </w:rPr>
      </w:pP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3B63DE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69841C">
      <w:pPr>
        <w:spacing w:line="360" w:lineRule="auto"/>
        <w:ind w:firstLine="435"/>
        <w:rPr>
          <w:rFonts w:asciiTheme="minorEastAsia" w:hAnsiTheme="minorEastAsia" w:eastAsiaTheme="minorEastAsia"/>
          <w:color w:val="auto"/>
          <w:sz w:val="24"/>
          <w:szCs w:val="24"/>
          <w:highlight w:val="none"/>
        </w:rPr>
      </w:pPr>
    </w:p>
    <w:p w14:paraId="7E5A3731">
      <w:pPr>
        <w:spacing w:line="360" w:lineRule="auto"/>
        <w:ind w:firstLine="435"/>
        <w:rPr>
          <w:rFonts w:asciiTheme="minorEastAsia" w:hAnsiTheme="minorEastAsia" w:eastAsiaTheme="minorEastAsia"/>
          <w:color w:val="auto"/>
          <w:sz w:val="24"/>
          <w:szCs w:val="24"/>
          <w:highlight w:val="none"/>
        </w:rPr>
      </w:pP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jc w:val="left"/>
        <w:rPr>
          <w:rFonts w:asciiTheme="minorEastAsia" w:hAnsiTheme="minorEastAsia" w:eastAsiaTheme="minorEastAsia"/>
          <w:color w:val="auto"/>
          <w:sz w:val="24"/>
          <w:szCs w:val="24"/>
          <w:highlight w:val="none"/>
        </w:rPr>
      </w:pPr>
    </w:p>
    <w:p w14:paraId="1F6CF3CD">
      <w:pPr>
        <w:tabs>
          <w:tab w:val="left" w:pos="4620"/>
        </w:tabs>
        <w:spacing w:line="360" w:lineRule="auto"/>
        <w:jc w:val="left"/>
        <w:rPr>
          <w:rFonts w:asciiTheme="minorEastAsia" w:hAnsiTheme="minorEastAsia" w:eastAsiaTheme="minorEastAsia"/>
          <w:color w:val="auto"/>
          <w:sz w:val="24"/>
          <w:szCs w:val="24"/>
          <w:highlight w:val="none"/>
        </w:rPr>
      </w:pPr>
    </w:p>
    <w:p w14:paraId="733C2C75">
      <w:pPr>
        <w:tabs>
          <w:tab w:val="left" w:pos="4620"/>
        </w:tabs>
        <w:spacing w:line="360" w:lineRule="auto"/>
        <w:jc w:val="left"/>
        <w:rPr>
          <w:rFonts w:asciiTheme="minorEastAsia" w:hAnsiTheme="minorEastAsia" w:eastAsiaTheme="minorEastAsia"/>
          <w:color w:val="auto"/>
          <w:sz w:val="24"/>
          <w:szCs w:val="24"/>
          <w:highlight w:val="none"/>
        </w:rPr>
      </w:pPr>
    </w:p>
    <w:p w14:paraId="1EC0DBDC">
      <w:pPr>
        <w:tabs>
          <w:tab w:val="left" w:pos="4620"/>
        </w:tabs>
        <w:spacing w:line="360" w:lineRule="auto"/>
        <w:jc w:val="left"/>
        <w:rPr>
          <w:rFonts w:asciiTheme="minorEastAsia" w:hAnsiTheme="minorEastAsia" w:eastAsiaTheme="minorEastAsia"/>
          <w:color w:val="auto"/>
          <w:sz w:val="24"/>
          <w:szCs w:val="24"/>
          <w:highlight w:val="none"/>
        </w:rPr>
      </w:pPr>
    </w:p>
    <w:p w14:paraId="28E4AB4D">
      <w:pPr>
        <w:tabs>
          <w:tab w:val="left" w:pos="4620"/>
        </w:tabs>
        <w:spacing w:line="360" w:lineRule="auto"/>
        <w:jc w:val="left"/>
        <w:rPr>
          <w:rFonts w:asciiTheme="minorEastAsia" w:hAnsiTheme="minorEastAsia" w:eastAsiaTheme="minorEastAsia"/>
          <w:color w:val="auto"/>
          <w:sz w:val="24"/>
          <w:szCs w:val="24"/>
          <w:highlight w:val="none"/>
        </w:rPr>
      </w:pPr>
    </w:p>
    <w:p w14:paraId="263D840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101"/>
      <w:bookmarkEnd w:id="102"/>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103" w:name="_Toc18994"/>
      <w:bookmarkStart w:id="104" w:name="_Toc16713"/>
      <w:bookmarkStart w:id="105" w:name="_Toc24563"/>
      <w:r>
        <w:rPr>
          <w:rFonts w:hint="eastAsia" w:asciiTheme="minorEastAsia" w:hAnsiTheme="minorEastAsia" w:eastAsiaTheme="minorEastAsia"/>
          <w:b/>
          <w:color w:val="auto"/>
          <w:sz w:val="24"/>
          <w:highlight w:val="none"/>
          <w:lang w:val="en-US" w:eastAsia="zh-CN"/>
        </w:rPr>
        <w:t>八、残疾人福利性单位声明函</w:t>
      </w:r>
      <w:bookmarkEnd w:id="103"/>
      <w:bookmarkEnd w:id="104"/>
      <w:bookmarkEnd w:id="105"/>
    </w:p>
    <w:p w14:paraId="1BDECF4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color w:val="auto"/>
          <w:sz w:val="24"/>
          <w:szCs w:val="20"/>
        </w:rPr>
      </w:pPr>
      <w:bookmarkStart w:id="106" w:name="_Toc19349"/>
      <w:bookmarkStart w:id="107" w:name="_Toc300210382"/>
      <w:bookmarkStart w:id="108" w:name="_Toc520299348"/>
      <w:bookmarkStart w:id="109" w:name="_Toc457768004"/>
      <w:bookmarkStart w:id="110" w:name="_Toc25813"/>
      <w:bookmarkStart w:id="111" w:name="_Toc26536"/>
      <w:bookmarkStart w:id="112" w:name="_Hlk11701496"/>
      <w:r>
        <w:rPr>
          <w:rFonts w:hint="eastAsia" w:asciiTheme="minorEastAsia" w:hAnsiTheme="minorEastAsia" w:eastAsiaTheme="minorEastAsia"/>
          <w:b/>
          <w:color w:val="auto"/>
          <w:sz w:val="24"/>
          <w:lang w:val="en-US" w:eastAsia="zh-CN"/>
        </w:rPr>
        <w:t>九、</w:t>
      </w:r>
      <w:r>
        <w:rPr>
          <w:rFonts w:hint="eastAsia" w:ascii="宋体" w:hAnsi="宋体" w:eastAsia="宋体" w:cs="@仿宋_GB2312"/>
          <w:b/>
          <w:color w:val="auto"/>
          <w:sz w:val="24"/>
          <w:szCs w:val="20"/>
        </w:rPr>
        <w:t>关于符合本国产品标准的声明函</w:t>
      </w:r>
      <w:bookmarkEnd w:id="106"/>
    </w:p>
    <w:p w14:paraId="2371FD0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u w:val="none"/>
          <w:shd w:val="clear" w:color="auto" w:fill="FFFFFF"/>
          <w:vertAlign w:val="baseline"/>
        </w:rPr>
      </w:pPr>
    </w:p>
    <w:p w14:paraId="4F4970E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26"/>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26"/>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u w:val="single"/>
          <w:shd w:val="clear" w:color="auto" w:fill="FFFFFF"/>
          <w:vertAlign w:val="baseline"/>
        </w:rPr>
        <w:t>（厂名）</w:t>
      </w:r>
      <w:r>
        <w:rPr>
          <w:rStyle w:val="26"/>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8D6729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26"/>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6"/>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3D1752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3091097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u w:val="single"/>
        </w:rPr>
      </w:pPr>
      <w:r>
        <w:rPr>
          <w:rFonts w:hint="eastAsia" w:ascii="宋体" w:hAnsi="宋体" w:eastAsia="宋体"/>
          <w:color w:val="auto"/>
          <w:sz w:val="24"/>
          <w:szCs w:val="24"/>
        </w:rPr>
        <w:t>投标人</w:t>
      </w:r>
      <w:r>
        <w:rPr>
          <w:rFonts w:ascii="宋体" w:hAnsi="宋体" w:eastAsia="宋体"/>
          <w:color w:val="auto"/>
          <w:sz w:val="24"/>
          <w:szCs w:val="24"/>
        </w:rPr>
        <w:t>电子签章</w:t>
      </w:r>
      <w:r>
        <w:rPr>
          <w:rFonts w:hint="eastAsia" w:ascii="宋体" w:hAnsi="宋体" w:eastAsia="宋体"/>
          <w:color w:val="auto"/>
          <w:sz w:val="24"/>
          <w:szCs w:val="24"/>
        </w:rPr>
        <w:t>：</w:t>
      </w:r>
      <w:r>
        <w:rPr>
          <w:rFonts w:ascii="宋体" w:hAnsi="宋体" w:eastAsia="宋体"/>
          <w:color w:val="auto"/>
          <w:sz w:val="24"/>
          <w:szCs w:val="24"/>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color w:val="auto"/>
          <w:sz w:val="24"/>
          <w:szCs w:val="24"/>
        </w:rPr>
        <w:t>日</w:t>
      </w:r>
      <w:r>
        <w:rPr>
          <w:rFonts w:ascii="宋体" w:hAnsi="宋体" w:eastAsia="宋体"/>
          <w:color w:val="auto"/>
          <w:sz w:val="24"/>
          <w:szCs w:val="24"/>
        </w:rPr>
        <w:t xml:space="preserve">      </w:t>
      </w:r>
      <w:r>
        <w:rPr>
          <w:rFonts w:hint="eastAsia" w:ascii="宋体" w:hAnsi="宋体" w:eastAsia="宋体"/>
          <w:color w:val="auto"/>
          <w:sz w:val="24"/>
          <w:szCs w:val="24"/>
        </w:rPr>
        <w:t xml:space="preserve">    期：</w:t>
      </w:r>
      <w:r>
        <w:rPr>
          <w:rFonts w:ascii="宋体" w:hAnsi="宋体" w:eastAsia="宋体"/>
          <w:color w:val="auto"/>
          <w:sz w:val="24"/>
          <w:szCs w:val="24"/>
          <w:u w:val="single"/>
        </w:rPr>
        <w:t xml:space="preserve">             </w:t>
      </w:r>
    </w:p>
    <w:p w14:paraId="7911893F">
      <w:pPr>
        <w:tabs>
          <w:tab w:val="left" w:pos="4620"/>
        </w:tabs>
        <w:spacing w:line="360" w:lineRule="auto"/>
        <w:jc w:val="left"/>
        <w:rPr>
          <w:rFonts w:hint="eastAsia" w:ascii="宋体" w:hAnsi="宋体" w:eastAsia="宋体"/>
          <w:b w:val="0"/>
          <w:bCs/>
          <w:color w:val="auto"/>
          <w:szCs w:val="24"/>
          <w:lang w:eastAsia="zh-CN"/>
        </w:rPr>
      </w:pPr>
      <w:r>
        <w:rPr>
          <w:rFonts w:hint="eastAsia" w:ascii="宋体" w:hAnsi="宋体" w:eastAsia="宋体" w:cs="Times New Roman"/>
          <w:b/>
          <w:color w:val="auto"/>
          <w:szCs w:val="24"/>
          <w:lang w:val="en-US" w:eastAsia="zh-CN"/>
        </w:rPr>
        <w:t>注：</w:t>
      </w:r>
    </w:p>
    <w:p w14:paraId="5587E5C8">
      <w:pPr>
        <w:tabs>
          <w:tab w:val="left" w:pos="4620"/>
        </w:tabs>
        <w:spacing w:line="360" w:lineRule="auto"/>
        <w:jc w:val="left"/>
        <w:rPr>
          <w:rFonts w:hint="eastAsia" w:ascii="宋体" w:hAnsi="宋体" w:eastAsia="宋体"/>
          <w:b w:val="0"/>
          <w:bCs/>
          <w:color w:val="auto"/>
          <w:sz w:val="21"/>
          <w:szCs w:val="21"/>
          <w:lang w:eastAsia="zh-CN"/>
        </w:rPr>
      </w:pPr>
      <w:r>
        <w:rPr>
          <w:rFonts w:hint="eastAsia" w:ascii="宋体" w:hAnsi="宋体" w:eastAsia="宋体"/>
          <w:b w:val="0"/>
          <w:bCs/>
          <w:color w:val="auto"/>
          <w:sz w:val="21"/>
          <w:szCs w:val="21"/>
          <w:lang w:eastAsia="zh-CN"/>
        </w:rPr>
        <w:t>1.产品如有型号，请在“产品名称”栏一并填写。</w:t>
      </w:r>
    </w:p>
    <w:p w14:paraId="3A737B37">
      <w:pPr>
        <w:tabs>
          <w:tab w:val="left" w:pos="4620"/>
        </w:tabs>
        <w:spacing w:line="360" w:lineRule="auto"/>
        <w:jc w:val="left"/>
        <w:rPr>
          <w:rFonts w:hint="eastAsia" w:ascii="宋体" w:hAnsi="宋体" w:eastAsia="宋体"/>
          <w:b w:val="0"/>
          <w:bCs/>
          <w:color w:val="auto"/>
          <w:sz w:val="21"/>
          <w:szCs w:val="21"/>
          <w:lang w:eastAsia="zh-CN"/>
        </w:rPr>
      </w:pPr>
      <w:r>
        <w:rPr>
          <w:rFonts w:hint="eastAsia" w:ascii="宋体" w:hAnsi="宋体" w:eastAsia="宋体"/>
          <w:b w:val="0"/>
          <w:bCs/>
          <w:color w:val="auto"/>
          <w:sz w:val="21"/>
          <w:szCs w:val="21"/>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color w:val="auto"/>
          <w:sz w:val="21"/>
          <w:szCs w:val="21"/>
          <w:lang w:val="en-US" w:eastAsia="zh-CN"/>
        </w:rPr>
      </w:pPr>
      <w:r>
        <w:rPr>
          <w:rFonts w:hint="eastAsia" w:ascii="宋体" w:hAnsi="宋体" w:eastAsia="宋体" w:cs="Times New Roman"/>
          <w:b w:val="0"/>
          <w:bCs/>
          <w:color w:val="auto"/>
          <w:sz w:val="21"/>
          <w:szCs w:val="21"/>
          <w:lang w:val="en-US" w:eastAsia="zh-CN"/>
        </w:rPr>
        <w:t>3.上述声明函中标注</w:t>
      </w:r>
      <w:r>
        <w:rPr>
          <w:rFonts w:hint="eastAsia" w:ascii="宋体" w:hAnsi="宋体" w:eastAsia="宋体" w:cs="Times New Roman"/>
          <w:b w:val="0"/>
          <w:bCs/>
          <w:color w:val="auto"/>
          <w:sz w:val="21"/>
          <w:szCs w:val="21"/>
          <w:u w:val="single"/>
          <w:lang w:val="en-US" w:eastAsia="zh-CN"/>
        </w:rPr>
        <w:t xml:space="preserve">  /  </w:t>
      </w:r>
      <w:r>
        <w:rPr>
          <w:rFonts w:hint="eastAsia" w:ascii="宋体" w:hAnsi="宋体" w:eastAsia="宋体" w:cs="Times New Roman"/>
          <w:b w:val="0"/>
          <w:bCs/>
          <w:color w:val="auto"/>
          <w:sz w:val="21"/>
          <w:szCs w:val="21"/>
          <w:lang w:val="en-US" w:eastAsia="zh-CN"/>
        </w:rPr>
        <w:t>的，无需填写。</w:t>
      </w:r>
    </w:p>
    <w:p w14:paraId="228CB750">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1E0836C2">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3D073C">
      <w:pPr>
        <w:tabs>
          <w:tab w:val="left" w:pos="4620"/>
        </w:tabs>
        <w:spacing w:line="360" w:lineRule="auto"/>
        <w:jc w:val="left"/>
        <w:rPr>
          <w:rFonts w:hint="eastAsia" w:asciiTheme="minorEastAsia" w:hAnsiTheme="minorEastAsia" w:eastAsiaTheme="minorEastAsia"/>
          <w:b/>
          <w:color w:val="auto"/>
          <w:sz w:val="24"/>
          <w:lang w:val="en-US" w:eastAsia="zh-CN"/>
        </w:rPr>
      </w:pPr>
    </w:p>
    <w:p w14:paraId="61A1CAE0">
      <w:pPr>
        <w:pStyle w:val="21"/>
        <w:rPr>
          <w:rFonts w:hint="eastAsia" w:asciiTheme="minorEastAsia" w:hAnsiTheme="minorEastAsia" w:eastAsiaTheme="minorEastAsia"/>
          <w:b/>
          <w:color w:val="auto"/>
          <w:sz w:val="24"/>
          <w:lang w:val="en-US" w:eastAsia="zh-CN"/>
        </w:rPr>
      </w:pPr>
    </w:p>
    <w:p w14:paraId="0963565C">
      <w:pPr>
        <w:pStyle w:val="21"/>
        <w:rPr>
          <w:rFonts w:hint="eastAsia" w:asciiTheme="minorEastAsia" w:hAnsiTheme="minorEastAsia" w:eastAsiaTheme="minorEastAsia"/>
          <w:b/>
          <w:color w:val="auto"/>
          <w:sz w:val="24"/>
          <w:lang w:val="en-US" w:eastAsia="zh-CN"/>
        </w:rPr>
      </w:pPr>
    </w:p>
    <w:p w14:paraId="20C6E2B1">
      <w:pPr>
        <w:pStyle w:val="21"/>
        <w:rPr>
          <w:rFonts w:hint="eastAsia" w:asciiTheme="minorEastAsia" w:hAnsiTheme="minorEastAsia" w:eastAsiaTheme="minorEastAsia"/>
          <w:b/>
          <w:color w:val="auto"/>
          <w:sz w:val="24"/>
          <w:lang w:val="en-US" w:eastAsia="zh-CN"/>
        </w:rPr>
      </w:pPr>
    </w:p>
    <w:p w14:paraId="29B44CE6">
      <w:pPr>
        <w:pStyle w:val="21"/>
        <w:rPr>
          <w:rFonts w:hint="eastAsia" w:asciiTheme="minorEastAsia" w:hAnsiTheme="minorEastAsia" w:eastAsiaTheme="minorEastAsia"/>
          <w:b/>
          <w:color w:val="auto"/>
          <w:sz w:val="24"/>
          <w:lang w:val="en-US" w:eastAsia="zh-CN"/>
        </w:rPr>
      </w:pPr>
    </w:p>
    <w:p w14:paraId="174D6E6B">
      <w:pPr>
        <w:pStyle w:val="21"/>
        <w:rPr>
          <w:rFonts w:hint="eastAsia" w:asciiTheme="minorEastAsia" w:hAnsiTheme="minorEastAsia" w:eastAsiaTheme="minorEastAsia"/>
          <w:b/>
          <w:color w:val="auto"/>
          <w:sz w:val="24"/>
          <w:lang w:val="en-US" w:eastAsia="zh-CN"/>
        </w:rPr>
      </w:pPr>
    </w:p>
    <w:p w14:paraId="3821E0AF">
      <w:pPr>
        <w:pStyle w:val="21"/>
        <w:rPr>
          <w:rFonts w:hint="eastAsia" w:asciiTheme="minorEastAsia" w:hAnsiTheme="minorEastAsia" w:eastAsiaTheme="minorEastAsia"/>
          <w:b/>
          <w:color w:val="auto"/>
          <w:sz w:val="24"/>
          <w:lang w:val="en-US" w:eastAsia="zh-CN"/>
        </w:rPr>
      </w:pPr>
    </w:p>
    <w:p w14:paraId="1370FDE0">
      <w:pPr>
        <w:pStyle w:val="21"/>
        <w:rPr>
          <w:rFonts w:hint="eastAsia" w:asciiTheme="minorEastAsia" w:hAnsiTheme="minorEastAsia" w:eastAsiaTheme="minorEastAsia"/>
          <w:b/>
          <w:color w:val="auto"/>
          <w:sz w:val="24"/>
          <w:lang w:val="en-US" w:eastAsia="zh-CN"/>
        </w:rPr>
      </w:pPr>
    </w:p>
    <w:p w14:paraId="37F81BA9">
      <w:pPr>
        <w:pStyle w:val="21"/>
        <w:rPr>
          <w:rFonts w:hint="eastAsia" w:asciiTheme="minorEastAsia" w:hAnsiTheme="minorEastAsia" w:eastAsiaTheme="minorEastAsia"/>
          <w:b/>
          <w:color w:val="auto"/>
          <w:sz w:val="24"/>
          <w:lang w:val="en-US" w:eastAsia="zh-CN"/>
        </w:rPr>
      </w:pPr>
    </w:p>
    <w:p w14:paraId="36D1C278">
      <w:pPr>
        <w:pStyle w:val="21"/>
        <w:rPr>
          <w:rFonts w:hint="eastAsia" w:asciiTheme="minorEastAsia" w:hAnsiTheme="minorEastAsia" w:eastAsiaTheme="minorEastAsia"/>
          <w:b/>
          <w:color w:val="auto"/>
          <w:sz w:val="24"/>
          <w:lang w:val="en-US" w:eastAsia="zh-CN"/>
        </w:rPr>
      </w:pPr>
    </w:p>
    <w:p w14:paraId="45FB713E">
      <w:pPr>
        <w:pStyle w:val="21"/>
        <w:rPr>
          <w:rFonts w:hint="eastAsia" w:asciiTheme="minorEastAsia" w:hAnsiTheme="minorEastAsia" w:eastAsiaTheme="minorEastAsia"/>
          <w:b/>
          <w:color w:val="auto"/>
          <w:sz w:val="24"/>
          <w:lang w:val="en-US" w:eastAsia="zh-CN"/>
        </w:rPr>
      </w:pPr>
    </w:p>
    <w:p w14:paraId="665E68CA">
      <w:pPr>
        <w:pStyle w:val="21"/>
        <w:rPr>
          <w:rFonts w:hint="eastAsia" w:asciiTheme="minorEastAsia" w:hAnsiTheme="minorEastAsia" w:eastAsiaTheme="minorEastAsia"/>
          <w:b/>
          <w:color w:val="auto"/>
          <w:sz w:val="24"/>
          <w:lang w:val="en-US" w:eastAsia="zh-CN"/>
        </w:rPr>
      </w:pPr>
    </w:p>
    <w:p w14:paraId="08540571">
      <w:pPr>
        <w:pStyle w:val="21"/>
        <w:rPr>
          <w:rFonts w:hint="eastAsia" w:asciiTheme="minorEastAsia" w:hAnsiTheme="minorEastAsia" w:eastAsiaTheme="minorEastAsia"/>
          <w:b/>
          <w:color w:val="auto"/>
          <w:sz w:val="24"/>
          <w:lang w:val="en-US" w:eastAsia="zh-CN"/>
        </w:rPr>
      </w:pPr>
    </w:p>
    <w:p w14:paraId="6E4C5855">
      <w:pPr>
        <w:pStyle w:val="21"/>
        <w:rPr>
          <w:rFonts w:hint="eastAsia" w:asciiTheme="minorEastAsia" w:hAnsiTheme="minorEastAsia" w:eastAsiaTheme="minorEastAsia"/>
          <w:b/>
          <w:color w:val="auto"/>
          <w:sz w:val="24"/>
          <w:lang w:val="en-US" w:eastAsia="zh-CN"/>
        </w:rPr>
      </w:pPr>
    </w:p>
    <w:p w14:paraId="57651297">
      <w:pPr>
        <w:pStyle w:val="21"/>
        <w:rPr>
          <w:rFonts w:hint="eastAsia" w:asciiTheme="minorEastAsia" w:hAnsiTheme="minorEastAsia" w:eastAsiaTheme="minorEastAsia"/>
          <w:b/>
          <w:color w:val="auto"/>
          <w:sz w:val="24"/>
          <w:lang w:val="en-US" w:eastAsia="zh-CN"/>
        </w:rPr>
      </w:pPr>
    </w:p>
    <w:p w14:paraId="38FAF765">
      <w:pPr>
        <w:pStyle w:val="21"/>
        <w:rPr>
          <w:rFonts w:hint="eastAsia" w:asciiTheme="minorEastAsia" w:hAnsiTheme="minorEastAsia" w:eastAsiaTheme="minorEastAsia"/>
          <w:b/>
          <w:color w:val="auto"/>
          <w:sz w:val="24"/>
          <w:lang w:val="en-US" w:eastAsia="zh-CN"/>
        </w:rPr>
      </w:pPr>
    </w:p>
    <w:p w14:paraId="3815C9A4">
      <w:pPr>
        <w:pStyle w:val="21"/>
        <w:rPr>
          <w:rFonts w:hint="eastAsia" w:asciiTheme="minorEastAsia" w:hAnsiTheme="minorEastAsia" w:eastAsiaTheme="minorEastAsia"/>
          <w:b/>
          <w:color w:val="auto"/>
          <w:sz w:val="24"/>
          <w:lang w:val="en-US" w:eastAsia="zh-CN"/>
        </w:rPr>
      </w:pPr>
    </w:p>
    <w:p w14:paraId="2B616EC4">
      <w:pPr>
        <w:pStyle w:val="21"/>
        <w:rPr>
          <w:rFonts w:hint="eastAsia" w:asciiTheme="minorEastAsia" w:hAnsiTheme="minorEastAsia" w:eastAsiaTheme="minorEastAsia"/>
          <w:b/>
          <w:color w:val="auto"/>
          <w:sz w:val="24"/>
          <w:lang w:val="en-US" w:eastAsia="zh-CN"/>
        </w:rPr>
      </w:pPr>
    </w:p>
    <w:p w14:paraId="2558B7A4">
      <w:pPr>
        <w:pStyle w:val="21"/>
        <w:rPr>
          <w:rFonts w:hint="eastAsia" w:asciiTheme="minorEastAsia" w:hAnsiTheme="minorEastAsia" w:eastAsiaTheme="minorEastAsia"/>
          <w:b/>
          <w:color w:val="auto"/>
          <w:sz w:val="24"/>
          <w:lang w:val="en-US" w:eastAsia="zh-CN"/>
        </w:rPr>
      </w:pPr>
    </w:p>
    <w:p w14:paraId="1DCD7B87">
      <w:pPr>
        <w:pStyle w:val="21"/>
        <w:rPr>
          <w:rFonts w:hint="eastAsia" w:asciiTheme="minorEastAsia" w:hAnsiTheme="minorEastAsia" w:eastAsiaTheme="minorEastAsia"/>
          <w:b/>
          <w:color w:val="auto"/>
          <w:sz w:val="24"/>
          <w:lang w:val="en-US" w:eastAsia="zh-CN"/>
        </w:rPr>
      </w:pPr>
    </w:p>
    <w:p w14:paraId="7ADD9048">
      <w:pPr>
        <w:pStyle w:val="21"/>
        <w:rPr>
          <w:rFonts w:hint="eastAsia" w:asciiTheme="minorEastAsia" w:hAnsiTheme="minorEastAsia" w:eastAsiaTheme="minorEastAsia"/>
          <w:b/>
          <w:color w:val="auto"/>
          <w:sz w:val="24"/>
          <w:lang w:val="en-US" w:eastAsia="zh-CN"/>
        </w:rPr>
      </w:pPr>
    </w:p>
    <w:p w14:paraId="74321B09">
      <w:pPr>
        <w:pStyle w:val="21"/>
        <w:rPr>
          <w:rFonts w:hint="eastAsia" w:asciiTheme="minorEastAsia" w:hAnsiTheme="minorEastAsia" w:eastAsiaTheme="minorEastAsia"/>
          <w:b/>
          <w:color w:val="auto"/>
          <w:sz w:val="24"/>
          <w:lang w:val="en-US" w:eastAsia="zh-CN"/>
        </w:rPr>
      </w:pPr>
    </w:p>
    <w:p w14:paraId="725961B6">
      <w:pPr>
        <w:pStyle w:val="21"/>
        <w:rPr>
          <w:rFonts w:hint="eastAsia" w:asciiTheme="minorEastAsia" w:hAnsiTheme="minorEastAsia" w:eastAsiaTheme="minorEastAsia"/>
          <w:b/>
          <w:color w:val="auto"/>
          <w:sz w:val="24"/>
          <w:lang w:val="en-US" w:eastAsia="zh-CN"/>
        </w:rPr>
      </w:pPr>
    </w:p>
    <w:p w14:paraId="4757A611">
      <w:pPr>
        <w:pStyle w:val="21"/>
        <w:rPr>
          <w:rFonts w:hint="eastAsia" w:asciiTheme="minorEastAsia" w:hAnsiTheme="minorEastAsia" w:eastAsiaTheme="minorEastAsia"/>
          <w:b/>
          <w:color w:val="auto"/>
          <w:sz w:val="24"/>
          <w:lang w:val="en-US" w:eastAsia="zh-CN"/>
        </w:rPr>
      </w:pPr>
    </w:p>
    <w:p w14:paraId="55CE3FBB">
      <w:pPr>
        <w:pStyle w:val="21"/>
        <w:rPr>
          <w:rFonts w:hint="eastAsia" w:asciiTheme="minorEastAsia" w:hAnsiTheme="minorEastAsia" w:eastAsiaTheme="minorEastAsia"/>
          <w:b/>
          <w:color w:val="auto"/>
          <w:sz w:val="24"/>
          <w:lang w:val="en-US" w:eastAsia="zh-CN"/>
        </w:rPr>
      </w:pPr>
    </w:p>
    <w:p w14:paraId="3123D93E">
      <w:pPr>
        <w:pStyle w:val="21"/>
        <w:rPr>
          <w:rFonts w:hint="eastAsia" w:asciiTheme="minorEastAsia" w:hAnsiTheme="minorEastAsia" w:eastAsiaTheme="minorEastAsia"/>
          <w:b/>
          <w:color w:val="auto"/>
          <w:sz w:val="24"/>
          <w:lang w:val="en-US" w:eastAsia="zh-CN"/>
        </w:rPr>
      </w:pPr>
    </w:p>
    <w:p w14:paraId="02291A01">
      <w:pPr>
        <w:pStyle w:val="21"/>
        <w:rPr>
          <w:rFonts w:hint="eastAsia" w:asciiTheme="minorEastAsia" w:hAnsiTheme="minorEastAsia" w:eastAsiaTheme="minorEastAsia"/>
          <w:b/>
          <w:color w:val="auto"/>
          <w:sz w:val="24"/>
          <w:lang w:val="en-US" w:eastAsia="zh-CN"/>
        </w:rPr>
      </w:pPr>
    </w:p>
    <w:p w14:paraId="64A2156E">
      <w:pPr>
        <w:pStyle w:val="21"/>
        <w:rPr>
          <w:rFonts w:hint="eastAsia" w:asciiTheme="minorEastAsia" w:hAnsiTheme="minorEastAsia" w:eastAsiaTheme="minorEastAsia"/>
          <w:b/>
          <w:color w:val="auto"/>
          <w:sz w:val="24"/>
          <w:lang w:val="en-US" w:eastAsia="zh-CN"/>
        </w:rPr>
      </w:pPr>
    </w:p>
    <w:p w14:paraId="04358E27">
      <w:pPr>
        <w:pStyle w:val="21"/>
        <w:rPr>
          <w:rFonts w:hint="eastAsia" w:asciiTheme="minorEastAsia" w:hAnsiTheme="minorEastAsia" w:eastAsiaTheme="minorEastAsia"/>
          <w:b/>
          <w:color w:val="auto"/>
          <w:sz w:val="24"/>
          <w:lang w:val="en-US" w:eastAsia="zh-CN"/>
        </w:rPr>
      </w:pPr>
    </w:p>
    <w:p w14:paraId="30597600">
      <w:pPr>
        <w:pStyle w:val="21"/>
        <w:rPr>
          <w:rFonts w:hint="eastAsia" w:asciiTheme="minorEastAsia" w:hAnsiTheme="minorEastAsia" w:eastAsiaTheme="minorEastAsia"/>
          <w:b/>
          <w:color w:val="auto"/>
          <w:sz w:val="24"/>
          <w:lang w:val="en-US" w:eastAsia="zh-CN"/>
        </w:rPr>
      </w:pPr>
    </w:p>
    <w:p w14:paraId="1052667C">
      <w:pPr>
        <w:pStyle w:val="21"/>
        <w:ind w:left="0" w:leftChars="0" w:firstLine="0" w:firstLineChars="0"/>
        <w:rPr>
          <w:rFonts w:hint="eastAsia" w:asciiTheme="minorEastAsia" w:hAnsiTheme="minorEastAsia" w:eastAsiaTheme="minorEastAsia"/>
          <w:b/>
          <w:color w:val="auto"/>
          <w:sz w:val="24"/>
          <w:lang w:val="en-US" w:eastAsia="zh-CN"/>
        </w:rPr>
      </w:pPr>
    </w:p>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13" w:name="_Toc17932"/>
      <w:r>
        <w:rPr>
          <w:rFonts w:hint="eastAsia" w:asciiTheme="minorEastAsia" w:hAnsiTheme="minorEastAsia" w:eastAsiaTheme="minorEastAsia"/>
          <w:b/>
          <w:color w:val="auto"/>
          <w:sz w:val="24"/>
          <w:highlight w:val="none"/>
          <w:lang w:val="en-US" w:eastAsia="zh-CN"/>
        </w:rPr>
        <w:t>十、</w:t>
      </w:r>
      <w:bookmarkEnd w:id="107"/>
      <w:bookmarkEnd w:id="108"/>
      <w:bookmarkEnd w:id="109"/>
      <w:r>
        <w:rPr>
          <w:rFonts w:hint="eastAsia" w:asciiTheme="minorEastAsia" w:hAnsiTheme="minorEastAsia" w:eastAsiaTheme="minorEastAsia"/>
          <w:b/>
          <w:color w:val="auto"/>
          <w:sz w:val="24"/>
          <w:highlight w:val="none"/>
          <w:lang w:val="en-US" w:eastAsia="zh-CN"/>
        </w:rPr>
        <w:t>诚信履约承诺函</w:t>
      </w:r>
      <w:bookmarkEnd w:id="110"/>
      <w:bookmarkEnd w:id="111"/>
      <w:bookmarkEnd w:id="113"/>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112"/>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14" w:name="_Toc2683"/>
      <w:bookmarkStart w:id="115" w:name="_Toc9205"/>
      <w:bookmarkStart w:id="116" w:name="_Toc32633"/>
      <w:r>
        <w:rPr>
          <w:rFonts w:hint="eastAsia" w:asciiTheme="minorEastAsia" w:hAnsiTheme="minorEastAsia" w:eastAsiaTheme="minorEastAsia"/>
          <w:b/>
          <w:color w:val="auto"/>
          <w:sz w:val="24"/>
          <w:highlight w:val="none"/>
          <w:lang w:val="en-US" w:eastAsia="zh-CN"/>
        </w:rPr>
        <w:t>十一、其他相关证明材料</w:t>
      </w:r>
      <w:bookmarkEnd w:id="114"/>
      <w:bookmarkEnd w:id="115"/>
      <w:bookmarkEnd w:id="116"/>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ascii="宋体" w:hAnsi="宋体" w:eastAsia="宋体"/>
          <w:b/>
          <w:bCs/>
          <w:color w:val="auto"/>
          <w:sz w:val="28"/>
          <w:highlight w:val="none"/>
        </w:rPr>
      </w:pPr>
      <w:bookmarkStart w:id="117" w:name="_Toc6435"/>
      <w:bookmarkStart w:id="118" w:name="_Toc172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7"/>
      <w:bookmarkEnd w:id="118"/>
    </w:p>
    <w:p w14:paraId="7A40B900">
      <w:pPr>
        <w:spacing w:line="360" w:lineRule="auto"/>
        <w:jc w:val="center"/>
        <w:outlineLvl w:val="1"/>
        <w:rPr>
          <w:rFonts w:ascii="仿宋" w:hAnsi="仿宋" w:eastAsia="仿宋" w:cs="仿宋"/>
          <w:b/>
          <w:bCs/>
          <w:color w:val="auto"/>
          <w:sz w:val="32"/>
          <w:szCs w:val="44"/>
          <w:highlight w:val="none"/>
        </w:rPr>
      </w:pPr>
      <w:bookmarkStart w:id="119" w:name="_Toc27159"/>
      <w:bookmarkStart w:id="120" w:name="_Toc31623"/>
      <w:bookmarkStart w:id="121" w:name="_Toc27489"/>
      <w:r>
        <w:rPr>
          <w:rFonts w:hint="eastAsia" w:ascii="仿宋" w:hAnsi="仿宋" w:eastAsia="仿宋" w:cs="仿宋"/>
          <w:b/>
          <w:bCs/>
          <w:color w:val="auto"/>
          <w:sz w:val="32"/>
          <w:szCs w:val="44"/>
          <w:highlight w:val="none"/>
        </w:rPr>
        <w:t>询问函范本</w:t>
      </w:r>
      <w:bookmarkEnd w:id="119"/>
      <w:bookmarkEnd w:id="120"/>
      <w:bookmarkEnd w:id="121"/>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22" w:name="_Toc13899"/>
      <w:r>
        <w:rPr>
          <w:rFonts w:hint="eastAsia" w:cs="仿宋" w:asciiTheme="minorEastAsia" w:hAnsiTheme="minorEastAsia" w:eastAsiaTheme="minorEastAsia"/>
          <w:color w:val="auto"/>
          <w:sz w:val="24"/>
          <w:szCs w:val="24"/>
          <w:highlight w:val="none"/>
        </w:rPr>
        <w:t>一、(事项一)</w:t>
      </w:r>
      <w:bookmarkEnd w:id="122"/>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23" w:name="_Toc3352"/>
      <w:r>
        <w:rPr>
          <w:rFonts w:hint="eastAsia" w:cs="仿宋" w:asciiTheme="minorEastAsia" w:hAnsiTheme="minorEastAsia" w:eastAsiaTheme="minorEastAsia"/>
          <w:color w:val="auto"/>
          <w:sz w:val="24"/>
          <w:szCs w:val="24"/>
          <w:highlight w:val="none"/>
        </w:rPr>
        <w:t>二、(事项二)</w:t>
      </w:r>
      <w:bookmarkEnd w:id="123"/>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124" w:name="_Toc1575"/>
      <w:bookmarkStart w:id="125" w:name="_Toc3245"/>
      <w:bookmarkStart w:id="126" w:name="_Toc19895"/>
      <w:r>
        <w:rPr>
          <w:rFonts w:hint="eastAsia" w:ascii="仿宋" w:hAnsi="仿宋" w:eastAsia="仿宋" w:cs="仿宋"/>
          <w:b/>
          <w:bCs/>
          <w:color w:val="auto"/>
          <w:sz w:val="32"/>
          <w:szCs w:val="44"/>
          <w:highlight w:val="none"/>
        </w:rPr>
        <w:t>质疑函范本</w:t>
      </w:r>
      <w:bookmarkEnd w:id="124"/>
      <w:bookmarkEnd w:id="125"/>
      <w:bookmarkEnd w:id="126"/>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27" w:name="_Toc21381"/>
      <w:r>
        <w:rPr>
          <w:rFonts w:hint="eastAsia" w:cs="仿宋" w:asciiTheme="minorEastAsia" w:hAnsiTheme="minorEastAsia" w:eastAsiaTheme="minorEastAsia"/>
          <w:b/>
          <w:bCs/>
          <w:color w:val="auto"/>
          <w:sz w:val="24"/>
          <w:szCs w:val="24"/>
          <w:highlight w:val="none"/>
        </w:rPr>
        <w:t>一、质疑供应商基本信息</w:t>
      </w:r>
      <w:bookmarkEnd w:id="127"/>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8" w:name="_Toc28415"/>
      <w:r>
        <w:rPr>
          <w:rFonts w:hint="eastAsia" w:cs="仿宋" w:asciiTheme="minorEastAsia" w:hAnsiTheme="minorEastAsia" w:eastAsiaTheme="minorEastAsia"/>
          <w:b/>
          <w:bCs/>
          <w:color w:val="auto"/>
          <w:sz w:val="24"/>
          <w:szCs w:val="24"/>
          <w:highlight w:val="none"/>
        </w:rPr>
        <w:t>二、质疑项目基本情况</w:t>
      </w:r>
      <w:bookmarkEnd w:id="128"/>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9" w:name="_Toc19014"/>
      <w:r>
        <w:rPr>
          <w:rFonts w:hint="eastAsia" w:cs="仿宋" w:asciiTheme="minorEastAsia" w:hAnsiTheme="minorEastAsia" w:eastAsiaTheme="minorEastAsia"/>
          <w:b/>
          <w:bCs/>
          <w:color w:val="auto"/>
          <w:sz w:val="24"/>
          <w:szCs w:val="24"/>
          <w:highlight w:val="none"/>
        </w:rPr>
        <w:t>三、质疑事项具体内容</w:t>
      </w:r>
      <w:bookmarkEnd w:id="129"/>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30" w:name="_Toc17919"/>
      <w:r>
        <w:rPr>
          <w:rFonts w:hint="eastAsia" w:cs="仿宋" w:asciiTheme="minorEastAsia" w:hAnsiTheme="minorEastAsia" w:eastAsiaTheme="minorEastAsia"/>
          <w:b/>
          <w:bCs/>
          <w:color w:val="auto"/>
          <w:sz w:val="24"/>
          <w:szCs w:val="24"/>
          <w:highlight w:val="none"/>
        </w:rPr>
        <w:t>四、与质疑事项相关的质疑请求</w:t>
      </w:r>
      <w:bookmarkEnd w:id="130"/>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131" w:name="_Toc26836"/>
      <w:bookmarkStart w:id="132" w:name="_Toc28081"/>
      <w:bookmarkStart w:id="133" w:name="_Toc9754"/>
      <w:r>
        <w:rPr>
          <w:rFonts w:hint="eastAsia" w:asciiTheme="minorEastAsia" w:hAnsiTheme="minorEastAsia" w:eastAsiaTheme="minorEastAsia"/>
          <w:b/>
          <w:color w:val="auto"/>
          <w:sz w:val="28"/>
          <w:szCs w:val="32"/>
          <w:highlight w:val="none"/>
        </w:rPr>
        <w:t>质疑函制作说明：</w:t>
      </w:r>
      <w:bookmarkEnd w:id="131"/>
      <w:bookmarkEnd w:id="132"/>
      <w:bookmarkEnd w:id="133"/>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bookmarkEnd w:id="134"/>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3C87">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2001">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AE03D">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4AE03D">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5B2D">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F25B2D">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6C9">
    <w:pPr>
      <w:pStyle w:val="15"/>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3CA">
    <w:pPr>
      <w:pStyle w:val="1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5"/>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95215"/>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6357F"/>
    <w:rsid w:val="017B1BF9"/>
    <w:rsid w:val="01E93A1B"/>
    <w:rsid w:val="0214602E"/>
    <w:rsid w:val="03486B27"/>
    <w:rsid w:val="039A317B"/>
    <w:rsid w:val="040A094E"/>
    <w:rsid w:val="0430257D"/>
    <w:rsid w:val="056F201D"/>
    <w:rsid w:val="05B664D4"/>
    <w:rsid w:val="064B485A"/>
    <w:rsid w:val="068C65C4"/>
    <w:rsid w:val="07076C01"/>
    <w:rsid w:val="071C12AC"/>
    <w:rsid w:val="071D160C"/>
    <w:rsid w:val="07A934B3"/>
    <w:rsid w:val="07EB6287"/>
    <w:rsid w:val="0806421B"/>
    <w:rsid w:val="081203E6"/>
    <w:rsid w:val="0980799C"/>
    <w:rsid w:val="09944B8E"/>
    <w:rsid w:val="0A6A18DB"/>
    <w:rsid w:val="0A975B48"/>
    <w:rsid w:val="0AEF3828"/>
    <w:rsid w:val="0B406381"/>
    <w:rsid w:val="0BB452AA"/>
    <w:rsid w:val="0BBB665B"/>
    <w:rsid w:val="0C9A18AF"/>
    <w:rsid w:val="0ED13BCA"/>
    <w:rsid w:val="0EEA6FC1"/>
    <w:rsid w:val="0F1F2E38"/>
    <w:rsid w:val="0F790928"/>
    <w:rsid w:val="100C4DB5"/>
    <w:rsid w:val="10CD72BB"/>
    <w:rsid w:val="12197477"/>
    <w:rsid w:val="131B5CD3"/>
    <w:rsid w:val="13776448"/>
    <w:rsid w:val="1414458E"/>
    <w:rsid w:val="1466407E"/>
    <w:rsid w:val="14834E28"/>
    <w:rsid w:val="148E7D65"/>
    <w:rsid w:val="14EA3C75"/>
    <w:rsid w:val="15231BF9"/>
    <w:rsid w:val="15270FA2"/>
    <w:rsid w:val="15C4546D"/>
    <w:rsid w:val="15D93FBE"/>
    <w:rsid w:val="1956724E"/>
    <w:rsid w:val="1A064976"/>
    <w:rsid w:val="1A3B68AA"/>
    <w:rsid w:val="1A3E1C1E"/>
    <w:rsid w:val="1A584F56"/>
    <w:rsid w:val="1AF43A34"/>
    <w:rsid w:val="1B0937E5"/>
    <w:rsid w:val="1B6F4F40"/>
    <w:rsid w:val="1C141836"/>
    <w:rsid w:val="1C76537D"/>
    <w:rsid w:val="1E223F72"/>
    <w:rsid w:val="1E6B6A14"/>
    <w:rsid w:val="20550D9A"/>
    <w:rsid w:val="20FA313A"/>
    <w:rsid w:val="21372E35"/>
    <w:rsid w:val="218E2416"/>
    <w:rsid w:val="226915FE"/>
    <w:rsid w:val="229273EC"/>
    <w:rsid w:val="231221EE"/>
    <w:rsid w:val="23BC656D"/>
    <w:rsid w:val="241804A5"/>
    <w:rsid w:val="24B97929"/>
    <w:rsid w:val="24D632D7"/>
    <w:rsid w:val="27D65DBA"/>
    <w:rsid w:val="285F40CA"/>
    <w:rsid w:val="289E1AF0"/>
    <w:rsid w:val="28C01ECB"/>
    <w:rsid w:val="29BF71E3"/>
    <w:rsid w:val="29C619FE"/>
    <w:rsid w:val="29D6387F"/>
    <w:rsid w:val="2A127B63"/>
    <w:rsid w:val="2A451A6C"/>
    <w:rsid w:val="2AAA4765"/>
    <w:rsid w:val="2AC21606"/>
    <w:rsid w:val="2AD63D42"/>
    <w:rsid w:val="2B7E7608"/>
    <w:rsid w:val="2B7F04E9"/>
    <w:rsid w:val="2B8B554A"/>
    <w:rsid w:val="2B8E0EAF"/>
    <w:rsid w:val="2D496D68"/>
    <w:rsid w:val="2E7A48DE"/>
    <w:rsid w:val="2EBA5177"/>
    <w:rsid w:val="2EC35DF5"/>
    <w:rsid w:val="2EDC3ED8"/>
    <w:rsid w:val="2F104B00"/>
    <w:rsid w:val="2F6351B4"/>
    <w:rsid w:val="2FC86126"/>
    <w:rsid w:val="2FCF199E"/>
    <w:rsid w:val="30483E83"/>
    <w:rsid w:val="308B1BCC"/>
    <w:rsid w:val="30BF3991"/>
    <w:rsid w:val="30C40F02"/>
    <w:rsid w:val="3111619A"/>
    <w:rsid w:val="319775DB"/>
    <w:rsid w:val="31B139DC"/>
    <w:rsid w:val="31F369F1"/>
    <w:rsid w:val="32497AF3"/>
    <w:rsid w:val="338D4C23"/>
    <w:rsid w:val="34000F51"/>
    <w:rsid w:val="343C0775"/>
    <w:rsid w:val="356C50EC"/>
    <w:rsid w:val="36137E45"/>
    <w:rsid w:val="36376E0A"/>
    <w:rsid w:val="3700166C"/>
    <w:rsid w:val="375853E2"/>
    <w:rsid w:val="379A1012"/>
    <w:rsid w:val="38694EE9"/>
    <w:rsid w:val="388622E8"/>
    <w:rsid w:val="38B96BA9"/>
    <w:rsid w:val="3A656329"/>
    <w:rsid w:val="3A6818FA"/>
    <w:rsid w:val="3B354B7F"/>
    <w:rsid w:val="3B365CC9"/>
    <w:rsid w:val="3B9A7B88"/>
    <w:rsid w:val="3C63797F"/>
    <w:rsid w:val="3D2C7AC8"/>
    <w:rsid w:val="3D855D12"/>
    <w:rsid w:val="3D8B42FF"/>
    <w:rsid w:val="3DE86C4C"/>
    <w:rsid w:val="3DF36A6E"/>
    <w:rsid w:val="3EBA1EE9"/>
    <w:rsid w:val="3EE25B29"/>
    <w:rsid w:val="3F792F1E"/>
    <w:rsid w:val="40125DC6"/>
    <w:rsid w:val="407327EF"/>
    <w:rsid w:val="40824826"/>
    <w:rsid w:val="40E63923"/>
    <w:rsid w:val="42C57F36"/>
    <w:rsid w:val="43805C0B"/>
    <w:rsid w:val="43A91E5B"/>
    <w:rsid w:val="449E0D39"/>
    <w:rsid w:val="454B2248"/>
    <w:rsid w:val="45E32B26"/>
    <w:rsid w:val="463A3650"/>
    <w:rsid w:val="46461627"/>
    <w:rsid w:val="469F0116"/>
    <w:rsid w:val="475259B7"/>
    <w:rsid w:val="475E66C8"/>
    <w:rsid w:val="488302AE"/>
    <w:rsid w:val="48831CF9"/>
    <w:rsid w:val="49024C9C"/>
    <w:rsid w:val="49B1408D"/>
    <w:rsid w:val="4A7D4FD2"/>
    <w:rsid w:val="4A913C9A"/>
    <w:rsid w:val="4B1F70AC"/>
    <w:rsid w:val="4B240F94"/>
    <w:rsid w:val="4BA44F44"/>
    <w:rsid w:val="4C0832E5"/>
    <w:rsid w:val="4C3C565C"/>
    <w:rsid w:val="4C621D61"/>
    <w:rsid w:val="4CCC79C7"/>
    <w:rsid w:val="4D7555C7"/>
    <w:rsid w:val="4EAE6DA0"/>
    <w:rsid w:val="4FC52689"/>
    <w:rsid w:val="4FE617D9"/>
    <w:rsid w:val="5016514B"/>
    <w:rsid w:val="50392EA6"/>
    <w:rsid w:val="50A3063C"/>
    <w:rsid w:val="50BD4DF3"/>
    <w:rsid w:val="50FC1A26"/>
    <w:rsid w:val="51723664"/>
    <w:rsid w:val="51CB1C78"/>
    <w:rsid w:val="51FD6A51"/>
    <w:rsid w:val="526B680A"/>
    <w:rsid w:val="52836F71"/>
    <w:rsid w:val="52D26B02"/>
    <w:rsid w:val="541A5D30"/>
    <w:rsid w:val="55C1559C"/>
    <w:rsid w:val="55F068CD"/>
    <w:rsid w:val="566C3136"/>
    <w:rsid w:val="568D04F2"/>
    <w:rsid w:val="58A512BE"/>
    <w:rsid w:val="58DA0F15"/>
    <w:rsid w:val="5A526582"/>
    <w:rsid w:val="5A5F5C77"/>
    <w:rsid w:val="5A711A0D"/>
    <w:rsid w:val="5B1613E4"/>
    <w:rsid w:val="5B78003B"/>
    <w:rsid w:val="5BC11A60"/>
    <w:rsid w:val="5C7A4D54"/>
    <w:rsid w:val="5CD23B73"/>
    <w:rsid w:val="5D95302A"/>
    <w:rsid w:val="5DF4356A"/>
    <w:rsid w:val="5EC63DAB"/>
    <w:rsid w:val="5F127819"/>
    <w:rsid w:val="5FBE7195"/>
    <w:rsid w:val="60350ED3"/>
    <w:rsid w:val="60B72AEE"/>
    <w:rsid w:val="61025188"/>
    <w:rsid w:val="61057D5F"/>
    <w:rsid w:val="6126068F"/>
    <w:rsid w:val="61391790"/>
    <w:rsid w:val="614D4977"/>
    <w:rsid w:val="61F21F72"/>
    <w:rsid w:val="62CC39A0"/>
    <w:rsid w:val="62FD1A73"/>
    <w:rsid w:val="63C60FC0"/>
    <w:rsid w:val="64BA3D7A"/>
    <w:rsid w:val="64F179BC"/>
    <w:rsid w:val="665704D3"/>
    <w:rsid w:val="6796514D"/>
    <w:rsid w:val="67C065A4"/>
    <w:rsid w:val="67D359C9"/>
    <w:rsid w:val="68042537"/>
    <w:rsid w:val="68FE36DD"/>
    <w:rsid w:val="694806C9"/>
    <w:rsid w:val="694E60FC"/>
    <w:rsid w:val="69E95A08"/>
    <w:rsid w:val="6A256904"/>
    <w:rsid w:val="6B565B22"/>
    <w:rsid w:val="6B656832"/>
    <w:rsid w:val="6C675CE6"/>
    <w:rsid w:val="6D1E6DEE"/>
    <w:rsid w:val="6D4F4321"/>
    <w:rsid w:val="6DF41B82"/>
    <w:rsid w:val="6DFF7360"/>
    <w:rsid w:val="6E7A5F73"/>
    <w:rsid w:val="6E873A42"/>
    <w:rsid w:val="6E9841F1"/>
    <w:rsid w:val="6EE90F9D"/>
    <w:rsid w:val="6FD74228"/>
    <w:rsid w:val="7021106F"/>
    <w:rsid w:val="702B2AB8"/>
    <w:rsid w:val="71633091"/>
    <w:rsid w:val="73081CA5"/>
    <w:rsid w:val="73644164"/>
    <w:rsid w:val="74201F7D"/>
    <w:rsid w:val="7487762D"/>
    <w:rsid w:val="74C33AA4"/>
    <w:rsid w:val="75210D7A"/>
    <w:rsid w:val="75385498"/>
    <w:rsid w:val="75EF084A"/>
    <w:rsid w:val="75F37776"/>
    <w:rsid w:val="76BC207F"/>
    <w:rsid w:val="76EB4904"/>
    <w:rsid w:val="77645DCD"/>
    <w:rsid w:val="777378F5"/>
    <w:rsid w:val="777A2D3C"/>
    <w:rsid w:val="78474930"/>
    <w:rsid w:val="79074B81"/>
    <w:rsid w:val="794F0939"/>
    <w:rsid w:val="79AF0FCA"/>
    <w:rsid w:val="7AF9279C"/>
    <w:rsid w:val="7CC51958"/>
    <w:rsid w:val="7CD53DF9"/>
    <w:rsid w:val="7CEE73C0"/>
    <w:rsid w:val="7D097C86"/>
    <w:rsid w:val="7D906BEF"/>
    <w:rsid w:val="7E070AE2"/>
    <w:rsid w:val="7E2936C3"/>
    <w:rsid w:val="7E6411B9"/>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3"/>
    <w:autoRedefine/>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5"/>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5"/>
    <w:autoRedefine/>
    <w:qFormat/>
    <w:uiPriority w:val="99"/>
    <w:rPr>
      <w:rFonts w:ascii="宋体" w:hAnsi="Courier New" w:eastAsiaTheme="minorEastAsia" w:cstheme="minorBidi"/>
      <w:szCs w:val="22"/>
    </w:rPr>
  </w:style>
  <w:style w:type="paragraph" w:styleId="12">
    <w:name w:val="Date"/>
    <w:basedOn w:val="1"/>
    <w:next w:val="1"/>
    <w:link w:val="42"/>
    <w:autoRedefine/>
    <w:qFormat/>
    <w:uiPriority w:val="0"/>
    <w:rPr>
      <w:rFonts w:ascii="Arial" w:hAnsi="Arial" w:eastAsia="宋体" w:cs="Arial"/>
      <w:b/>
      <w:sz w:val="28"/>
    </w:rPr>
  </w:style>
  <w:style w:type="paragraph" w:styleId="13">
    <w:name w:val="Balloon Text"/>
    <w:basedOn w:val="1"/>
    <w:link w:val="29"/>
    <w:autoRedefine/>
    <w:semiHidden/>
    <w:unhideWhenUsed/>
    <w:qFormat/>
    <w:uiPriority w:val="99"/>
    <w:rPr>
      <w:sz w:val="18"/>
      <w:szCs w:val="18"/>
    </w:rPr>
  </w:style>
  <w:style w:type="paragraph" w:styleId="14">
    <w:name w:val="footer"/>
    <w:basedOn w:val="1"/>
    <w:link w:val="34"/>
    <w:autoRedefine/>
    <w:unhideWhenUsed/>
    <w:qFormat/>
    <w:uiPriority w:val="99"/>
    <w:pPr>
      <w:tabs>
        <w:tab w:val="center" w:pos="4153"/>
        <w:tab w:val="right" w:pos="8306"/>
      </w:tabs>
      <w:snapToGrid w:val="0"/>
      <w:jc w:val="left"/>
    </w:pPr>
    <w:rPr>
      <w:sz w:val="18"/>
      <w:szCs w:val="18"/>
    </w:rPr>
  </w:style>
  <w:style w:type="paragraph" w:styleId="15">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annotation subject"/>
    <w:basedOn w:val="7"/>
    <w:next w:val="7"/>
    <w:link w:val="56"/>
    <w:autoRedefine/>
    <w:semiHidden/>
    <w:unhideWhenUsed/>
    <w:qFormat/>
    <w:uiPriority w:val="99"/>
    <w:rPr>
      <w:rFonts w:ascii="@仿宋_GB2312" w:hAnsi="@仿宋_GB2312" w:eastAsia="@仿宋_GB2312" w:cs="@仿宋_GB2312"/>
      <w:b/>
      <w:bCs/>
    </w:rPr>
  </w:style>
  <w:style w:type="paragraph" w:styleId="21">
    <w:name w:val="Body Text First Indent"/>
    <w:basedOn w:val="8"/>
    <w:autoRedefine/>
    <w:unhideWhenUsed/>
    <w:qFormat/>
    <w:uiPriority w:val="99"/>
    <w:pPr>
      <w:ind w:firstLine="420" w:firstLineChars="100"/>
    </w:pPr>
  </w:style>
  <w:style w:type="table" w:styleId="23">
    <w:name w:val="Table Grid"/>
    <w:basedOn w:val="2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Emphasis"/>
    <w:basedOn w:val="24"/>
    <w:qFormat/>
    <w:uiPriority w:val="0"/>
    <w:rPr>
      <w:i/>
    </w:rPr>
  </w:style>
  <w:style w:type="character" w:styleId="27">
    <w:name w:val="Hyperlink"/>
    <w:basedOn w:val="24"/>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4"/>
    <w:autoRedefine/>
    <w:semiHidden/>
    <w:unhideWhenUsed/>
    <w:qFormat/>
    <w:uiPriority w:val="99"/>
    <w:rPr>
      <w:sz w:val="21"/>
      <w:szCs w:val="21"/>
    </w:rPr>
  </w:style>
  <w:style w:type="character" w:customStyle="1" w:styleId="29">
    <w:name w:val="批注框文本 Char"/>
    <w:basedOn w:val="24"/>
    <w:link w:val="13"/>
    <w:autoRedefine/>
    <w:semiHidden/>
    <w:qFormat/>
    <w:uiPriority w:val="99"/>
    <w:rPr>
      <w:rFonts w:ascii="@仿宋_GB2312" w:hAnsi="@仿宋_GB2312" w:eastAsia="@仿宋_GB2312" w:cs="@仿宋_GB2312"/>
      <w:sz w:val="18"/>
      <w:szCs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4"/>
    <w:link w:val="15"/>
    <w:autoRedefine/>
    <w:qFormat/>
    <w:uiPriority w:val="99"/>
    <w:rPr>
      <w:rFonts w:ascii="@仿宋_GB2312" w:hAnsi="@仿宋_GB2312" w:eastAsia="@仿宋_GB2312" w:cs="@仿宋_GB2312"/>
      <w:sz w:val="18"/>
      <w:szCs w:val="18"/>
    </w:rPr>
  </w:style>
  <w:style w:type="character" w:customStyle="1" w:styleId="34">
    <w:name w:val="页脚 Char"/>
    <w:basedOn w:val="24"/>
    <w:link w:val="14"/>
    <w:autoRedefine/>
    <w:qFormat/>
    <w:uiPriority w:val="99"/>
    <w:rPr>
      <w:rFonts w:ascii="@仿宋_GB2312" w:hAnsi="@仿宋_GB2312" w:eastAsia="@仿宋_GB2312" w:cs="@仿宋_GB2312"/>
      <w:sz w:val="18"/>
      <w:szCs w:val="18"/>
    </w:rPr>
  </w:style>
  <w:style w:type="character" w:customStyle="1" w:styleId="35">
    <w:name w:val="纯文本 Char"/>
    <w:link w:val="11"/>
    <w:autoRedefine/>
    <w:qFormat/>
    <w:uiPriority w:val="0"/>
    <w:rPr>
      <w:rFonts w:ascii="宋体" w:hAnsi="Courier New"/>
    </w:rPr>
  </w:style>
  <w:style w:type="character" w:customStyle="1" w:styleId="36">
    <w:name w:val="纯文本 字符1"/>
    <w:basedOn w:val="24"/>
    <w:autoRedefine/>
    <w:semiHidden/>
    <w:qFormat/>
    <w:uiPriority w:val="99"/>
    <w:rPr>
      <w:rFonts w:hAnsi="Courier New" w:cs="Courier New" w:asciiTheme="minorEastAsia"/>
      <w:szCs w:val="20"/>
    </w:rPr>
  </w:style>
  <w:style w:type="character" w:customStyle="1" w:styleId="37">
    <w:name w:val="未处理的提及1"/>
    <w:basedOn w:val="24"/>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autoRedefine/>
    <w:semiHidden/>
    <w:qFormat/>
    <w:uiPriority w:val="99"/>
    <w:rPr>
      <w:rFonts w:ascii="@仿宋_GB2312" w:hAnsi="@仿宋_GB2312" w:eastAsia="@仿宋_GB2312" w:cs="@仿宋_GB2312"/>
      <w:szCs w:val="20"/>
    </w:rPr>
  </w:style>
  <w:style w:type="character" w:customStyle="1" w:styleId="42">
    <w:name w:val="日期 Char"/>
    <w:link w:val="12"/>
    <w:autoRedefine/>
    <w:qFormat/>
    <w:uiPriority w:val="0"/>
    <w:rPr>
      <w:rFonts w:ascii="Arial" w:hAnsi="Arial" w:eastAsia="宋体" w:cs="Arial"/>
      <w:b/>
      <w:sz w:val="28"/>
      <w:szCs w:val="20"/>
    </w:rPr>
  </w:style>
  <w:style w:type="character" w:customStyle="1" w:styleId="43">
    <w:name w:val="纯文本 Char1"/>
    <w:autoRedefine/>
    <w:qFormat/>
    <w:locked/>
    <w:uiPriority w:val="99"/>
    <w:rPr>
      <w:rFonts w:ascii="Arial" w:hAnsi="Arial" w:eastAsia="Arial"/>
      <w:kern w:val="2"/>
      <w:sz w:val="21"/>
      <w:lang w:val="en-US" w:eastAsia="zh-CN" w:bidi="ar-SA"/>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Char1"/>
    <w:link w:val="7"/>
    <w:autoRedefine/>
    <w:qFormat/>
    <w:uiPriority w:val="0"/>
    <w:rPr>
      <w:rFonts w:ascii="Arial" w:hAnsi="Arial" w:eastAsia="黑体" w:cs="Arial"/>
      <w:szCs w:val="20"/>
    </w:rPr>
  </w:style>
  <w:style w:type="character" w:customStyle="1" w:styleId="46">
    <w:name w:val="标题 1 Char"/>
    <w:basedOn w:val="24"/>
    <w:link w:val="2"/>
    <w:autoRedefine/>
    <w:qFormat/>
    <w:uiPriority w:val="9"/>
    <w:rPr>
      <w:rFonts w:ascii="@仿宋_GB2312" w:hAnsi="@仿宋_GB2312" w:eastAsia="@仿宋_GB2312" w:cs="@仿宋_GB2312"/>
      <w:b/>
      <w:bCs/>
      <w:kern w:val="44"/>
      <w:sz w:val="44"/>
      <w:szCs w:val="44"/>
    </w:rPr>
  </w:style>
  <w:style w:type="paragraph" w:customStyle="1" w:styleId="4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Char"/>
    <w:basedOn w:val="24"/>
    <w:link w:val="4"/>
    <w:autoRedefine/>
    <w:semiHidden/>
    <w:qFormat/>
    <w:uiPriority w:val="9"/>
    <w:rPr>
      <w:rFonts w:ascii="@仿宋_GB2312" w:hAnsi="@仿宋_GB2312" w:eastAsia="@仿宋_GB2312" w:cs="@仿宋_GB2312"/>
      <w:b/>
      <w:bCs/>
      <w:sz w:val="32"/>
      <w:szCs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Char1"/>
    <w:link w:val="5"/>
    <w:autoRedefine/>
    <w:qFormat/>
    <w:uiPriority w:val="0"/>
    <w:rPr>
      <w:rFonts w:ascii="@仿宋_GB2312" w:hAnsi="@仿宋_GB2312" w:eastAsia="@仿宋_GB2312" w:cs="@仿宋_GB2312"/>
      <w:b/>
      <w:bCs/>
      <w:sz w:val="28"/>
      <w:szCs w:val="28"/>
    </w:rPr>
  </w:style>
  <w:style w:type="character" w:customStyle="1" w:styleId="54">
    <w:name w:val="标题 4 Char"/>
    <w:autoRedefine/>
    <w:qFormat/>
    <w:uiPriority w:val="0"/>
    <w:rPr>
      <w:rFonts w:ascii="Arial" w:hAnsi="Arial" w:eastAsia="Arial"/>
      <w:b/>
      <w:bCs/>
      <w:kern w:val="2"/>
      <w:sz w:val="28"/>
      <w:szCs w:val="28"/>
      <w:lang w:val="en-US" w:eastAsia="zh-CN" w:bidi="ar-SA"/>
    </w:rPr>
  </w:style>
  <w:style w:type="table" w:customStyle="1" w:styleId="55">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批注主题 Char"/>
    <w:basedOn w:val="45"/>
    <w:link w:val="20"/>
    <w:autoRedefine/>
    <w:semiHidden/>
    <w:qFormat/>
    <w:uiPriority w:val="99"/>
    <w:rPr>
      <w:rFonts w:ascii="@仿宋_GB2312" w:hAnsi="@仿宋_GB2312" w:eastAsia="@仿宋_GB2312" w:cs="@仿宋_GB2312"/>
      <w:b/>
      <w:bCs/>
      <w:szCs w:val="20"/>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Text"/>
    <w:basedOn w:val="1"/>
    <w:autoRedefine/>
    <w:semiHidden/>
    <w:qFormat/>
    <w:uiPriority w:val="0"/>
    <w:rPr>
      <w:rFonts w:ascii="Arial" w:hAnsi="Arial" w:eastAsia="Arial" w:cs="Arial"/>
      <w:sz w:val="21"/>
      <w:szCs w:val="21"/>
      <w:lang w:val="en-US" w:eastAsia="en-US" w:bidi="ar-SA"/>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74</Pages>
  <Words>2183</Words>
  <Characters>2419</Characters>
  <Lines>244</Lines>
  <Paragraphs>68</Paragraphs>
  <TotalTime>29</TotalTime>
  <ScaleCrop>false</ScaleCrop>
  <LinksUpToDate>false</LinksUpToDate>
  <CharactersWithSpaces>2567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贾先生</cp:lastModifiedBy>
  <cp:lastPrinted>2019-12-07T15:18:00Z</cp:lastPrinted>
  <dcterms:modified xsi:type="dcterms:W3CDTF">2026-04-22T07:24:26Z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1ECEA165F94845FFAF35C1C96E4FB9B0_12</vt:lpwstr>
  </property>
  <property fmtid="{D5CDD505-2E9C-101B-9397-08002B2CF9AE}" pid="4" name="KSOTemplateDocerSaveRecord">
    <vt:lpwstr>eyJoZGlkIjoiZGM2NDk5OGFiYzg4ZTEzM2NiYjUxZTQ1OTBjMWNmM2MiLCJ1c2VySWQiOiI0OTcwNTQxMDcifQ==</vt:lpwstr>
  </property>
</Properties>
</file>