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A6EC">
      <w:pPr>
        <w:tabs>
          <w:tab w:val="left" w:pos="2360"/>
        </w:tabs>
        <w:spacing w:line="480" w:lineRule="auto"/>
        <w:jc w:val="center"/>
        <w:outlineLvl w:val="1"/>
        <w:rPr>
          <w:rFonts w:hint="eastAsia" w:ascii="仿宋" w:hAnsi="仿宋" w:eastAsia="仿宋" w:cs="仿宋"/>
          <w:b/>
          <w:bCs/>
          <w:sz w:val="44"/>
          <w:szCs w:val="44"/>
          <w:highlight w:val="none"/>
        </w:rPr>
      </w:pPr>
      <w:bookmarkStart w:id="0" w:name="_Toc12324"/>
      <w:bookmarkStart w:id="1" w:name="_Toc32593"/>
      <w:r>
        <w:rPr>
          <w:rFonts w:hint="eastAsia" w:ascii="仿宋" w:hAnsi="仿宋" w:eastAsia="仿宋" w:cs="仿宋"/>
          <w:b/>
          <w:bCs/>
          <w:sz w:val="44"/>
          <w:szCs w:val="44"/>
          <w:highlight w:val="none"/>
        </w:rPr>
        <w:t>安徽医科大学附属宿州医院（宿州市立医院）</w:t>
      </w:r>
      <w:r>
        <w:rPr>
          <w:rFonts w:hint="eastAsia" w:ascii="仿宋" w:hAnsi="仿宋" w:eastAsia="仿宋" w:cs="仿宋"/>
          <w:b/>
          <w:bCs/>
          <w:sz w:val="44"/>
          <w:szCs w:val="44"/>
          <w:highlight w:val="none"/>
          <w:lang w:val="en-US" w:eastAsia="zh-CN"/>
        </w:rPr>
        <w:t>药物</w:t>
      </w:r>
      <w:r>
        <w:rPr>
          <w:rFonts w:hint="eastAsia" w:ascii="仿宋" w:hAnsi="仿宋" w:eastAsia="仿宋" w:cs="仿宋"/>
          <w:b/>
          <w:bCs/>
          <w:sz w:val="44"/>
          <w:szCs w:val="44"/>
          <w:highlight w:val="none"/>
        </w:rPr>
        <w:t>临床试验伦理审查</w:t>
      </w:r>
      <w:bookmarkEnd w:id="0"/>
      <w:r>
        <w:rPr>
          <w:rFonts w:hint="eastAsia" w:ascii="仿宋" w:hAnsi="仿宋" w:eastAsia="仿宋" w:cs="仿宋"/>
          <w:b/>
          <w:bCs/>
          <w:sz w:val="44"/>
          <w:szCs w:val="44"/>
          <w:highlight w:val="none"/>
        </w:rPr>
        <w:t>申请指南</w:t>
      </w:r>
    </w:p>
    <w:p w14:paraId="22925046">
      <w:pPr>
        <w:tabs>
          <w:tab w:val="left" w:pos="2360"/>
        </w:tabs>
        <w:spacing w:line="480" w:lineRule="auto"/>
        <w:jc w:val="center"/>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一、机构立项审查</w:t>
      </w:r>
    </w:p>
    <w:p w14:paraId="709D7553">
      <w:pPr>
        <w:tabs>
          <w:tab w:val="left" w:pos="2360"/>
        </w:tabs>
        <w:spacing w:line="480" w:lineRule="auto"/>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申办方或研究者提交伦理审查申请前，必须将相关材料交机构办公室审核，并通过机构立项审查，出具审议结论后，方可申请伦理审查。     </w:t>
      </w:r>
    </w:p>
    <w:p w14:paraId="579C8219">
      <w:pPr>
        <w:tabs>
          <w:tab w:val="left" w:pos="2360"/>
        </w:tabs>
        <w:spacing w:line="480" w:lineRule="auto"/>
        <w:jc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二、伦理审查</w:t>
      </w:r>
    </w:p>
    <w:p w14:paraId="77440F2F">
      <w:pPr>
        <w:widowControl/>
        <w:spacing w:line="48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1、初始审查：所有在我院进行的临床试验必须在</w:t>
      </w:r>
      <w:r>
        <w:rPr>
          <w:rFonts w:hint="eastAsia" w:ascii="仿宋" w:hAnsi="仿宋" w:eastAsia="仿宋" w:cs="仿宋"/>
          <w:sz w:val="28"/>
          <w:szCs w:val="28"/>
          <w:highlight w:val="none"/>
        </w:rPr>
        <w:t>机构立项审查通过后</w:t>
      </w:r>
      <w:r>
        <w:rPr>
          <w:rFonts w:hint="eastAsia" w:ascii="仿宋" w:hAnsi="仿宋" w:eastAsia="仿宋" w:cs="仿宋"/>
          <w:kern w:val="0"/>
          <w:sz w:val="28"/>
          <w:szCs w:val="28"/>
          <w:highlight w:val="none"/>
        </w:rPr>
        <w:t>提交伦理委员会进行初始审查，获得批准后方可实施</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审查决定有效期最长不超过12个月，对于超过一年的临床研究需进行跟踪审查，直到不再从受试者那里产生新的数据为止</w:t>
      </w:r>
      <w:r>
        <w:rPr>
          <w:rFonts w:hint="eastAsia" w:ascii="仿宋" w:hAnsi="仿宋" w:eastAsia="仿宋" w:cs="仿宋"/>
          <w:kern w:val="0"/>
          <w:sz w:val="28"/>
          <w:szCs w:val="28"/>
          <w:highlight w:val="none"/>
        </w:rPr>
        <w:t>。</w:t>
      </w:r>
    </w:p>
    <w:p w14:paraId="1AF4DCB7">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修正案审查：在研究进行期间，临床研究方案的任何修改，包括但不限于对研究方案、知情同意书、招募广告和提供给受试者的其他书面等资料所作的任何修订，均应向伦理委员会提交修正案审查申请，经伦理委员会批准后方可实施（避免对受试者紧急伤害的修正方案等可以先执行，然后及时报告）。修正案伦理意见及相关材料报机构备案。</w:t>
      </w:r>
    </w:p>
    <w:p w14:paraId="2DBE29E7">
      <w:pPr>
        <w:widowControl/>
        <w:spacing w:line="480" w:lineRule="auto"/>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3、</w:t>
      </w:r>
      <w:r>
        <w:rPr>
          <w:rFonts w:hint="eastAsia" w:ascii="仿宋" w:hAnsi="仿宋" w:eastAsia="仿宋" w:cs="仿宋"/>
          <w:kern w:val="0"/>
          <w:sz w:val="28"/>
          <w:szCs w:val="28"/>
          <w:highlight w:val="none"/>
          <w:lang w:val="en-US" w:eastAsia="zh-CN"/>
        </w:rPr>
        <w:t>严重不良事件审查</w:t>
      </w:r>
    </w:p>
    <w:p w14:paraId="0AFD06CD">
      <w:pPr>
        <w:widowControl/>
        <w:spacing w:line="480" w:lineRule="auto"/>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（1）预期严重不良事件（SAE）报告</w:t>
      </w:r>
    </w:p>
    <w:p w14:paraId="18C65C64">
      <w:pPr>
        <w:widowControl/>
        <w:spacing w:line="480" w:lineRule="auto"/>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A.严重不良事件（SAE）的上报，除试验方案或者其他文件(如研究者手册)中规定不需立即报告的 SAE 外，研究者应当立即（24小时内）向申办者书面报告所有严重不良事件，随后应当及时提供详尽、书面的随访报告。</w:t>
      </w:r>
    </w:p>
    <w:p w14:paraId="5FE0DD6E">
      <w:pPr>
        <w:widowControl/>
        <w:spacing w:line="480" w:lineRule="auto"/>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B.SAE首次报告</w:t>
      </w:r>
      <w:r>
        <w:rPr>
          <w:rFonts w:hint="eastAsia" w:ascii="仿宋" w:hAnsi="仿宋" w:eastAsia="仿宋" w:cs="仿宋"/>
          <w:kern w:val="0"/>
          <w:sz w:val="28"/>
          <w:szCs w:val="28"/>
          <w:highlight w:val="none"/>
        </w:rPr>
        <w:t>应包含但不限于以下信息</w:t>
      </w:r>
      <w:r>
        <w:rPr>
          <w:rFonts w:hint="eastAsia" w:ascii="仿宋" w:hAnsi="仿宋" w:eastAsia="仿宋" w:cs="仿宋"/>
          <w:kern w:val="0"/>
          <w:sz w:val="28"/>
          <w:szCs w:val="28"/>
          <w:highlight w:val="none"/>
          <w:lang w:val="en-US" w:eastAsia="zh-CN"/>
        </w:rPr>
        <w:t>:</w:t>
      </w:r>
      <w:r>
        <w:rPr>
          <w:rStyle w:val="10"/>
          <w:rFonts w:hint="eastAsia" w:ascii="仿宋" w:hAnsi="仿宋" w:eastAsia="仿宋" w:cs="仿宋"/>
          <w:b w:val="0"/>
          <w:bCs/>
          <w:color w:val="auto"/>
          <w:kern w:val="0"/>
          <w:sz w:val="28"/>
          <w:szCs w:val="28"/>
          <w:highlight w:val="none"/>
        </w:rPr>
        <w:t>入组基本情况</w:t>
      </w:r>
      <w:r>
        <w:rPr>
          <w:rFonts w:hint="eastAsia" w:ascii="仿宋" w:hAnsi="仿宋" w:eastAsia="仿宋" w:cs="仿宋"/>
          <w:bCs/>
          <w:color w:val="auto"/>
          <w:kern w:val="0"/>
          <w:sz w:val="28"/>
          <w:szCs w:val="28"/>
          <w:highlight w:val="none"/>
          <w:lang w:val="en-US" w:eastAsia="zh-CN"/>
        </w:rPr>
        <w:t>,</w:t>
      </w:r>
      <w:r>
        <w:rPr>
          <w:rFonts w:hint="eastAsia" w:ascii="仿宋" w:hAnsi="仿宋" w:eastAsia="仿宋" w:cs="仿宋"/>
          <w:kern w:val="0"/>
          <w:sz w:val="28"/>
          <w:szCs w:val="28"/>
          <w:highlight w:val="none"/>
          <w:lang w:val="en-US" w:eastAsia="zh-CN"/>
        </w:rPr>
        <w:t>试验用药情况，试验参与情况，疾病情况，SAE名称，</w:t>
      </w:r>
      <w:r>
        <w:rPr>
          <w:rFonts w:hint="eastAsia" w:ascii="仿宋" w:hAnsi="仿宋" w:eastAsia="仿宋" w:cs="仿宋"/>
          <w:kern w:val="0"/>
          <w:sz w:val="28"/>
          <w:szCs w:val="28"/>
          <w:highlight w:val="none"/>
        </w:rPr>
        <w:t>SAE与试验药物的相关性的判定和具体分析</w:t>
      </w:r>
      <w:r>
        <w:rPr>
          <w:rFonts w:hint="eastAsia" w:ascii="仿宋" w:hAnsi="仿宋" w:eastAsia="仿宋" w:cs="仿宋"/>
          <w:kern w:val="0"/>
          <w:sz w:val="28"/>
          <w:szCs w:val="28"/>
          <w:highlight w:val="none"/>
          <w:lang w:eastAsia="zh-CN"/>
        </w:rPr>
        <w:t>，是否揭盲，</w:t>
      </w:r>
      <w:r>
        <w:rPr>
          <w:rFonts w:hint="eastAsia" w:ascii="仿宋" w:hAnsi="仿宋" w:eastAsia="仿宋" w:cs="仿宋"/>
          <w:kern w:val="0"/>
          <w:sz w:val="28"/>
          <w:szCs w:val="28"/>
          <w:highlight w:val="none"/>
        </w:rPr>
        <w:t>是否为SUSAR</w:t>
      </w:r>
      <w:r>
        <w:rPr>
          <w:rFonts w:hint="eastAsia" w:ascii="仿宋" w:hAnsi="仿宋" w:eastAsia="仿宋" w:cs="仿宋"/>
          <w:kern w:val="0"/>
          <w:sz w:val="28"/>
          <w:szCs w:val="28"/>
          <w:highlight w:val="none"/>
          <w:lang w:val="en-US" w:eastAsia="zh-CN"/>
        </w:rPr>
        <w:t>等。</w:t>
      </w:r>
    </w:p>
    <w:p w14:paraId="65B660ED">
      <w:pPr>
        <w:widowControl/>
        <w:spacing w:line="480" w:lineRule="auto"/>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C.SAE&lt;随访/总结报告&gt;</w:t>
      </w:r>
      <w:r>
        <w:rPr>
          <w:rFonts w:hint="eastAsia" w:ascii="仿宋" w:hAnsi="仿宋" w:eastAsia="仿宋" w:cs="仿宋"/>
          <w:kern w:val="0"/>
          <w:sz w:val="28"/>
          <w:szCs w:val="28"/>
          <w:highlight w:val="none"/>
        </w:rPr>
        <w:t>应包含但不限于以下信息</w:t>
      </w:r>
      <w:r>
        <w:rPr>
          <w:rFonts w:hint="eastAsia" w:ascii="仿宋" w:hAnsi="仿宋" w:eastAsia="仿宋" w:cs="仿宋"/>
          <w:kern w:val="0"/>
          <w:sz w:val="28"/>
          <w:szCs w:val="28"/>
          <w:highlight w:val="none"/>
          <w:lang w:eastAsia="zh-CN"/>
        </w:rPr>
        <w:t>：随访信息，出院时间、出院诊断及出院时情况；SAE转归结局</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lang w:eastAsia="zh-CN"/>
        </w:rPr>
        <w:t>是否为SUSAR（如与首次报告判定不同，应充分说明理由）。</w:t>
      </w:r>
    </w:p>
    <w:p w14:paraId="6F656874">
      <w:pPr>
        <w:widowControl/>
        <w:spacing w:line="480" w:lineRule="auto"/>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D.严重不良事件报告和随访报告应当注明受试者在临床试验中的鉴认代码。试验方案中规定的、对安全性评价重要的不良事件和实验室异常值，应当按照试验方案的要求和时限向申办者报告。涉及死亡事件的报告，研究者应当向申办者和伦理委员会提供其他所需要的资料，如尸检报告和最终医学报告。</w:t>
      </w:r>
    </w:p>
    <w:p w14:paraId="736ABE1F">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）对于本院的可疑且非预期严重不良事件</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SUSAR</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w:t>
      </w:r>
    </w:p>
    <w:p w14:paraId="60FEB0E2">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A.致死或危及生命的SUSAR首次报告：申办方获知后7日内递交本伦理委员会。随访/总结报告：首次报告后及时递交本伦理委员会。</w:t>
      </w:r>
    </w:p>
    <w:p w14:paraId="3B397A8F">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B.非致死或危及生命的SUSAR：首次报告不能晚于申办方获知15日内递交本伦理委员会。</w:t>
      </w:r>
    </w:p>
    <w:p w14:paraId="0150C27E">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）外院的SUSAR</w:t>
      </w:r>
      <w:r>
        <w:rPr>
          <w:rFonts w:hint="eastAsia" w:ascii="仿宋" w:hAnsi="仿宋" w:eastAsia="仿宋" w:cs="仿宋"/>
          <w:kern w:val="0"/>
          <w:sz w:val="28"/>
          <w:szCs w:val="28"/>
          <w:highlight w:val="none"/>
          <w:lang w:val="en-US" w:eastAsia="zh-CN"/>
        </w:rPr>
        <w:t>和普通的不良事件</w:t>
      </w:r>
      <w:r>
        <w:rPr>
          <w:rFonts w:hint="eastAsia" w:ascii="仿宋" w:hAnsi="仿宋" w:eastAsia="仿宋" w:cs="仿宋"/>
          <w:kern w:val="0"/>
          <w:sz w:val="28"/>
          <w:szCs w:val="28"/>
          <w:highlight w:val="none"/>
        </w:rPr>
        <w:t>：可每月或每季度汇总后递交本伦理委员会。</w:t>
      </w:r>
    </w:p>
    <w:p w14:paraId="0387279D">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注：申请人首次获知当天为第0天。</w:t>
      </w:r>
    </w:p>
    <w:p w14:paraId="6691A096">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4、跟踪审查：所有批准的临床研究均需在伦理委员会审查意见</w:t>
      </w:r>
      <w:r>
        <w:rPr>
          <w:rFonts w:hint="eastAsia" w:ascii="仿宋" w:hAnsi="仿宋" w:eastAsia="仿宋" w:cs="仿宋"/>
          <w:kern w:val="0"/>
          <w:sz w:val="28"/>
          <w:szCs w:val="28"/>
          <w:highlight w:val="none"/>
          <w:lang w:val="en-US" w:eastAsia="zh-CN"/>
        </w:rPr>
        <w:t>要求的年度/定期审查频率，</w:t>
      </w:r>
      <w:r>
        <w:rPr>
          <w:rFonts w:hint="eastAsia" w:ascii="仿宋" w:hAnsi="仿宋" w:eastAsia="仿宋" w:cs="仿宋"/>
          <w:kern w:val="0"/>
          <w:sz w:val="28"/>
          <w:szCs w:val="28"/>
          <w:highlight w:val="none"/>
        </w:rPr>
        <w:t>提前1个月提交年度跟踪审查报告（机构和伦理同时提交）。</w:t>
      </w:r>
    </w:p>
    <w:p w14:paraId="73CEBF0F">
      <w:pPr>
        <w:widowControl/>
        <w:spacing w:line="480" w:lineRule="auto"/>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5、</w:t>
      </w:r>
      <w:r>
        <w:rPr>
          <w:rFonts w:hint="eastAsia" w:ascii="仿宋" w:hAnsi="仿宋" w:eastAsia="仿宋" w:cs="仿宋"/>
          <w:kern w:val="0"/>
          <w:sz w:val="28"/>
          <w:szCs w:val="28"/>
          <w:highlight w:val="none"/>
          <w:lang w:val="en-US" w:eastAsia="zh-CN"/>
        </w:rPr>
        <w:t>违背方案审查：</w:t>
      </w:r>
      <w:r>
        <w:rPr>
          <w:rFonts w:hint="eastAsia" w:ascii="仿宋" w:hAnsi="仿宋" w:eastAsia="仿宋" w:cs="仿宋"/>
          <w:kern w:val="0"/>
          <w:sz w:val="28"/>
          <w:szCs w:val="28"/>
          <w:highlight w:val="none"/>
        </w:rPr>
        <w:t>当</w:t>
      </w:r>
      <w:r>
        <w:rPr>
          <w:rFonts w:hint="eastAsia" w:ascii="仿宋" w:hAnsi="仿宋" w:eastAsia="仿宋" w:cs="仿宋"/>
          <w:kern w:val="0"/>
          <w:sz w:val="28"/>
          <w:szCs w:val="28"/>
          <w:highlight w:val="none"/>
          <w:lang w:val="en-US" w:eastAsia="zh-CN"/>
        </w:rPr>
        <w:t>出现</w:t>
      </w:r>
      <w:r>
        <w:rPr>
          <w:rFonts w:hint="eastAsia" w:ascii="仿宋" w:hAnsi="仿宋" w:eastAsia="仿宋" w:cs="仿宋"/>
          <w:kern w:val="0"/>
          <w:sz w:val="28"/>
          <w:szCs w:val="28"/>
          <w:highlight w:val="none"/>
        </w:rPr>
        <w:t>严重方案违背</w:t>
      </w:r>
      <w:r>
        <w:rPr>
          <w:rFonts w:hint="eastAsia" w:ascii="仿宋" w:hAnsi="仿宋" w:eastAsia="仿宋" w:cs="仿宋"/>
          <w:kern w:val="0"/>
          <w:sz w:val="28"/>
          <w:szCs w:val="28"/>
          <w:highlight w:val="none"/>
          <w:lang w:val="en-US" w:eastAsia="zh-CN"/>
        </w:rPr>
        <w:t>及持续方案违背时</w:t>
      </w:r>
      <w:r>
        <w:rPr>
          <w:rFonts w:hint="eastAsia" w:ascii="仿宋" w:hAnsi="仿宋" w:eastAsia="仿宋" w:cs="仿宋"/>
          <w:kern w:val="0"/>
          <w:sz w:val="28"/>
          <w:szCs w:val="28"/>
          <w:highlight w:val="none"/>
        </w:rPr>
        <w:t>，需提交违背方案报告</w:t>
      </w:r>
      <w:r>
        <w:rPr>
          <w:rFonts w:hint="eastAsia" w:ascii="仿宋" w:hAnsi="仿宋" w:eastAsia="仿宋" w:cs="仿宋"/>
          <w:kern w:val="0"/>
          <w:sz w:val="28"/>
          <w:szCs w:val="28"/>
          <w:highlight w:val="none"/>
          <w:lang w:eastAsia="zh-CN"/>
        </w:rPr>
        <w:t>。</w:t>
      </w:r>
    </w:p>
    <w:p w14:paraId="12531342">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严重方案违背：研究纳入了不符合纳入标准或符合排除标准的受试者、符合中止试验规定而未让受试者退出研究、给予错误治疗或剂量、给予方案禁止的合并用药等没有遵从方案开展研究的情况，或可能对受试者的权益/健康以及研究的科学性造成显著影响等违背GCP原则的情况。</w:t>
      </w:r>
    </w:p>
    <w:p w14:paraId="55607C3A">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持续方案违背：研究者不配合监查/稽查，或对违规事件不予以纠正。凡是发生上述研究者违背GCP原则、没有遵从方案开展研究，可能对受试者的权益/健康以及研究的科学性造成显著影响的情况，申办者/监查员/研究者应提交违背方案报告。</w:t>
      </w:r>
    </w:p>
    <w:p w14:paraId="11FCC900">
      <w:p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（3）对于轻中度方案违背（偏离），可能不对受试者的权益、安全或健康造成影响，或不影响试验数据的完整性、准确性或可靠性的不依从/违背方案情况，可以在跟踪审查申请时一并报告。</w:t>
      </w:r>
    </w:p>
    <w:p w14:paraId="74347A70">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6、研究者/申办者暂停或提前终止临床研究，应及时向机构和伦理委员会提交暂停/终止研究报告</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要确保受试者的安全和福祉不会因试验终止而受到危害</w:t>
      </w:r>
      <w:r>
        <w:rPr>
          <w:rFonts w:hint="eastAsia" w:ascii="仿宋" w:hAnsi="仿宋" w:eastAsia="仿宋" w:cs="仿宋"/>
          <w:kern w:val="0"/>
          <w:sz w:val="28"/>
          <w:szCs w:val="28"/>
          <w:highlight w:val="none"/>
        </w:rPr>
        <w:t>。暂停的临床研究再启动，需要填写暂停项目再启动申请。</w:t>
      </w:r>
    </w:p>
    <w:p w14:paraId="1A2A8703">
      <w:pPr>
        <w:widowControl/>
        <w:spacing w:line="48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7、完成临床研究，应及时向机构和伦理委员会提交结题报告。</w:t>
      </w:r>
    </w:p>
    <w:p w14:paraId="3198D1FC">
      <w:pPr>
        <w:widowControl/>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8、上述各类审查后，伦理审查意见为“</w:t>
      </w:r>
      <w:r>
        <w:rPr>
          <w:rFonts w:hint="eastAsia" w:ascii="仿宋" w:hAnsi="仿宋" w:eastAsia="仿宋" w:cs="仿宋"/>
          <w:kern w:val="0"/>
          <w:sz w:val="28"/>
          <w:szCs w:val="28"/>
          <w:highlight w:val="none"/>
          <w:lang w:val="en-US" w:eastAsia="zh-CN"/>
        </w:rPr>
        <w:t>修改后批准</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修改后再审</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的项目，对方案进行修改后，应在1个月内以“</w:t>
      </w:r>
      <w:r>
        <w:rPr>
          <w:rFonts w:hint="eastAsia" w:ascii="仿宋" w:hAnsi="仿宋" w:eastAsia="仿宋" w:cs="仿宋"/>
          <w:kern w:val="0"/>
          <w:sz w:val="28"/>
          <w:szCs w:val="28"/>
          <w:highlight w:val="none"/>
          <w:lang w:val="en-US" w:eastAsia="zh-CN"/>
        </w:rPr>
        <w:t>再</w:t>
      </w:r>
      <w:r>
        <w:rPr>
          <w:rFonts w:hint="eastAsia" w:ascii="仿宋" w:hAnsi="仿宋" w:eastAsia="仿宋" w:cs="仿宋"/>
          <w:kern w:val="0"/>
          <w:sz w:val="28"/>
          <w:szCs w:val="28"/>
          <w:highlight w:val="none"/>
        </w:rPr>
        <w:t>审申请”的方式再次送审，经伦理委员会批准后方可实施。</w:t>
      </w:r>
    </w:p>
    <w:p w14:paraId="333090E7">
      <w:pPr>
        <w:widowControl/>
        <w:spacing w:line="480" w:lineRule="auto"/>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9、对于不需要伦理委员会的审批，仅作为临床试验监管过程提交至伦理存档的文件，可提交至伦理办备案（不出具伦理意见）。主要包括初始审查已提交、研究过程中产生的不涉及研究风险、受试者权益改变的更新文件，如：（1）药物／器械／试剂检测报告；（2）保险凭证；（3）申办者／研究合同组织资质、名称变更；（4）非本中心的 SUSAR / SAE； （5）研究者手册；（6）病例报告表；（7）其他管理性的说明文件。</w:t>
      </w:r>
    </w:p>
    <w:p w14:paraId="4E61DC35">
      <w:pPr>
        <w:widowControl/>
        <w:spacing w:line="480" w:lineRule="auto"/>
        <w:jc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t>三、需要提交的材料</w:t>
      </w:r>
    </w:p>
    <w:p w14:paraId="2D6118FC">
      <w:pPr>
        <w:spacing w:line="480" w:lineRule="auto"/>
        <w:ind w:firstLine="562" w:firstLineChars="200"/>
        <w:rPr>
          <w:rFonts w:hint="eastAsia"/>
          <w:highlight w:val="none"/>
        </w:rPr>
      </w:pPr>
      <w:r>
        <w:rPr>
          <w:rFonts w:hint="eastAsia" w:ascii="仿宋" w:hAnsi="仿宋" w:eastAsia="仿宋" w:cs="仿宋"/>
          <w:b/>
          <w:bCs/>
          <w:sz w:val="28"/>
          <w:szCs w:val="28"/>
          <w:highlight w:val="none"/>
        </w:rPr>
        <w:t>1、初始审查</w:t>
      </w:r>
    </w:p>
    <w:p w14:paraId="0A6AD065">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药物临床试验申请报告</w:t>
      </w:r>
    </w:p>
    <w:p w14:paraId="0F145C07">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药物临床试验伦理审查申请表</w:t>
      </w:r>
    </w:p>
    <w:p w14:paraId="41AF6020">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临床试验委托书</w:t>
      </w:r>
    </w:p>
    <w:p w14:paraId="035C5715">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国家食品药品监督管理局临床研究批件</w:t>
      </w:r>
    </w:p>
    <w:p w14:paraId="5B434109">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组长单位伦理委员会意见（如无组长单位，需进行说明）</w:t>
      </w:r>
    </w:p>
    <w:p w14:paraId="0DACD95A">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临床研究方案(注明版本号/版本日期)</w:t>
      </w:r>
    </w:p>
    <w:p w14:paraId="0B06786C">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知情同意书(注明版本号/版本日期)</w:t>
      </w:r>
    </w:p>
    <w:p w14:paraId="1ADFB1BA">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招募受试者的材料(注明版本号/版本日期)</w:t>
      </w:r>
    </w:p>
    <w:p w14:paraId="499DE831">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病例报告表(注明版本号/版本日期)</w:t>
      </w:r>
    </w:p>
    <w:p w14:paraId="6F5A9CB3">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研究者手册</w:t>
      </w:r>
    </w:p>
    <w:p w14:paraId="049DCFF4">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试验用药物的药检证明、GMP证书（符合GMP条件下生产的相关证明文件）</w:t>
      </w:r>
    </w:p>
    <w:p w14:paraId="57457D64">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申办单位的资质材料</w:t>
      </w:r>
    </w:p>
    <w:p w14:paraId="70BA5033">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保险合同（如有）</w:t>
      </w:r>
    </w:p>
    <w:p w14:paraId="662B88EF">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主要研究者简历、研究者资格证明文件</w:t>
      </w:r>
    </w:p>
    <w:p w14:paraId="177AE1C2">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研究者简历、课题人员组成表</w:t>
      </w:r>
    </w:p>
    <w:p w14:paraId="4DACDF2E">
      <w:pPr>
        <w:numPr>
          <w:ilvl w:val="0"/>
          <w:numId w:val="1"/>
        </w:numPr>
        <w:spacing w:line="480" w:lineRule="auto"/>
        <w:ind w:left="210" w:leftChars="100"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付款回单</w:t>
      </w:r>
    </w:p>
    <w:p w14:paraId="2B2A1309">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p w14:paraId="722013D6">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2、跟踪审查</w:t>
      </w:r>
    </w:p>
    <w:p w14:paraId="0876E574">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（1）修正案审查申请</w:t>
      </w:r>
    </w:p>
    <w:p w14:paraId="5604F6B6">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修正案审查申请</w:t>
      </w:r>
    </w:p>
    <w:p w14:paraId="7B2ADAB7">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修正的临床研究方案(注明版本号/版本日期)</w:t>
      </w:r>
    </w:p>
    <w:p w14:paraId="0331AA31">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修正的知情同意书(注明版本号/版本日期)</w:t>
      </w:r>
    </w:p>
    <w:p w14:paraId="1F84EC4C">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修正的招募材料(注明版本号/版本日期)</w:t>
      </w:r>
    </w:p>
    <w:p w14:paraId="24868E9A">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组长单位意见</w:t>
      </w:r>
    </w:p>
    <w:p w14:paraId="4AD2C3D4">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p w14:paraId="3C4D0752">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（2）年度/定期跟踪审查报告</w:t>
      </w:r>
    </w:p>
    <w:p w14:paraId="6DB29742">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年度/定期跟踪审查</w:t>
      </w:r>
      <w:r>
        <w:rPr>
          <w:rFonts w:hint="eastAsia" w:ascii="仿宋" w:hAnsi="仿宋" w:eastAsia="仿宋" w:cs="仿宋"/>
          <w:sz w:val="28"/>
          <w:szCs w:val="28"/>
          <w:highlight w:val="none"/>
          <w:lang w:val="en-US" w:eastAsia="zh-CN"/>
        </w:rPr>
        <w:t>申请</w:t>
      </w:r>
    </w:p>
    <w:p w14:paraId="3C0813EC">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年度进展报告</w:t>
      </w:r>
    </w:p>
    <w:p w14:paraId="7987F587">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组长单位伦理委员会的年度/定期跟踪审查的意见文件</w:t>
      </w:r>
    </w:p>
    <w:p w14:paraId="4C849660">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p w14:paraId="777F61B8">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(3)严重不良事件报告</w:t>
      </w:r>
    </w:p>
    <w:p w14:paraId="70FF6301">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b/>
          <w:bCs/>
          <w:sz w:val="28"/>
          <w:szCs w:val="28"/>
          <w:highlight w:val="none"/>
        </w:rPr>
        <w:t>严重不良事件报告</w:t>
      </w:r>
      <w:r>
        <w:rPr>
          <w:rFonts w:hint="eastAsia" w:ascii="仿宋" w:hAnsi="仿宋" w:eastAsia="仿宋" w:cs="仿宋"/>
          <w:b/>
          <w:bCs/>
          <w:sz w:val="28"/>
          <w:szCs w:val="28"/>
          <w:highlight w:val="none"/>
          <w:lang w:val="en-US" w:eastAsia="zh-CN"/>
        </w:rPr>
        <w:t>表</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可使用CFDA模板</w:t>
      </w:r>
      <w:r>
        <w:rPr>
          <w:rFonts w:hint="eastAsia" w:ascii="仿宋" w:hAnsi="仿宋" w:eastAsia="仿宋" w:cs="仿宋"/>
          <w:b/>
          <w:bCs/>
          <w:sz w:val="28"/>
          <w:szCs w:val="28"/>
          <w:highlight w:val="none"/>
          <w:lang w:eastAsia="zh-CN"/>
        </w:rPr>
        <w:t>）</w:t>
      </w:r>
    </w:p>
    <w:p w14:paraId="64C90D98">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可疑且非预期严重不良事件记录表</w:t>
      </w:r>
    </w:p>
    <w:p w14:paraId="2524C384">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(4)违背方案报告</w:t>
      </w:r>
    </w:p>
    <w:p w14:paraId="5E6E5A6C">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违背方案报告</w:t>
      </w:r>
    </w:p>
    <w:p w14:paraId="6ECA749C">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(5)暂停/终止研究报告</w:t>
      </w:r>
    </w:p>
    <w:p w14:paraId="303E607B">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暂停/终止研究报告</w:t>
      </w:r>
    </w:p>
    <w:p w14:paraId="3E63F331">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研究总结报告</w:t>
      </w:r>
    </w:p>
    <w:p w14:paraId="4C0CDD57">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(6)研究完成报告</w:t>
      </w:r>
    </w:p>
    <w:p w14:paraId="7D0D5EE6">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研究完成报告（本中心）</w:t>
      </w:r>
    </w:p>
    <w:p w14:paraId="0E5BB060">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分中心小结</w:t>
      </w:r>
    </w:p>
    <w:p w14:paraId="1ED823F9">
      <w:pPr>
        <w:spacing w:line="48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val="en-US" w:eastAsia="zh-CN"/>
        </w:rPr>
        <w:t>再审</w:t>
      </w:r>
    </w:p>
    <w:p w14:paraId="32281794">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再审</w:t>
      </w:r>
      <w:r>
        <w:rPr>
          <w:rFonts w:hint="eastAsia" w:ascii="仿宋" w:hAnsi="仿宋" w:eastAsia="仿宋" w:cs="仿宋"/>
          <w:sz w:val="28"/>
          <w:szCs w:val="28"/>
          <w:highlight w:val="none"/>
        </w:rPr>
        <w:t>申请表</w:t>
      </w:r>
    </w:p>
    <w:p w14:paraId="0D766F10">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修正的临床研究方案(注明版本号/版本日期)</w:t>
      </w:r>
    </w:p>
    <w:p w14:paraId="28CEDE40">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修正的知情同意书(注明版本号/版本日期)</w:t>
      </w:r>
    </w:p>
    <w:p w14:paraId="35544CBE">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修正的招募材料(注明版本号/版本日期)</w:t>
      </w:r>
    </w:p>
    <w:p w14:paraId="5E90EED3">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p w14:paraId="78B05BD7">
      <w:pPr>
        <w:widowControl/>
        <w:spacing w:line="480" w:lineRule="auto"/>
        <w:jc w:val="center"/>
        <w:rPr>
          <w:rFonts w:hint="eastAsia" w:ascii="仿宋" w:hAnsi="仿宋" w:eastAsia="仿宋" w:cs="仿宋"/>
          <w:kern w:val="0"/>
          <w:sz w:val="28"/>
          <w:szCs w:val="28"/>
          <w:highlight w:val="none"/>
        </w:rPr>
      </w:pPr>
      <w:bookmarkStart w:id="2" w:name="_Hlk50368414"/>
      <w:r>
        <w:rPr>
          <w:rFonts w:hint="eastAsia" w:ascii="仿宋" w:hAnsi="仿宋" w:eastAsia="仿宋" w:cs="仿宋"/>
          <w:b/>
          <w:bCs/>
          <w:kern w:val="0"/>
          <w:sz w:val="28"/>
          <w:szCs w:val="28"/>
          <w:highlight w:val="none"/>
        </w:rPr>
        <w:t>四、审查流程</w:t>
      </w:r>
    </w:p>
    <w:p w14:paraId="7604378C">
      <w:pPr>
        <w:widowControl/>
        <w:spacing w:line="480" w:lineRule="auto"/>
        <w:ind w:firstLine="525"/>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初始审查的项目由机构审核立项后，研究者将纸质版材料交由伦理办公室进行形式审查。</w:t>
      </w:r>
      <w:r>
        <w:rPr>
          <w:rFonts w:hint="eastAsia" w:ascii="仿宋" w:hAnsi="仿宋" w:eastAsia="仿宋" w:cs="仿宋"/>
          <w:color w:val="auto"/>
          <w:sz w:val="28"/>
          <w:szCs w:val="28"/>
          <w:highlight w:val="none"/>
          <w:lang w:val="en-US" w:eastAsia="zh-CN"/>
        </w:rPr>
        <w:t>伦理办定于每月上旬集中受理需要审查的项目申请（非特殊情况，其他时间不受理</w:t>
      </w:r>
      <w:bookmarkStart w:id="7" w:name="_GoBack"/>
      <w:bookmarkEnd w:id="7"/>
      <w:r>
        <w:rPr>
          <w:rFonts w:hint="eastAsia" w:ascii="仿宋" w:hAnsi="仿宋" w:eastAsia="仿宋" w:cs="仿宋"/>
          <w:color w:val="auto"/>
          <w:sz w:val="28"/>
          <w:szCs w:val="28"/>
          <w:highlight w:val="none"/>
          <w:lang w:val="en-US" w:eastAsia="zh-CN"/>
        </w:rPr>
        <w:t>伦理申请）</w:t>
      </w:r>
      <w:r>
        <w:rPr>
          <w:rFonts w:hint="eastAsia" w:ascii="仿宋" w:hAnsi="仿宋" w:eastAsia="仿宋" w:cs="仿宋"/>
          <w:sz w:val="28"/>
          <w:szCs w:val="28"/>
          <w:highlight w:val="none"/>
          <w:lang w:val="en-US" w:eastAsia="zh-CN"/>
        </w:rPr>
        <w:t>，</w:t>
      </w:r>
      <w:r>
        <w:rPr>
          <w:rFonts w:hint="eastAsia" w:ascii="仿宋" w:hAnsi="仿宋" w:eastAsia="仿宋" w:cs="仿宋"/>
          <w:kern w:val="0"/>
          <w:sz w:val="28"/>
          <w:szCs w:val="28"/>
          <w:highlight w:val="none"/>
        </w:rPr>
        <w:t>材料合格后</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伦理办将根据项目的风险等级、性质及适用法规，综合判定其审查方式</w:t>
      </w:r>
      <w:r>
        <w:rPr>
          <w:rFonts w:hint="eastAsia" w:ascii="仿宋" w:hAnsi="仿宋" w:eastAsia="仿宋" w:cs="仿宋"/>
          <w:kern w:val="0"/>
          <w:sz w:val="28"/>
          <w:szCs w:val="28"/>
          <w:highlight w:val="none"/>
          <w:lang w:val="en-US" w:eastAsia="zh-CN"/>
        </w:rPr>
        <w:t>确定会议审查清单，</w:t>
      </w:r>
      <w:r>
        <w:rPr>
          <w:rFonts w:hint="eastAsia" w:ascii="仿宋" w:hAnsi="仿宋" w:eastAsia="仿宋" w:cs="仿宋"/>
          <w:kern w:val="0"/>
          <w:sz w:val="28"/>
          <w:szCs w:val="28"/>
          <w:highlight w:val="none"/>
          <w:lang w:val="en-US" w:eastAsia="zh-CN"/>
        </w:rPr>
        <w:t>并指定相应的主审委员</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主审委员一般审查期限为3-5个工作日</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审查方式包括会议审查及快速审查。</w:t>
      </w:r>
    </w:p>
    <w:p w14:paraId="62873666">
      <w:pPr>
        <w:widowControl/>
        <w:spacing w:line="480" w:lineRule="auto"/>
        <w:ind w:firstLine="525"/>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会议审查</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会议审查项目清单定于每月中旬通知伦理委员及项目负责人，审查会议定于每月下旬召开，务必由</w:t>
      </w:r>
      <w:r>
        <w:rPr>
          <w:rFonts w:hint="eastAsia" w:ascii="仿宋" w:hAnsi="仿宋" w:eastAsia="仿宋" w:cs="仿宋"/>
          <w:kern w:val="0"/>
          <w:sz w:val="28"/>
          <w:szCs w:val="28"/>
          <w:highlight w:val="none"/>
        </w:rPr>
        <w:t>主要研究者</w:t>
      </w:r>
      <w:r>
        <w:rPr>
          <w:rFonts w:hint="eastAsia" w:ascii="仿宋" w:hAnsi="仿宋" w:eastAsia="仿宋" w:cs="仿宋"/>
          <w:kern w:val="0"/>
          <w:sz w:val="28"/>
          <w:szCs w:val="28"/>
          <w:highlight w:val="none"/>
          <w:lang w:val="en-US" w:eastAsia="zh-CN"/>
        </w:rPr>
        <w:t>本人出席会议，</w:t>
      </w:r>
      <w:r>
        <w:rPr>
          <w:rFonts w:hint="eastAsia" w:ascii="仿宋" w:hAnsi="仿宋" w:eastAsia="仿宋" w:cs="仿宋"/>
          <w:kern w:val="0"/>
          <w:sz w:val="28"/>
          <w:szCs w:val="28"/>
          <w:highlight w:val="none"/>
        </w:rPr>
        <w:t>阐述方案并就伦理委员</w:t>
      </w:r>
      <w:r>
        <w:rPr>
          <w:rFonts w:hint="eastAsia" w:ascii="仿宋" w:hAnsi="仿宋" w:eastAsia="仿宋" w:cs="仿宋"/>
          <w:kern w:val="0"/>
          <w:sz w:val="28"/>
          <w:szCs w:val="28"/>
          <w:highlight w:val="none"/>
          <w:lang w:val="en-US" w:eastAsia="zh-CN"/>
        </w:rPr>
        <w:t>提出的疑问进行详尽解答与说明，以确保研究的科学性与伦理合规性得到充分评估。未能按照指定时间现场汇报的项目将延期审查。</w:t>
      </w:r>
    </w:p>
    <w:p w14:paraId="45D1EAD3">
      <w:pPr>
        <w:widowControl/>
        <w:spacing w:line="480" w:lineRule="auto"/>
        <w:ind w:firstLine="52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快速审查：两名主审在3至5个工作日内完成独立审查，伦理办汇总审查意见后，提交至主任委员审核。</w:t>
      </w:r>
    </w:p>
    <w:p w14:paraId="20BC2454">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伦理委员会办公室会在审查后</w:t>
      </w:r>
      <w:r>
        <w:rPr>
          <w:rFonts w:hint="eastAsia" w:ascii="仿宋" w:hAnsi="仿宋" w:eastAsia="仿宋" w:cs="仿宋"/>
          <w:kern w:val="0"/>
          <w:sz w:val="28"/>
          <w:szCs w:val="28"/>
          <w:highlight w:val="none"/>
          <w:lang w:val="en-US" w:eastAsia="zh-CN"/>
        </w:rPr>
        <w:t>五</w:t>
      </w:r>
      <w:r>
        <w:rPr>
          <w:rFonts w:hint="eastAsia" w:ascii="仿宋" w:hAnsi="仿宋" w:eastAsia="仿宋" w:cs="仿宋"/>
          <w:kern w:val="0"/>
          <w:sz w:val="28"/>
          <w:szCs w:val="28"/>
          <w:highlight w:val="none"/>
        </w:rPr>
        <w:t>个工作日内以“伦理审查意见函/伦理审查意见”的书面方式传达审查意见。审查意见可能是：</w:t>
      </w:r>
      <w:r>
        <w:rPr>
          <w:rFonts w:hint="eastAsia" w:ascii="仿宋" w:hAnsi="仿宋" w:eastAsia="仿宋" w:cs="仿宋"/>
          <w:kern w:val="0"/>
          <w:sz w:val="28"/>
          <w:szCs w:val="28"/>
          <w:highlight w:val="none"/>
          <w:lang w:val="en-US" w:eastAsia="zh-CN"/>
        </w:rPr>
        <w:t>批准、不批准、修改后批准、修改后再审、暂停或者终止研究的决定</w:t>
      </w:r>
      <w:r>
        <w:rPr>
          <w:rFonts w:hint="eastAsia" w:ascii="仿宋" w:hAnsi="仿宋" w:eastAsia="仿宋" w:cs="仿宋"/>
          <w:kern w:val="0"/>
          <w:sz w:val="28"/>
          <w:szCs w:val="28"/>
          <w:highlight w:val="none"/>
        </w:rPr>
        <w:t>。</w:t>
      </w:r>
    </w:p>
    <w:p w14:paraId="0F232E41">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对于审查结果是“</w:t>
      </w:r>
      <w:r>
        <w:rPr>
          <w:rFonts w:hint="eastAsia" w:ascii="仿宋" w:hAnsi="仿宋" w:eastAsia="仿宋" w:cs="仿宋"/>
          <w:kern w:val="0"/>
          <w:sz w:val="28"/>
          <w:szCs w:val="28"/>
          <w:highlight w:val="none"/>
          <w:lang w:val="en-US" w:eastAsia="zh-CN"/>
        </w:rPr>
        <w:t>修改后批准”、“修改后再审</w:t>
      </w:r>
      <w:r>
        <w:rPr>
          <w:rFonts w:hint="eastAsia" w:ascii="仿宋" w:hAnsi="仿宋" w:eastAsia="仿宋" w:cs="仿宋"/>
          <w:kern w:val="0"/>
          <w:sz w:val="28"/>
          <w:szCs w:val="28"/>
          <w:highlight w:val="none"/>
        </w:rPr>
        <w:t>”的项目，需要申办者对方案/知情同意书</w:t>
      </w:r>
      <w:r>
        <w:rPr>
          <w:rFonts w:hint="eastAsia" w:ascii="仿宋" w:hAnsi="仿宋" w:eastAsia="仿宋" w:cs="仿宋"/>
          <w:kern w:val="0"/>
          <w:sz w:val="28"/>
          <w:szCs w:val="28"/>
          <w:highlight w:val="none"/>
          <w:lang w:val="en-US" w:eastAsia="zh-CN"/>
        </w:rPr>
        <w:t>等</w:t>
      </w:r>
      <w:r>
        <w:rPr>
          <w:rFonts w:hint="eastAsia" w:ascii="仿宋" w:hAnsi="仿宋" w:eastAsia="仿宋" w:cs="仿宋"/>
          <w:kern w:val="0"/>
          <w:sz w:val="28"/>
          <w:szCs w:val="28"/>
          <w:highlight w:val="none"/>
        </w:rPr>
        <w:t>修改后递交</w:t>
      </w:r>
      <w:r>
        <w:rPr>
          <w:rFonts w:hint="eastAsia" w:ascii="仿宋" w:hAnsi="仿宋" w:eastAsia="仿宋" w:cs="仿宋"/>
          <w:kern w:val="0"/>
          <w:sz w:val="28"/>
          <w:szCs w:val="28"/>
          <w:highlight w:val="none"/>
          <w:lang w:val="en-US" w:eastAsia="zh-CN"/>
        </w:rPr>
        <w:t>再审</w:t>
      </w:r>
      <w:r>
        <w:rPr>
          <w:rFonts w:hint="eastAsia" w:ascii="仿宋" w:hAnsi="仿宋" w:eastAsia="仿宋" w:cs="仿宋"/>
          <w:kern w:val="0"/>
          <w:sz w:val="28"/>
          <w:szCs w:val="28"/>
          <w:highlight w:val="none"/>
        </w:rPr>
        <w:t>申请。</w:t>
      </w:r>
    </w:p>
    <w:p w14:paraId="239BB07E">
      <w:pPr>
        <w:widowControl/>
        <w:spacing w:line="480" w:lineRule="auto"/>
        <w:jc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五、审查意见传达</w:t>
      </w:r>
    </w:p>
    <w:p w14:paraId="5A42CC61">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伦理委员会办公室对伦理初始审查项目做出伦理审查意见后，会先将</w:t>
      </w:r>
      <w:r>
        <w:rPr>
          <w:rFonts w:hint="eastAsia" w:ascii="仿宋" w:hAnsi="仿宋" w:eastAsia="仿宋" w:cs="仿宋"/>
          <w:kern w:val="0"/>
          <w:sz w:val="28"/>
          <w:szCs w:val="28"/>
          <w:highlight w:val="none"/>
          <w:lang w:val="en-US" w:eastAsia="zh-CN"/>
        </w:rPr>
        <w:t>电子版</w:t>
      </w:r>
      <w:r>
        <w:rPr>
          <w:rFonts w:hint="eastAsia" w:ascii="仿宋" w:hAnsi="仿宋" w:eastAsia="仿宋" w:cs="仿宋"/>
          <w:kern w:val="0"/>
          <w:sz w:val="28"/>
          <w:szCs w:val="28"/>
          <w:highlight w:val="none"/>
        </w:rPr>
        <w:t>审查意见模板发送给申请人进行信息核对，申请人需及时回复。确认无误后，伦理委员会办公室再以书面方式传达正式审查意见。审查意见传达工作在伦理审查结束后五个工作日内完成。</w:t>
      </w:r>
    </w:p>
    <w:p w14:paraId="26D1901F">
      <w:pPr>
        <w:widowControl/>
        <w:spacing w:line="48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六、审查结果说明</w:t>
      </w:r>
    </w:p>
    <w:p w14:paraId="74442114">
      <w:pPr>
        <w:widowControl/>
        <w:spacing w:line="480" w:lineRule="auto"/>
        <w:ind w:firstLine="562" w:firstLineChars="200"/>
        <w:jc w:val="left"/>
        <w:rPr>
          <w:rFonts w:hint="eastAsia" w:ascii="仿宋" w:hAnsi="仿宋" w:eastAsia="仿宋" w:cs="仿宋"/>
          <w:b/>
          <w:bCs/>
          <w:kern w:val="0"/>
          <w:sz w:val="28"/>
          <w:szCs w:val="28"/>
          <w:highlight w:val="none"/>
          <w:lang w:eastAsia="zh-CN"/>
        </w:rPr>
      </w:pPr>
      <w:r>
        <w:rPr>
          <w:rFonts w:ascii="仿宋" w:hAnsi="仿宋" w:eastAsia="仿宋" w:cs="仿宋"/>
          <w:b/>
          <w:bCs/>
          <w:kern w:val="0"/>
          <w:sz w:val="28"/>
          <w:szCs w:val="28"/>
          <w:highlight w:val="none"/>
        </w:rPr>
        <w:t>1、</w:t>
      </w:r>
      <w:r>
        <w:rPr>
          <w:rFonts w:hint="eastAsia" w:ascii="仿宋" w:hAnsi="仿宋" w:eastAsia="仿宋" w:cs="仿宋"/>
          <w:b/>
          <w:bCs/>
          <w:kern w:val="0"/>
          <w:sz w:val="28"/>
          <w:szCs w:val="28"/>
          <w:highlight w:val="none"/>
          <w:lang w:val="en-US" w:eastAsia="zh-CN"/>
        </w:rPr>
        <w:t>批准</w:t>
      </w:r>
    </w:p>
    <w:p w14:paraId="72DEB670">
      <w:pPr>
        <w:widowControl/>
        <w:spacing w:line="48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（1）初始审查及其复审的肯定性意见</w:t>
      </w:r>
      <w:r>
        <w:rPr>
          <w:rFonts w:ascii="仿宋" w:hAnsi="仿宋" w:eastAsia="仿宋" w:cs="仿宋"/>
          <w:kern w:val="0"/>
          <w:sz w:val="28"/>
          <w:szCs w:val="28"/>
          <w:highlight w:val="none"/>
        </w:rPr>
        <w:t>以</w:t>
      </w:r>
      <w:r>
        <w:rPr>
          <w:rFonts w:hint="eastAsia" w:ascii="仿宋" w:hAnsi="仿宋" w:eastAsia="仿宋" w:cs="仿宋"/>
          <w:kern w:val="0"/>
          <w:sz w:val="28"/>
          <w:szCs w:val="28"/>
          <w:highlight w:val="none"/>
        </w:rPr>
        <w:t>“</w:t>
      </w:r>
      <w:r>
        <w:rPr>
          <w:rFonts w:ascii="仿宋" w:hAnsi="仿宋" w:eastAsia="仿宋" w:cs="仿宋"/>
          <w:kern w:val="0"/>
          <w:sz w:val="28"/>
          <w:szCs w:val="28"/>
          <w:highlight w:val="none"/>
        </w:rPr>
        <w:t>伦理审查</w:t>
      </w:r>
      <w:r>
        <w:rPr>
          <w:rFonts w:hint="eastAsia" w:ascii="仿宋" w:hAnsi="仿宋" w:eastAsia="仿宋" w:cs="仿宋"/>
          <w:kern w:val="0"/>
          <w:sz w:val="28"/>
          <w:szCs w:val="28"/>
          <w:highlight w:val="none"/>
        </w:rPr>
        <w:t>意见函”</w:t>
      </w:r>
      <w:r>
        <w:rPr>
          <w:rFonts w:ascii="仿宋" w:hAnsi="仿宋" w:eastAsia="仿宋" w:cs="仿宋"/>
          <w:kern w:val="0"/>
          <w:sz w:val="28"/>
          <w:szCs w:val="28"/>
          <w:highlight w:val="none"/>
        </w:rPr>
        <w:t>的形式传达</w:t>
      </w:r>
      <w:r>
        <w:rPr>
          <w:rFonts w:hint="eastAsia" w:ascii="仿宋" w:hAnsi="仿宋" w:eastAsia="仿宋" w:cs="仿宋"/>
          <w:kern w:val="0"/>
          <w:sz w:val="28"/>
          <w:szCs w:val="28"/>
          <w:highlight w:val="none"/>
        </w:rPr>
        <w:t>，跟踪审查及其复审的意见以“伦理审查意见”的形式传达</w:t>
      </w:r>
      <w:r>
        <w:rPr>
          <w:rFonts w:ascii="仿宋" w:hAnsi="仿宋" w:eastAsia="仿宋" w:cs="仿宋"/>
          <w:kern w:val="0"/>
          <w:sz w:val="28"/>
          <w:szCs w:val="28"/>
          <w:highlight w:val="none"/>
        </w:rPr>
        <w:t>。</w:t>
      </w:r>
    </w:p>
    <w:p w14:paraId="06C9DB2A">
      <w:pPr>
        <w:widowControl/>
        <w:spacing w:line="48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ascii="仿宋" w:hAnsi="仿宋" w:eastAsia="仿宋" w:cs="仿宋"/>
          <w:kern w:val="0"/>
          <w:sz w:val="28"/>
          <w:szCs w:val="28"/>
          <w:highlight w:val="none"/>
        </w:rPr>
        <w:t>主要研究者接到短信、电话或电子邮件通知后领取</w:t>
      </w:r>
      <w:r>
        <w:rPr>
          <w:rFonts w:hint="eastAsia" w:ascii="仿宋" w:hAnsi="仿宋" w:eastAsia="仿宋" w:cs="仿宋"/>
          <w:kern w:val="0"/>
          <w:sz w:val="28"/>
          <w:szCs w:val="28"/>
          <w:highlight w:val="none"/>
        </w:rPr>
        <w:t>意见函/意见</w:t>
      </w:r>
      <w:r>
        <w:rPr>
          <w:rFonts w:ascii="仿宋" w:hAnsi="仿宋" w:eastAsia="仿宋" w:cs="仿宋"/>
          <w:kern w:val="0"/>
          <w:sz w:val="28"/>
          <w:szCs w:val="28"/>
          <w:highlight w:val="none"/>
        </w:rPr>
        <w:t>。开展临床研究时请注意按照</w:t>
      </w:r>
      <w:r>
        <w:rPr>
          <w:rFonts w:hint="eastAsia" w:ascii="仿宋" w:hAnsi="仿宋" w:eastAsia="仿宋" w:cs="仿宋"/>
          <w:kern w:val="0"/>
          <w:sz w:val="28"/>
          <w:szCs w:val="28"/>
          <w:highlight w:val="none"/>
        </w:rPr>
        <w:t>意见函/意见</w:t>
      </w:r>
      <w:r>
        <w:rPr>
          <w:rFonts w:ascii="仿宋" w:hAnsi="仿宋" w:eastAsia="仿宋" w:cs="仿宋"/>
          <w:kern w:val="0"/>
          <w:sz w:val="28"/>
          <w:szCs w:val="28"/>
          <w:highlight w:val="none"/>
        </w:rPr>
        <w:t>已通过的材料进行研究。</w:t>
      </w:r>
    </w:p>
    <w:p w14:paraId="35963489">
      <w:pPr>
        <w:widowControl/>
        <w:spacing w:line="480" w:lineRule="auto"/>
        <w:ind w:firstLine="562" w:firstLineChars="200"/>
        <w:jc w:val="left"/>
        <w:rPr>
          <w:rFonts w:ascii="仿宋" w:hAnsi="仿宋" w:eastAsia="仿宋" w:cs="仿宋"/>
          <w:b/>
          <w:bCs/>
          <w:kern w:val="0"/>
          <w:sz w:val="28"/>
          <w:szCs w:val="28"/>
          <w:highlight w:val="none"/>
        </w:rPr>
      </w:pPr>
      <w:r>
        <w:rPr>
          <w:rFonts w:ascii="仿宋" w:hAnsi="仿宋" w:eastAsia="仿宋" w:cs="仿宋"/>
          <w:b/>
          <w:bCs/>
          <w:kern w:val="0"/>
          <w:sz w:val="28"/>
          <w:szCs w:val="28"/>
          <w:highlight w:val="none"/>
        </w:rPr>
        <w:t>2、</w:t>
      </w:r>
      <w:r>
        <w:rPr>
          <w:rFonts w:hint="eastAsia" w:ascii="仿宋" w:hAnsi="仿宋" w:eastAsia="仿宋" w:cs="仿宋"/>
          <w:b/>
          <w:bCs/>
          <w:kern w:val="0"/>
          <w:sz w:val="28"/>
          <w:szCs w:val="28"/>
          <w:highlight w:val="none"/>
          <w:lang w:val="en-US" w:eastAsia="zh-CN"/>
        </w:rPr>
        <w:t>修改后批准、修改后再审</w:t>
      </w:r>
    </w:p>
    <w:p w14:paraId="7E99FA4E">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r>
        <w:rPr>
          <w:rFonts w:ascii="仿宋" w:hAnsi="仿宋" w:eastAsia="仿宋" w:cs="仿宋"/>
          <w:kern w:val="0"/>
          <w:sz w:val="28"/>
          <w:szCs w:val="28"/>
          <w:highlight w:val="none"/>
        </w:rPr>
        <w:t>根据委员意见，对研究方案、知情同意等相应内容进行修改，并请填写《</w:t>
      </w:r>
      <w:r>
        <w:rPr>
          <w:rFonts w:hint="eastAsia" w:ascii="仿宋" w:hAnsi="仿宋" w:eastAsia="仿宋" w:cs="仿宋"/>
          <w:kern w:val="0"/>
          <w:sz w:val="28"/>
          <w:szCs w:val="28"/>
          <w:highlight w:val="none"/>
          <w:lang w:val="en-US" w:eastAsia="zh-CN"/>
        </w:rPr>
        <w:t>再</w:t>
      </w:r>
      <w:r>
        <w:rPr>
          <w:rFonts w:ascii="仿宋" w:hAnsi="仿宋" w:eastAsia="仿宋" w:cs="仿宋"/>
          <w:kern w:val="0"/>
          <w:sz w:val="28"/>
          <w:szCs w:val="28"/>
          <w:highlight w:val="none"/>
        </w:rPr>
        <w:t>审申请表》。</w:t>
      </w:r>
    </w:p>
    <w:p w14:paraId="54D285E0">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ascii="仿宋" w:hAnsi="仿宋" w:eastAsia="仿宋" w:cs="仿宋"/>
          <w:kern w:val="0"/>
          <w:sz w:val="28"/>
          <w:szCs w:val="28"/>
          <w:highlight w:val="none"/>
        </w:rPr>
        <w:t>请将修改部分以“阴影或下划线”标记并更改相应项目材料的版本号/版本日期，于 1 个月内提交《</w:t>
      </w:r>
      <w:r>
        <w:rPr>
          <w:rFonts w:hint="eastAsia" w:ascii="仿宋" w:hAnsi="仿宋" w:eastAsia="仿宋" w:cs="仿宋"/>
          <w:kern w:val="0"/>
          <w:sz w:val="28"/>
          <w:szCs w:val="28"/>
          <w:highlight w:val="none"/>
          <w:lang w:val="en-US" w:eastAsia="zh-CN"/>
        </w:rPr>
        <w:t>再</w:t>
      </w:r>
      <w:r>
        <w:rPr>
          <w:rFonts w:ascii="仿宋" w:hAnsi="仿宋" w:eastAsia="仿宋" w:cs="仿宋"/>
          <w:kern w:val="0"/>
          <w:sz w:val="28"/>
          <w:szCs w:val="28"/>
          <w:highlight w:val="none"/>
        </w:rPr>
        <w:t>审申请表》和修改后的文件电子版，形式审查通过后打印签字 1 份纸质材料提交伦理委员会办公室。</w:t>
      </w:r>
    </w:p>
    <w:p w14:paraId="5C8191C8">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r>
        <w:rPr>
          <w:rFonts w:ascii="仿宋" w:hAnsi="仿宋" w:eastAsia="仿宋" w:cs="仿宋"/>
          <w:kern w:val="0"/>
          <w:sz w:val="28"/>
          <w:szCs w:val="28"/>
          <w:highlight w:val="none"/>
        </w:rPr>
        <w:t>由秘书安排、通知再次行会议审查或</w:t>
      </w:r>
      <w:r>
        <w:rPr>
          <w:rFonts w:hint="eastAsia" w:ascii="仿宋" w:hAnsi="仿宋" w:eastAsia="仿宋" w:cs="仿宋"/>
          <w:kern w:val="0"/>
          <w:sz w:val="28"/>
          <w:szCs w:val="28"/>
          <w:highlight w:val="none"/>
        </w:rPr>
        <w:t>快速</w:t>
      </w:r>
      <w:r>
        <w:rPr>
          <w:rFonts w:ascii="仿宋" w:hAnsi="仿宋" w:eastAsia="仿宋" w:cs="仿宋"/>
          <w:kern w:val="0"/>
          <w:sz w:val="28"/>
          <w:szCs w:val="28"/>
          <w:highlight w:val="none"/>
        </w:rPr>
        <w:t>审查，会议审查流程同初次审查。</w:t>
      </w:r>
    </w:p>
    <w:p w14:paraId="3A57ACF6">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val="en-US" w:eastAsia="zh-CN"/>
        </w:rPr>
        <w:t>再</w:t>
      </w:r>
      <w:r>
        <w:rPr>
          <w:rFonts w:ascii="仿宋" w:hAnsi="仿宋" w:eastAsia="仿宋" w:cs="仿宋"/>
          <w:kern w:val="0"/>
          <w:sz w:val="28"/>
          <w:szCs w:val="28"/>
          <w:highlight w:val="none"/>
        </w:rPr>
        <w:t>审通过后待接到短信、电话或电子邮件通知后领取批件。开展临床研究时请注意按照伦理委员会批件上已通过的材料进行研究。</w:t>
      </w:r>
    </w:p>
    <w:p w14:paraId="02B93D2D">
      <w:pPr>
        <w:widowControl/>
        <w:spacing w:line="480" w:lineRule="auto"/>
        <w:ind w:firstLine="562" w:firstLineChars="200"/>
        <w:jc w:val="left"/>
        <w:rPr>
          <w:rFonts w:hint="eastAsia" w:ascii="仿宋" w:hAnsi="仿宋" w:eastAsia="仿宋" w:cs="仿宋"/>
          <w:b/>
          <w:bCs/>
          <w:kern w:val="0"/>
          <w:sz w:val="28"/>
          <w:szCs w:val="28"/>
          <w:highlight w:val="none"/>
          <w:lang w:eastAsia="zh-CN"/>
        </w:rPr>
      </w:pPr>
      <w:r>
        <w:rPr>
          <w:rFonts w:ascii="仿宋" w:hAnsi="仿宋" w:eastAsia="仿宋" w:cs="仿宋"/>
          <w:b/>
          <w:bCs/>
          <w:kern w:val="0"/>
          <w:sz w:val="28"/>
          <w:szCs w:val="28"/>
          <w:highlight w:val="none"/>
        </w:rPr>
        <w:t>3、不</w:t>
      </w:r>
      <w:r>
        <w:rPr>
          <w:rFonts w:hint="eastAsia" w:ascii="仿宋" w:hAnsi="仿宋" w:eastAsia="仿宋" w:cs="仿宋"/>
          <w:b/>
          <w:bCs/>
          <w:kern w:val="0"/>
          <w:sz w:val="28"/>
          <w:szCs w:val="28"/>
          <w:highlight w:val="none"/>
          <w:lang w:val="en-US" w:eastAsia="zh-CN"/>
        </w:rPr>
        <w:t>批准</w:t>
      </w:r>
    </w:p>
    <w:p w14:paraId="30BB7502">
      <w:pPr>
        <w:widowControl/>
        <w:spacing w:line="480" w:lineRule="auto"/>
        <w:ind w:firstLine="560" w:firstLineChars="200"/>
        <w:jc w:val="left"/>
        <w:rPr>
          <w:rFonts w:ascii="仿宋" w:hAnsi="仿宋" w:eastAsia="仿宋" w:cs="仿宋"/>
          <w:kern w:val="0"/>
          <w:sz w:val="28"/>
          <w:szCs w:val="28"/>
          <w:highlight w:val="none"/>
        </w:rPr>
      </w:pPr>
      <w:r>
        <w:rPr>
          <w:rFonts w:ascii="仿宋" w:hAnsi="仿宋" w:eastAsia="仿宋" w:cs="仿宋"/>
          <w:kern w:val="0"/>
          <w:sz w:val="28"/>
          <w:szCs w:val="28"/>
          <w:highlight w:val="none"/>
        </w:rPr>
        <w:t>如伦理委员会经审查，认为研究本身是不道德的，且认为即使通过修改方案或补充资料信息也无法满足人体受试者研究的必须标准，可以做出“</w:t>
      </w:r>
      <w:r>
        <w:rPr>
          <w:rFonts w:hint="eastAsia" w:ascii="仿宋" w:hAnsi="仿宋" w:eastAsia="仿宋" w:cs="仿宋"/>
          <w:kern w:val="0"/>
          <w:sz w:val="28"/>
          <w:szCs w:val="28"/>
          <w:highlight w:val="none"/>
          <w:lang w:val="en-US" w:eastAsia="zh-CN"/>
        </w:rPr>
        <w:t>不批准</w:t>
      </w:r>
      <w:r>
        <w:rPr>
          <w:rFonts w:ascii="仿宋" w:hAnsi="仿宋" w:eastAsia="仿宋" w:cs="仿宋"/>
          <w:kern w:val="0"/>
          <w:sz w:val="28"/>
          <w:szCs w:val="28"/>
          <w:highlight w:val="none"/>
        </w:rPr>
        <w:t>”决定。如果申请人对审查决定有不同意见，主要研究者/申请人直接向伦理委员会提交书面申诉，伦理委员会安排伦理委员会会议对申诉项目进行复审。</w:t>
      </w:r>
    </w:p>
    <w:p w14:paraId="2D4008AE">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如果伦理委员会对申请人递交的</w:t>
      </w:r>
      <w:r>
        <w:rPr>
          <w:rFonts w:hint="eastAsia" w:ascii="仿宋" w:hAnsi="仿宋" w:eastAsia="仿宋" w:cs="仿宋"/>
          <w:sz w:val="28"/>
          <w:szCs w:val="28"/>
          <w:highlight w:val="none"/>
        </w:rPr>
        <w:t>可疑且非预期严重不良事件</w:t>
      </w:r>
      <w:r>
        <w:rPr>
          <w:rFonts w:hint="eastAsia" w:ascii="仿宋" w:hAnsi="仿宋" w:eastAsia="仿宋" w:cs="仿宋"/>
          <w:kern w:val="0"/>
          <w:sz w:val="28"/>
          <w:szCs w:val="28"/>
          <w:highlight w:val="none"/>
        </w:rPr>
        <w:t>，严重违背方案审查，暂停/终止研究审查，暂停项目再启动审查，研究完成审查，审查意见为肯定性意见（同意继续研究，或不需要采取进一步的措施），伦理委员会可不予传达申请人。以上申请内容申请人在伦理委员会受理送审材料后两个月没有收到伦理委员会的审查意见，视作伦理审查意见为“同意”或“不需要采取进一步的措施”。</w:t>
      </w:r>
    </w:p>
    <w:bookmarkEnd w:id="2"/>
    <w:p w14:paraId="7723BD36">
      <w:pPr>
        <w:widowControl/>
        <w:spacing w:line="48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七、审查收费标准（不含税</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税费为6%</w:t>
      </w:r>
      <w:r>
        <w:rPr>
          <w:rFonts w:hint="eastAsia" w:ascii="仿宋" w:hAnsi="仿宋" w:eastAsia="仿宋" w:cs="仿宋"/>
          <w:b/>
          <w:bCs/>
          <w:kern w:val="0"/>
          <w:sz w:val="28"/>
          <w:szCs w:val="28"/>
          <w:highlight w:val="none"/>
        </w:rPr>
        <w:t>）</w:t>
      </w:r>
    </w:p>
    <w:p w14:paraId="4FF830E3">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1、申办者为外资企业（含港、澳、台资企业）或中外合资企业，新申请临床试验每个项目审查费为4</w:t>
      </w:r>
      <w:r>
        <w:rPr>
          <w:rFonts w:hint="eastAsia" w:ascii="仿宋" w:hAnsi="仿宋" w:eastAsia="仿宋" w:cs="仿宋"/>
          <w:kern w:val="0"/>
          <w:sz w:val="28"/>
          <w:szCs w:val="28"/>
          <w:highlight w:val="none"/>
        </w:rPr>
        <w:t>000</w:t>
      </w:r>
      <w:r>
        <w:rPr>
          <w:rFonts w:hint="eastAsia" w:ascii="仿宋" w:hAnsi="仿宋" w:eastAsia="仿宋" w:cs="仿宋"/>
          <w:kern w:val="0"/>
          <w:sz w:val="28"/>
          <w:szCs w:val="28"/>
          <w:highlight w:val="none"/>
        </w:rPr>
        <w:t>元。申办者为国内企业每个项目审查费为3</w:t>
      </w:r>
      <w:r>
        <w:rPr>
          <w:rFonts w:hint="eastAsia" w:ascii="仿宋" w:hAnsi="仿宋" w:eastAsia="仿宋" w:cs="仿宋"/>
          <w:kern w:val="0"/>
          <w:sz w:val="28"/>
          <w:szCs w:val="28"/>
          <w:highlight w:val="none"/>
        </w:rPr>
        <w:t>000</w:t>
      </w:r>
      <w:r>
        <w:rPr>
          <w:rFonts w:hint="eastAsia" w:ascii="仿宋" w:hAnsi="仿宋" w:eastAsia="仿宋" w:cs="仿宋"/>
          <w:kern w:val="0"/>
          <w:sz w:val="28"/>
          <w:szCs w:val="28"/>
          <w:highlight w:val="none"/>
        </w:rPr>
        <w:t>元。</w:t>
      </w:r>
    </w:p>
    <w:p w14:paraId="4D7E8DD4">
      <w:pPr>
        <w:widowControl/>
        <w:spacing w:line="480" w:lineRule="auto"/>
        <w:ind w:firstLine="42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2、初始审查后的复审及修正案审查（试验过程中需进行方案、知情同意书、招募广告等修改），加收审查费</w:t>
      </w:r>
      <w:r>
        <w:rPr>
          <w:rFonts w:hint="eastAsia" w:ascii="仿宋" w:hAnsi="仿宋" w:eastAsia="仿宋" w:cs="仿宋"/>
          <w:kern w:val="0"/>
          <w:sz w:val="28"/>
          <w:szCs w:val="28"/>
          <w:highlight w:val="none"/>
        </w:rPr>
        <w:t>1000</w:t>
      </w:r>
      <w:r>
        <w:rPr>
          <w:rFonts w:hint="eastAsia" w:ascii="仿宋" w:hAnsi="仿宋" w:eastAsia="仿宋" w:cs="仿宋"/>
          <w:kern w:val="0"/>
          <w:sz w:val="28"/>
          <w:szCs w:val="28"/>
          <w:highlight w:val="none"/>
        </w:rPr>
        <w:t>元/次。</w:t>
      </w:r>
    </w:p>
    <w:p w14:paraId="3750ADD9">
      <w:pPr>
        <w:widowControl/>
        <w:spacing w:line="480" w:lineRule="auto"/>
        <w:ind w:firstLine="42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3、年度跟踪审查另收</w:t>
      </w:r>
      <w:r>
        <w:rPr>
          <w:rFonts w:hint="eastAsia" w:ascii="仿宋" w:hAnsi="仿宋" w:eastAsia="仿宋" w:cs="仿宋"/>
          <w:kern w:val="0"/>
          <w:sz w:val="28"/>
          <w:szCs w:val="28"/>
          <w:highlight w:val="none"/>
        </w:rPr>
        <w:t>1000</w:t>
      </w:r>
      <w:r>
        <w:rPr>
          <w:rFonts w:hint="eastAsia" w:ascii="仿宋" w:hAnsi="仿宋" w:eastAsia="仿宋" w:cs="仿宋"/>
          <w:kern w:val="0"/>
          <w:sz w:val="28"/>
          <w:szCs w:val="28"/>
          <w:highlight w:val="none"/>
        </w:rPr>
        <w:t>/次</w:t>
      </w:r>
    </w:p>
    <w:p w14:paraId="17D85E2D">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审查费用交费成功后，</w:t>
      </w:r>
      <w:r>
        <w:rPr>
          <w:rFonts w:hint="eastAsia" w:ascii="仿宋" w:hAnsi="仿宋" w:eastAsia="仿宋" w:cs="仿宋"/>
          <w:kern w:val="0"/>
          <w:sz w:val="28"/>
          <w:szCs w:val="28"/>
          <w:highlight w:val="none"/>
          <w:lang w:val="en-US" w:eastAsia="zh-CN"/>
        </w:rPr>
        <w:t>汇款回执由财务科确认后才视为缴费成功</w:t>
      </w:r>
      <w:r>
        <w:rPr>
          <w:rFonts w:hint="eastAsia" w:ascii="仿宋" w:hAnsi="仿宋" w:eastAsia="仿宋" w:cs="仿宋"/>
          <w:kern w:val="0"/>
          <w:sz w:val="28"/>
          <w:szCs w:val="28"/>
          <w:highlight w:val="none"/>
        </w:rPr>
        <w:t>。</w:t>
      </w:r>
    </w:p>
    <w:p w14:paraId="3C95BCCE">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b/>
          <w:bCs/>
          <w:kern w:val="0"/>
          <w:sz w:val="28"/>
          <w:szCs w:val="28"/>
          <w:highlight w:val="none"/>
        </w:rPr>
        <w:t>汇款备注需要注明：</w:t>
      </w:r>
      <w:r>
        <w:rPr>
          <w:rFonts w:hint="eastAsia" w:ascii="仿宋" w:hAnsi="仿宋" w:eastAsia="仿宋" w:cs="仿宋"/>
          <w:kern w:val="0"/>
          <w:sz w:val="28"/>
          <w:szCs w:val="28"/>
          <w:highlight w:val="none"/>
        </w:rPr>
        <w:t xml:space="preserve"> XXXXXXXX临床试验伦理审查费。</w:t>
      </w:r>
    </w:p>
    <w:p w14:paraId="30C90B15">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b/>
          <w:bCs/>
          <w:kern w:val="0"/>
          <w:sz w:val="28"/>
          <w:szCs w:val="28"/>
          <w:highlight w:val="none"/>
        </w:rPr>
        <w:t>医院财务账户信息：</w:t>
      </w:r>
    </w:p>
    <w:p w14:paraId="5F67E56D">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开户行：光大银行宿州分行    户名：安徽省宿州市立医院</w:t>
      </w:r>
    </w:p>
    <w:p w14:paraId="6A7D9777">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账号：5693</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0188 0000 8336 3 税号：12341300486002160N</w:t>
      </w:r>
    </w:p>
    <w:p w14:paraId="706CCA73">
      <w:pPr>
        <w:widowControl/>
        <w:spacing w:line="480" w:lineRule="auto"/>
        <w:jc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八、补充说明</w:t>
      </w:r>
    </w:p>
    <w:p w14:paraId="12A61275">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1、递交</w:t>
      </w:r>
      <w:r>
        <w:rPr>
          <w:rFonts w:hint="eastAsia" w:ascii="仿宋" w:hAnsi="仿宋" w:eastAsia="仿宋" w:cs="仿宋"/>
          <w:sz w:val="28"/>
          <w:szCs w:val="28"/>
          <w:highlight w:val="none"/>
        </w:rPr>
        <w:t>材料的</w:t>
      </w:r>
      <w:r>
        <w:rPr>
          <w:rFonts w:hint="eastAsia" w:ascii="仿宋" w:hAnsi="仿宋" w:eastAsia="仿宋" w:cs="仿宋"/>
          <w:kern w:val="0"/>
          <w:sz w:val="28"/>
          <w:szCs w:val="28"/>
          <w:highlight w:val="none"/>
        </w:rPr>
        <w:t>封面：按模板填写</w:t>
      </w:r>
    </w:p>
    <w:p w14:paraId="168C2F0D">
      <w:pPr>
        <w:widowControl/>
        <w:spacing w:line="48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2、递交伦理委员会</w:t>
      </w:r>
      <w:r>
        <w:rPr>
          <w:rFonts w:hint="eastAsia" w:ascii="仿宋" w:hAnsi="仿宋" w:eastAsia="仿宋" w:cs="仿宋"/>
          <w:sz w:val="28"/>
          <w:szCs w:val="28"/>
          <w:highlight w:val="none"/>
        </w:rPr>
        <w:t>材料总共</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份（</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份为存档完整版，完整版的资料打</w:t>
      </w:r>
      <w:bookmarkStart w:id="3" w:name="_Hlt45614223"/>
      <w:bookmarkStart w:id="4" w:name="_Hlt45614222"/>
      <w:r>
        <w:rPr>
          <w:rFonts w:hint="eastAsia" w:ascii="仿宋" w:hAnsi="仿宋" w:eastAsia="仿宋" w:cs="仿宋"/>
          <w:sz w:val="28"/>
          <w:szCs w:val="28"/>
          <w:highlight w:val="none"/>
        </w:rPr>
        <w:t>孔</w:t>
      </w:r>
      <w:bookmarkEnd w:id="3"/>
      <w:bookmarkEnd w:id="4"/>
      <w:r>
        <w:rPr>
          <w:rFonts w:hint="eastAsia" w:ascii="仿宋" w:hAnsi="仿宋" w:eastAsia="仿宋" w:cs="仿宋"/>
          <w:sz w:val="28"/>
          <w:szCs w:val="28"/>
          <w:highlight w:val="none"/>
        </w:rPr>
        <w:t>按顺序用如意伸缩夹装订，并用</w:t>
      </w:r>
      <w:bookmarkStart w:id="5" w:name="_Hlt45544198"/>
      <w:bookmarkStart w:id="6" w:name="_Hlt45544197"/>
      <w:r>
        <w:rPr>
          <w:rFonts w:hint="eastAsia" w:ascii="仿宋" w:hAnsi="仿宋" w:eastAsia="仿宋" w:cs="仿宋"/>
          <w:sz w:val="28"/>
          <w:szCs w:val="28"/>
          <w:highlight w:val="none"/>
        </w:rPr>
        <w:t>隔</w:t>
      </w:r>
      <w:bookmarkEnd w:id="5"/>
      <w:bookmarkEnd w:id="6"/>
      <w:r>
        <w:rPr>
          <w:rFonts w:hint="eastAsia" w:ascii="仿宋" w:hAnsi="仿宋" w:eastAsia="仿宋" w:cs="仿宋"/>
          <w:sz w:val="28"/>
          <w:szCs w:val="28"/>
          <w:highlight w:val="none"/>
        </w:rPr>
        <w:t>页标签纸把每个部分的材料分开，以利于翻阅。其余1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份为简版材料，只需要装订研究方案和知情同意书）。</w:t>
      </w:r>
    </w:p>
    <w:p w14:paraId="2AF05029">
      <w:pPr>
        <w:widowControl/>
        <w:spacing w:line="48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3、另外需要给项目负责人1份完整版，并准备伦理审查汇报PPT（按照我院提供模板制作），汇报PPT初稿做好后提前发送给主要研究者。</w:t>
      </w:r>
    </w:p>
    <w:p w14:paraId="7F101878">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4、报送资料完整版里面每个部分都要盖红章，申请报告和方案签字页需要PI签字，委托书需要申办方签字、盖章。其他各项材料盖封面及骑缝章。</w:t>
      </w:r>
    </w:p>
    <w:p w14:paraId="1C08BF9D">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不接受快递寄送材料，必须由CRA或者CRC统一将材料递交伦理办公室。</w:t>
      </w:r>
    </w:p>
    <w:p w14:paraId="0EE5115E">
      <w:pPr>
        <w:widowControl/>
        <w:spacing w:line="480" w:lineRule="auto"/>
        <w:ind w:firstLine="42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主要研究者简历，项目组成人员信息请和主要研究者联系。</w:t>
      </w:r>
    </w:p>
    <w:p w14:paraId="7370FC7A">
      <w:pPr>
        <w:numPr>
          <w:ilvl w:val="0"/>
          <w:numId w:val="2"/>
        </w:num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伦理汇报幻灯</w:t>
      </w:r>
    </w:p>
    <w:p w14:paraId="735B9404">
      <w:p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邮件主题格式：【伦理初审】+项目完整名称+（PPT、Word临床试验申请报告）</w:t>
      </w:r>
    </w:p>
    <w:p w14:paraId="36DD1DB9">
      <w:p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PPT及Word版临床试验申请报告请以附件形式发送，无需打包压缩，不得以网盘形式发送电子版材料。</w:t>
      </w:r>
    </w:p>
    <w:p w14:paraId="0DA64712">
      <w:pPr>
        <w:widowControl/>
        <w:spacing w:line="480" w:lineRule="auto"/>
        <w:ind w:left="420" w:left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2、SUSAR报送要求</w:t>
      </w:r>
    </w:p>
    <w:p w14:paraId="74B2A645">
      <w:pPr>
        <w:widowControl/>
        <w:spacing w:line="480" w:lineRule="auto"/>
        <w:ind w:left="420" w:left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（1）本院SUSAR：需发送Word可编辑版。</w:t>
      </w:r>
    </w:p>
    <w:p w14:paraId="41531D80">
      <w:p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邮件主题格式：【本院SUSAR】本中心伦理编号+SUSAR事件名称+首次（或随访/总结）报告。</w:t>
      </w:r>
    </w:p>
    <w:p w14:paraId="28C35AEB">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（2）外院的SUSAR：可每月或每季度汇总后递交本伦理委员会。</w:t>
      </w:r>
    </w:p>
    <w:p w14:paraId="2129140B">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邮件主题格式：【外院SUSAR】本中心伦理编号+报告周期。</w:t>
      </w:r>
    </w:p>
    <w:p w14:paraId="04B10106">
      <w:pPr>
        <w:widowControl/>
        <w:numPr>
          <w:ilvl w:val="0"/>
          <w:numId w:val="0"/>
        </w:numPr>
        <w:spacing w:line="480" w:lineRule="auto"/>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九、联系方式</w:t>
      </w:r>
    </w:p>
    <w:p w14:paraId="74884B6E">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办公室接待时间：周一至周五 8:00-11:30,14:30-17:30</w:t>
      </w:r>
    </w:p>
    <w:p w14:paraId="5CB17DE9">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地址：宿州市立医院北区</w:t>
      </w:r>
      <w:r>
        <w:rPr>
          <w:rFonts w:hint="eastAsia" w:ascii="仿宋" w:hAnsi="仿宋" w:eastAsia="仿宋" w:cs="仿宋"/>
          <w:kern w:val="0"/>
          <w:sz w:val="28"/>
          <w:szCs w:val="28"/>
          <w:highlight w:val="none"/>
          <w:lang w:val="en-US" w:eastAsia="zh-CN"/>
        </w:rPr>
        <w:t>临床中心实验室</w:t>
      </w:r>
      <w:r>
        <w:rPr>
          <w:rFonts w:hint="eastAsia" w:ascii="仿宋" w:hAnsi="仿宋" w:eastAsia="仿宋" w:cs="仿宋"/>
          <w:kern w:val="0"/>
          <w:sz w:val="28"/>
          <w:szCs w:val="28"/>
          <w:highlight w:val="none"/>
        </w:rPr>
        <w:t>办公室</w:t>
      </w:r>
    </w:p>
    <w:p w14:paraId="7C2E5E15">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联系人：刘老师，</w:t>
      </w:r>
      <w:r>
        <w:rPr>
          <w:rFonts w:hint="eastAsia" w:ascii="仿宋" w:hAnsi="仿宋" w:eastAsia="仿宋" w:cs="仿宋"/>
          <w:kern w:val="0"/>
          <w:sz w:val="28"/>
          <w:szCs w:val="28"/>
          <w:highlight w:val="none"/>
          <w:lang w:val="en-US" w:eastAsia="zh-CN"/>
        </w:rPr>
        <w:t>朱老师，</w:t>
      </w:r>
      <w:r>
        <w:rPr>
          <w:rFonts w:hint="eastAsia" w:ascii="仿宋" w:hAnsi="仿宋" w:eastAsia="仿宋" w:cs="仿宋"/>
          <w:kern w:val="0"/>
          <w:sz w:val="28"/>
          <w:szCs w:val="28"/>
          <w:highlight w:val="none"/>
        </w:rPr>
        <w:t>0557-3042523</w:t>
      </w:r>
    </w:p>
    <w:p w14:paraId="280B425B">
      <w:pPr>
        <w:widowControl/>
        <w:spacing w:line="480" w:lineRule="auto"/>
        <w:ind w:firstLine="560" w:firstLineChars="200"/>
        <w:jc w:val="left"/>
        <w:rPr>
          <w:rFonts w:hint="eastAsia" w:ascii="仿宋" w:hAnsi="仿宋" w:eastAsia="仿宋" w:cs="仿宋"/>
          <w:color w:val="333333"/>
          <w:kern w:val="0"/>
          <w:sz w:val="28"/>
          <w:szCs w:val="28"/>
          <w:highlight w:val="none"/>
        </w:rPr>
      </w:pPr>
      <w:r>
        <w:rPr>
          <w:rFonts w:hint="eastAsia" w:ascii="仿宋" w:hAnsi="仿宋" w:eastAsia="仿宋" w:cs="仿宋"/>
          <w:kern w:val="0"/>
          <w:sz w:val="28"/>
          <w:szCs w:val="28"/>
          <w:highlight w:val="none"/>
        </w:rPr>
        <w:t>电子邮箱：</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"mailto:szslyy2021ywll@163.com" </w:instrText>
      </w:r>
      <w:r>
        <w:rPr>
          <w:rFonts w:hint="eastAsia" w:ascii="仿宋" w:hAnsi="仿宋" w:eastAsia="仿宋" w:cs="仿宋"/>
          <w:color w:val="333333"/>
          <w:kern w:val="0"/>
          <w:sz w:val="28"/>
          <w:szCs w:val="28"/>
          <w:highlight w:val="none"/>
        </w:rPr>
        <w:fldChar w:fldCharType="separate"/>
      </w:r>
      <w:r>
        <w:rPr>
          <w:rStyle w:val="11"/>
          <w:rFonts w:hint="eastAsia" w:ascii="仿宋" w:hAnsi="仿宋" w:eastAsia="仿宋" w:cs="仿宋"/>
          <w:kern w:val="0"/>
          <w:sz w:val="28"/>
          <w:szCs w:val="28"/>
          <w:highlight w:val="none"/>
        </w:rPr>
        <w:t>szslyy2021ywll@163.com</w:t>
      </w:r>
      <w:r>
        <w:rPr>
          <w:rFonts w:hint="eastAsia" w:ascii="仿宋" w:hAnsi="仿宋" w:eastAsia="仿宋" w:cs="仿宋"/>
          <w:color w:val="333333"/>
          <w:kern w:val="0"/>
          <w:sz w:val="28"/>
          <w:szCs w:val="28"/>
          <w:highlight w:val="none"/>
        </w:rPr>
        <w:fldChar w:fldCharType="end"/>
      </w:r>
    </w:p>
    <w:p w14:paraId="413F21D9">
      <w:pPr>
        <w:widowControl/>
        <w:spacing w:line="480" w:lineRule="auto"/>
        <w:ind w:firstLine="560" w:firstLineChars="200"/>
        <w:jc w:val="left"/>
        <w:rPr>
          <w:rFonts w:hint="eastAsia" w:ascii="仿宋" w:hAnsi="仿宋" w:eastAsia="仿宋" w:cs="仿宋"/>
          <w:color w:val="333333"/>
          <w:kern w:val="0"/>
          <w:sz w:val="28"/>
          <w:szCs w:val="28"/>
          <w:highlight w:val="none"/>
        </w:rPr>
      </w:pPr>
    </w:p>
    <w:p w14:paraId="4BA4FDC3">
      <w:pPr>
        <w:widowControl/>
        <w:spacing w:line="480" w:lineRule="auto"/>
        <w:ind w:firstLine="420" w:firstLineChars="200"/>
        <w:jc w:val="left"/>
        <w:rPr>
          <w:rFonts w:ascii="仿宋" w:hAnsi="仿宋" w:eastAsia="仿宋" w:cs="仿宋"/>
          <w:b/>
          <w:bCs/>
          <w:kern w:val="0"/>
          <w:sz w:val="28"/>
          <w:szCs w:val="28"/>
          <w:highlight w:val="none"/>
        </w:rPr>
      </w:pPr>
      <w:r>
        <w:rPr>
          <w:highlight w:val="none"/>
        </w:rPr>
        <w:drawing>
          <wp:anchor distT="0" distB="0" distL="114300" distR="114300" simplePos="0" relativeHeight="251659264" behindDoc="0" locked="0" layoutInCell="1" allowOverlap="1">
            <wp:simplePos x="0" y="0"/>
            <wp:positionH relativeFrom="column">
              <wp:posOffset>-263525</wp:posOffset>
            </wp:positionH>
            <wp:positionV relativeFrom="paragraph">
              <wp:posOffset>53975</wp:posOffset>
            </wp:positionV>
            <wp:extent cx="5273675" cy="6233795"/>
            <wp:effectExtent l="0" t="0" r="3175" b="14605"/>
            <wp:wrapSquare wrapText="bothSides"/>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6"/>
                    <a:stretch>
                      <a:fillRect/>
                    </a:stretch>
                  </pic:blipFill>
                  <pic:spPr>
                    <a:xfrm>
                      <a:off x="0" y="0"/>
                      <a:ext cx="5273675" cy="6233795"/>
                    </a:xfrm>
                    <a:prstGeom prst="rect">
                      <a:avLst/>
                    </a:prstGeom>
                    <a:noFill/>
                    <a:ln>
                      <a:noFill/>
                    </a:ln>
                  </pic:spPr>
                </pic:pic>
              </a:graphicData>
            </a:graphic>
          </wp:anchor>
        </w:drawing>
      </w:r>
      <w:bookmarkEnd w:id="1"/>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D8B0">
    <w:pPr>
      <w:pStyle w:val="4"/>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6C08">
    <w:pPr>
      <w:pStyle w:val="5"/>
      <w:jc w:val="right"/>
      <w:rPr>
        <w:rFonts w:hint="eastAsia"/>
        <w:lang w:eastAsia="zh-CN"/>
      </w:rPr>
    </w:pPr>
    <w:r>
      <w:rPr>
        <w:rFonts w:hint="eastAsia"/>
        <w:lang w:eastAsia="zh-CN"/>
      </w:rPr>
      <w:tab/>
    </w:r>
  </w:p>
  <w:p w14:paraId="3C557C06">
    <w:pPr>
      <w:pStyle w:val="5"/>
      <w:jc w:val="center"/>
    </w:pPr>
  </w:p>
  <w:p w14:paraId="1B049364">
    <w:pPr>
      <w:pStyle w:val="5"/>
      <w:tabs>
        <w:tab w:val="left" w:pos="747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2500"/>
    <w:multiLevelType w:val="singleLevel"/>
    <w:tmpl w:val="452A2500"/>
    <w:lvl w:ilvl="0" w:tentative="0">
      <w:start w:val="1"/>
      <w:numFmt w:val="bullet"/>
      <w:lvlText w:val=""/>
      <w:lvlJc w:val="left"/>
      <w:pPr>
        <w:ind w:left="420" w:hanging="420"/>
      </w:pPr>
      <w:rPr>
        <w:rFonts w:hint="default" w:ascii="Wingdings" w:hAnsi="Wingdings"/>
      </w:rPr>
    </w:lvl>
  </w:abstractNum>
  <w:abstractNum w:abstractNumId="1">
    <w:nsid w:val="67E6F7DA"/>
    <w:multiLevelType w:val="singleLevel"/>
    <w:tmpl w:val="67E6F7D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zcyYzNhN2ZjNzcxZGNiY2I2Yzk1NWI2MmQ2MzMifQ=="/>
  </w:docVars>
  <w:rsids>
    <w:rsidRoot w:val="00445D83"/>
    <w:rsid w:val="00066AD0"/>
    <w:rsid w:val="00074F55"/>
    <w:rsid w:val="0008490E"/>
    <w:rsid w:val="001C0ADA"/>
    <w:rsid w:val="0029773E"/>
    <w:rsid w:val="00445D83"/>
    <w:rsid w:val="006B6A24"/>
    <w:rsid w:val="00B36832"/>
    <w:rsid w:val="015343C2"/>
    <w:rsid w:val="01D24258"/>
    <w:rsid w:val="02825F05"/>
    <w:rsid w:val="05B34E34"/>
    <w:rsid w:val="07D013E5"/>
    <w:rsid w:val="08160B07"/>
    <w:rsid w:val="08A53BFD"/>
    <w:rsid w:val="0C283C1D"/>
    <w:rsid w:val="0C5E64A8"/>
    <w:rsid w:val="0D5F6342"/>
    <w:rsid w:val="0DD11530"/>
    <w:rsid w:val="0FCC30A2"/>
    <w:rsid w:val="105031D7"/>
    <w:rsid w:val="109054B2"/>
    <w:rsid w:val="11D032B0"/>
    <w:rsid w:val="143F111A"/>
    <w:rsid w:val="155949BE"/>
    <w:rsid w:val="16E81835"/>
    <w:rsid w:val="174E0D71"/>
    <w:rsid w:val="17FE2A15"/>
    <w:rsid w:val="18B1461B"/>
    <w:rsid w:val="1A3B41CA"/>
    <w:rsid w:val="22321AD2"/>
    <w:rsid w:val="235448F5"/>
    <w:rsid w:val="24273C6F"/>
    <w:rsid w:val="26181064"/>
    <w:rsid w:val="27474365"/>
    <w:rsid w:val="27CB6B3E"/>
    <w:rsid w:val="2ADA5858"/>
    <w:rsid w:val="2D0D1249"/>
    <w:rsid w:val="2D32756B"/>
    <w:rsid w:val="2EFF6F37"/>
    <w:rsid w:val="31024FFC"/>
    <w:rsid w:val="31185F6C"/>
    <w:rsid w:val="32E60F64"/>
    <w:rsid w:val="33614E22"/>
    <w:rsid w:val="388C0070"/>
    <w:rsid w:val="38916AE2"/>
    <w:rsid w:val="3B673432"/>
    <w:rsid w:val="3E3538A3"/>
    <w:rsid w:val="3F567959"/>
    <w:rsid w:val="3FBD14BA"/>
    <w:rsid w:val="40550BB2"/>
    <w:rsid w:val="407869EB"/>
    <w:rsid w:val="40FE4AA6"/>
    <w:rsid w:val="445D4BAB"/>
    <w:rsid w:val="46BB7806"/>
    <w:rsid w:val="494F4B22"/>
    <w:rsid w:val="4A334703"/>
    <w:rsid w:val="4A515AD7"/>
    <w:rsid w:val="4B8B15C1"/>
    <w:rsid w:val="4C161563"/>
    <w:rsid w:val="4D0604E7"/>
    <w:rsid w:val="4D2E4028"/>
    <w:rsid w:val="4EB05237"/>
    <w:rsid w:val="4EC66939"/>
    <w:rsid w:val="4F1103D1"/>
    <w:rsid w:val="4FCD3C4F"/>
    <w:rsid w:val="50952310"/>
    <w:rsid w:val="51094EBB"/>
    <w:rsid w:val="52351165"/>
    <w:rsid w:val="54AB6971"/>
    <w:rsid w:val="554C1BEF"/>
    <w:rsid w:val="565A759A"/>
    <w:rsid w:val="56C16EF5"/>
    <w:rsid w:val="57F16547"/>
    <w:rsid w:val="58884C2E"/>
    <w:rsid w:val="5B6240BF"/>
    <w:rsid w:val="5B7B01D3"/>
    <w:rsid w:val="5E367968"/>
    <w:rsid w:val="5E51454D"/>
    <w:rsid w:val="5E5B1B55"/>
    <w:rsid w:val="5ED47D3C"/>
    <w:rsid w:val="5F5459C0"/>
    <w:rsid w:val="60013032"/>
    <w:rsid w:val="613C5950"/>
    <w:rsid w:val="64FE3A0A"/>
    <w:rsid w:val="67CB1D87"/>
    <w:rsid w:val="68C25FFD"/>
    <w:rsid w:val="693A6890"/>
    <w:rsid w:val="6A73453A"/>
    <w:rsid w:val="6B516A7C"/>
    <w:rsid w:val="6BC15A9F"/>
    <w:rsid w:val="6BEC3E85"/>
    <w:rsid w:val="6BF608B1"/>
    <w:rsid w:val="6C6B188D"/>
    <w:rsid w:val="6C8E65CA"/>
    <w:rsid w:val="6D8C10EF"/>
    <w:rsid w:val="6DF139EF"/>
    <w:rsid w:val="6F054147"/>
    <w:rsid w:val="6F697E92"/>
    <w:rsid w:val="71392917"/>
    <w:rsid w:val="714768B5"/>
    <w:rsid w:val="74E9568C"/>
    <w:rsid w:val="75A94E98"/>
    <w:rsid w:val="76A13336"/>
    <w:rsid w:val="76C27645"/>
    <w:rsid w:val="77F661CB"/>
    <w:rsid w:val="782A1C07"/>
    <w:rsid w:val="79481F08"/>
    <w:rsid w:val="7BFE39EA"/>
    <w:rsid w:val="7C1C10E1"/>
    <w:rsid w:val="7E063668"/>
    <w:rsid w:val="7E8E5C40"/>
    <w:rsid w:val="7F1E5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rPr>
      <w:rFonts w:ascii="Calibri" w:hAnsi="Calibri" w:eastAsia="微软雅黑" w:cs="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styleId="11">
    <w:name w:val="Hyperlink"/>
    <w:qFormat/>
    <w:uiPriority w:val="0"/>
    <w:rPr>
      <w:color w:val="0000FF"/>
      <w:u w:val="single"/>
    </w:rPr>
  </w:style>
  <w:style w:type="character" w:customStyle="1" w:styleId="12">
    <w:name w:val="批注框文本 字符"/>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4671</Words>
  <Characters>4921</Characters>
  <Lines>27</Lines>
  <Paragraphs>7</Paragraphs>
  <TotalTime>1</TotalTime>
  <ScaleCrop>false</ScaleCrop>
  <LinksUpToDate>false</LinksUpToDate>
  <CharactersWithSpaces>4977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刘紫薇</cp:lastModifiedBy>
  <cp:lastPrinted>2023-08-31T02:28:00Z</cp:lastPrinted>
  <dcterms:modified xsi:type="dcterms:W3CDTF">2025-11-20T02:20:33Z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DFE0A744D68D43DC8560EB9347D9FACB_13</vt:lpwstr>
  </property>
  <property fmtid="{D5CDD505-2E9C-101B-9397-08002B2CF9AE}" pid="4" name="KSOTemplateDocerSaveRecord">
    <vt:lpwstr>eyJoZGlkIjoiNWIzOTc1OGU0MTk4NTVkZTYyMjE5NWE3MjA2MjQ2N2YiLCJ1c2VySWQiOiIyNTI3OTE4NDgifQ==</vt:lpwstr>
  </property>
</Properties>
</file>