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7907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9288C8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6BBE6672">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r>
        <w:rPr>
          <w:rFonts w:hint="eastAsia" w:ascii="宋体" w:hAnsi="宋体" w:eastAsia="宋体"/>
          <w:b/>
          <w:bCs/>
          <w:color w:val="auto"/>
          <w:sz w:val="52"/>
          <w:szCs w:val="52"/>
          <w:highlight w:val="none"/>
          <w:lang w:val="en-US" w:eastAsia="zh-CN"/>
        </w:rPr>
        <w:t>宿州市立医院科研科2025年度科研采购项目（8台超低温冰箱）</w:t>
      </w:r>
    </w:p>
    <w:p w14:paraId="682E2C6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286DC3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54F139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0C7BDF5">
      <w:pPr>
        <w:tabs>
          <w:tab w:val="left" w:pos="315"/>
          <w:tab w:val="left" w:pos="8820"/>
        </w:tabs>
        <w:spacing w:before="240" w:beforeLines="100" w:after="120" w:afterLines="50" w:line="500" w:lineRule="exact"/>
        <w:ind w:right="267" w:rightChars="127"/>
        <w:jc w:val="center"/>
        <w:rPr>
          <w:rFonts w:ascii="宋体" w:hAnsi="宋体" w:eastAsia="宋体"/>
          <w:bCs/>
          <w:color w:val="auto"/>
          <w:sz w:val="44"/>
          <w:szCs w:val="44"/>
          <w:highlight w:val="none"/>
        </w:rPr>
      </w:pPr>
      <w:bookmarkStart w:id="0" w:name="_Toc99301417"/>
      <w:bookmarkStart w:id="1" w:name="_Toc74227630"/>
      <w:bookmarkStart w:id="2" w:name="_Toc18512"/>
      <w:r>
        <w:rPr>
          <w:rFonts w:hint="eastAsia" w:ascii="宋体" w:hAnsi="宋体" w:eastAsia="宋体"/>
          <w:b/>
          <w:bCs/>
          <w:color w:val="auto"/>
          <w:sz w:val="52"/>
          <w:szCs w:val="52"/>
          <w:highlight w:val="none"/>
        </w:rPr>
        <w:t>竞争性</w:t>
      </w:r>
      <w:r>
        <w:rPr>
          <w:rFonts w:hint="eastAsia" w:ascii="宋体" w:hAnsi="宋体" w:eastAsia="宋体"/>
          <w:b/>
          <w:bCs/>
          <w:color w:val="auto"/>
          <w:sz w:val="52"/>
          <w:szCs w:val="52"/>
          <w:highlight w:val="none"/>
          <w:lang w:val="en-US" w:eastAsia="zh-CN"/>
        </w:rPr>
        <w:t>谈判</w:t>
      </w:r>
      <w:r>
        <w:rPr>
          <w:rFonts w:hint="eastAsia" w:ascii="宋体" w:hAnsi="宋体" w:eastAsia="宋体"/>
          <w:b/>
          <w:bCs/>
          <w:color w:val="auto"/>
          <w:sz w:val="52"/>
          <w:szCs w:val="52"/>
          <w:highlight w:val="none"/>
        </w:rPr>
        <w:t>文件</w:t>
      </w:r>
    </w:p>
    <w:p w14:paraId="3E6FC067">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23B00F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326335A">
      <w:pPr>
        <w:tabs>
          <w:tab w:val="left" w:pos="2410"/>
        </w:tabs>
        <w:autoSpaceDE w:val="0"/>
        <w:autoSpaceDN w:val="0"/>
        <w:adjustRightInd w:val="0"/>
        <w:snapToGrid w:val="0"/>
        <w:spacing w:line="360" w:lineRule="auto"/>
        <w:ind w:firstLine="642" w:firstLineChars="200"/>
        <w:rPr>
          <w:rFonts w:hint="default" w:ascii="宋体" w:hAnsi="宋体" w:eastAsia="宋体"/>
          <w:b/>
          <w:color w:val="auto"/>
          <w:spacing w:val="20"/>
          <w:kern w:val="0"/>
          <w:sz w:val="28"/>
          <w:szCs w:val="28"/>
          <w:highlight w:val="none"/>
          <w:lang w:val="en-US" w:eastAsia="zh-CN"/>
        </w:rPr>
      </w:pPr>
      <w:r>
        <w:rPr>
          <w:rFonts w:hint="eastAsia" w:ascii="宋体" w:hAnsi="宋体" w:eastAsia="宋体"/>
          <w:b/>
          <w:color w:val="auto"/>
          <w:spacing w:val="20"/>
          <w:kern w:val="0"/>
          <w:sz w:val="28"/>
          <w:szCs w:val="28"/>
          <w:highlight w:val="none"/>
        </w:rPr>
        <w:t>项目名称：</w:t>
      </w:r>
      <w:r>
        <w:rPr>
          <w:rFonts w:hint="eastAsia" w:ascii="宋体" w:hAnsi="宋体" w:eastAsia="宋体"/>
          <w:b/>
          <w:color w:val="auto"/>
          <w:spacing w:val="20"/>
          <w:kern w:val="0"/>
          <w:sz w:val="28"/>
          <w:szCs w:val="28"/>
          <w:highlight w:val="none"/>
          <w:u w:val="single"/>
          <w:lang w:val="en-US" w:eastAsia="zh-CN"/>
        </w:rPr>
        <w:t xml:space="preserve">宿州市立医院科研科2025年度科研采购项目（8台超低温冰箱）  </w:t>
      </w:r>
    </w:p>
    <w:p w14:paraId="3295737D">
      <w:pPr>
        <w:tabs>
          <w:tab w:val="left" w:pos="2410"/>
        </w:tabs>
        <w:autoSpaceDE w:val="0"/>
        <w:autoSpaceDN w:val="0"/>
        <w:adjustRightInd w:val="0"/>
        <w:snapToGrid w:val="0"/>
        <w:spacing w:line="360" w:lineRule="auto"/>
        <w:ind w:firstLine="642" w:firstLineChars="200"/>
        <w:rPr>
          <w:rFonts w:ascii="宋体" w:hAnsi="宋体" w:eastAsia="宋体"/>
          <w:b/>
          <w:color w:val="auto"/>
          <w:spacing w:val="20"/>
          <w:kern w:val="0"/>
          <w:sz w:val="28"/>
          <w:szCs w:val="28"/>
          <w:highlight w:val="none"/>
        </w:rPr>
      </w:pPr>
      <w:r>
        <w:rPr>
          <w:rFonts w:hint="eastAsia" w:ascii="宋体" w:hAnsi="宋体" w:eastAsia="宋体"/>
          <w:b/>
          <w:color w:val="auto"/>
          <w:spacing w:val="20"/>
          <w:kern w:val="0"/>
          <w:sz w:val="28"/>
          <w:szCs w:val="28"/>
          <w:highlight w:val="none"/>
        </w:rPr>
        <w:t>项目编号：</w:t>
      </w:r>
      <w:r>
        <w:rPr>
          <w:rFonts w:hint="eastAsia" w:ascii="宋体" w:hAnsi="宋体" w:eastAsia="宋体"/>
          <w:b/>
          <w:color w:val="auto"/>
          <w:spacing w:val="20"/>
          <w:kern w:val="0"/>
          <w:sz w:val="28"/>
          <w:szCs w:val="28"/>
          <w:highlight w:val="none"/>
          <w:u w:val="single"/>
          <w:lang w:val="en-US" w:eastAsia="zh-CN"/>
        </w:rPr>
        <w:t xml:space="preserve">                     </w:t>
      </w:r>
    </w:p>
    <w:p w14:paraId="348D8AEC">
      <w:pPr>
        <w:tabs>
          <w:tab w:val="left" w:pos="2410"/>
        </w:tabs>
        <w:autoSpaceDE w:val="0"/>
        <w:autoSpaceDN w:val="0"/>
        <w:adjustRightInd w:val="0"/>
        <w:snapToGrid w:val="0"/>
        <w:spacing w:line="360" w:lineRule="auto"/>
        <w:ind w:firstLine="642" w:firstLineChars="200"/>
        <w:rPr>
          <w:rFonts w:ascii="宋体" w:hAnsi="宋体" w:eastAsia="宋体"/>
          <w:b/>
          <w:color w:val="auto"/>
          <w:spacing w:val="20"/>
          <w:kern w:val="0"/>
          <w:sz w:val="28"/>
          <w:szCs w:val="28"/>
          <w:highlight w:val="none"/>
        </w:rPr>
      </w:pPr>
      <w:r>
        <w:rPr>
          <w:rFonts w:hint="eastAsia" w:ascii="宋体" w:hAnsi="宋体" w:eastAsia="宋体"/>
          <w:b/>
          <w:color w:val="auto"/>
          <w:spacing w:val="20"/>
          <w:kern w:val="0"/>
          <w:sz w:val="28"/>
          <w:szCs w:val="28"/>
          <w:highlight w:val="none"/>
        </w:rPr>
        <w:t>采 购 人：</w:t>
      </w:r>
      <w:r>
        <w:rPr>
          <w:rFonts w:hint="eastAsia" w:ascii="宋体" w:hAnsi="宋体" w:eastAsia="宋体"/>
          <w:b/>
          <w:color w:val="auto"/>
          <w:spacing w:val="20"/>
          <w:kern w:val="0"/>
          <w:sz w:val="28"/>
          <w:szCs w:val="28"/>
          <w:highlight w:val="none"/>
          <w:u w:val="single"/>
          <w:lang w:val="en-US" w:eastAsia="zh-CN"/>
        </w:rPr>
        <w:t xml:space="preserve"> 安徽省宿州市立医院    </w:t>
      </w:r>
    </w:p>
    <w:p w14:paraId="1CCBBF19">
      <w:pPr>
        <w:tabs>
          <w:tab w:val="left" w:pos="2410"/>
        </w:tabs>
        <w:autoSpaceDE w:val="0"/>
        <w:autoSpaceDN w:val="0"/>
        <w:adjustRightInd w:val="0"/>
        <w:snapToGrid w:val="0"/>
        <w:spacing w:line="360" w:lineRule="auto"/>
        <w:ind w:firstLine="642" w:firstLineChars="200"/>
        <w:rPr>
          <w:rFonts w:hint="default" w:ascii="宋体" w:hAnsi="宋体" w:eastAsia="宋体"/>
          <w:b/>
          <w:color w:val="auto"/>
          <w:spacing w:val="20"/>
          <w:kern w:val="0"/>
          <w:sz w:val="28"/>
          <w:szCs w:val="28"/>
          <w:highlight w:val="none"/>
          <w:lang w:val="en-US"/>
        </w:rPr>
      </w:pPr>
      <w:r>
        <w:rPr>
          <w:rFonts w:hint="eastAsia" w:ascii="宋体" w:hAnsi="宋体" w:eastAsia="宋体"/>
          <w:b/>
          <w:color w:val="auto"/>
          <w:spacing w:val="20"/>
          <w:kern w:val="0"/>
          <w:sz w:val="28"/>
          <w:szCs w:val="28"/>
          <w:highlight w:val="none"/>
        </w:rPr>
        <w:t>采购代理机构：</w:t>
      </w:r>
      <w:r>
        <w:rPr>
          <w:rFonts w:hint="eastAsia" w:ascii="宋体" w:hAnsi="宋体" w:eastAsia="宋体"/>
          <w:b/>
          <w:color w:val="auto"/>
          <w:spacing w:val="20"/>
          <w:kern w:val="0"/>
          <w:sz w:val="28"/>
          <w:szCs w:val="28"/>
          <w:highlight w:val="none"/>
          <w:u w:val="single"/>
          <w:lang w:val="en-US" w:eastAsia="zh-CN"/>
        </w:rPr>
        <w:t xml:space="preserve"> 安徽中技工程咨询有限公司 </w:t>
      </w:r>
    </w:p>
    <w:p w14:paraId="5681EA1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5BFF3AC">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03 </w:t>
      </w:r>
      <w:r>
        <w:rPr>
          <w:rFonts w:hint="eastAsia" w:ascii="宋体" w:hAnsi="宋体" w:eastAsia="宋体"/>
          <w:b/>
          <w:color w:val="auto"/>
          <w:sz w:val="36"/>
          <w:highlight w:val="none"/>
        </w:rPr>
        <w:t>月</w:t>
      </w:r>
    </w:p>
    <w:bookmarkEnd w:id="0"/>
    <w:bookmarkEnd w:id="1"/>
    <w:bookmarkEnd w:id="2"/>
    <w:p w14:paraId="2196C06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8BA607D">
      <w:pPr>
        <w:pStyle w:val="16"/>
        <w:tabs>
          <w:tab w:val="right" w:leader="dot" w:pos="8279"/>
        </w:tabs>
        <w:rPr>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_Toc14792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谈判邀请</w:t>
      </w:r>
      <w:r>
        <w:rPr>
          <w:highlight w:val="none"/>
        </w:rPr>
        <w:tab/>
      </w:r>
      <w:r>
        <w:rPr>
          <w:highlight w:val="none"/>
        </w:rPr>
        <w:fldChar w:fldCharType="begin"/>
      </w:r>
      <w:r>
        <w:rPr>
          <w:highlight w:val="none"/>
        </w:rPr>
        <w:instrText xml:space="preserve"> PAGEREF _Toc14792 \h </w:instrText>
      </w:r>
      <w:r>
        <w:rPr>
          <w:highlight w:val="none"/>
        </w:rPr>
        <w:fldChar w:fldCharType="separate"/>
      </w:r>
      <w:r>
        <w:rPr>
          <w:highlight w:val="none"/>
        </w:rPr>
        <w:t>1</w:t>
      </w:r>
      <w:r>
        <w:rPr>
          <w:highlight w:val="none"/>
        </w:rPr>
        <w:fldChar w:fldCharType="end"/>
      </w:r>
      <w:r>
        <w:rPr>
          <w:rFonts w:asciiTheme="minorEastAsia" w:hAnsiTheme="minorEastAsia"/>
          <w:bCs/>
          <w:color w:val="auto"/>
          <w:szCs w:val="24"/>
          <w:highlight w:val="none"/>
        </w:rPr>
        <w:fldChar w:fldCharType="end"/>
      </w:r>
    </w:p>
    <w:p w14:paraId="715F6C06">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_Toc21898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_Toc21898 \h </w:instrText>
      </w:r>
      <w:r>
        <w:rPr>
          <w:highlight w:val="none"/>
        </w:rPr>
        <w:fldChar w:fldCharType="separate"/>
      </w:r>
      <w:r>
        <w:rPr>
          <w:highlight w:val="none"/>
        </w:rPr>
        <w:t>5</w:t>
      </w:r>
      <w:r>
        <w:rPr>
          <w:highlight w:val="none"/>
        </w:rPr>
        <w:fldChar w:fldCharType="end"/>
      </w:r>
      <w:r>
        <w:rPr>
          <w:rFonts w:asciiTheme="minorEastAsia" w:hAnsiTheme="minorEastAsia"/>
          <w:bCs/>
          <w:color w:val="auto"/>
          <w:szCs w:val="24"/>
          <w:highlight w:val="none"/>
        </w:rPr>
        <w:fldChar w:fldCharType="end"/>
      </w:r>
    </w:p>
    <w:p w14:paraId="336AC6EF">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_Toc25461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_Toc25461 \h </w:instrText>
      </w:r>
      <w:r>
        <w:rPr>
          <w:highlight w:val="none"/>
        </w:rPr>
        <w:fldChar w:fldCharType="separate"/>
      </w:r>
      <w:r>
        <w:rPr>
          <w:highlight w:val="none"/>
        </w:rPr>
        <w:t>19</w:t>
      </w:r>
      <w:r>
        <w:rPr>
          <w:highlight w:val="none"/>
        </w:rPr>
        <w:fldChar w:fldCharType="end"/>
      </w:r>
      <w:r>
        <w:rPr>
          <w:rFonts w:asciiTheme="minorEastAsia" w:hAnsiTheme="minorEastAsia"/>
          <w:bCs/>
          <w:color w:val="auto"/>
          <w:szCs w:val="24"/>
          <w:highlight w:val="none"/>
        </w:rPr>
        <w:fldChar w:fldCharType="end"/>
      </w:r>
    </w:p>
    <w:p w14:paraId="259D39CA">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_Toc20811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_Toc20811 \h </w:instrText>
      </w:r>
      <w:r>
        <w:rPr>
          <w:highlight w:val="none"/>
        </w:rPr>
        <w:fldChar w:fldCharType="separate"/>
      </w:r>
      <w:r>
        <w:rPr>
          <w:highlight w:val="none"/>
        </w:rPr>
        <w:t>22</w:t>
      </w:r>
      <w:r>
        <w:rPr>
          <w:highlight w:val="none"/>
        </w:rPr>
        <w:fldChar w:fldCharType="end"/>
      </w:r>
      <w:r>
        <w:rPr>
          <w:rFonts w:asciiTheme="minorEastAsia" w:hAnsiTheme="minorEastAsia"/>
          <w:bCs/>
          <w:color w:val="auto"/>
          <w:szCs w:val="24"/>
          <w:highlight w:val="none"/>
        </w:rPr>
        <w:fldChar w:fldCharType="end"/>
      </w:r>
    </w:p>
    <w:p w14:paraId="50D42420">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_Toc6738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采购合同</w:t>
      </w:r>
      <w:r>
        <w:rPr>
          <w:highlight w:val="none"/>
        </w:rPr>
        <w:tab/>
      </w:r>
      <w:r>
        <w:rPr>
          <w:highlight w:val="none"/>
        </w:rPr>
        <w:fldChar w:fldCharType="begin"/>
      </w:r>
      <w:r>
        <w:rPr>
          <w:highlight w:val="none"/>
        </w:rPr>
        <w:instrText xml:space="preserve"> PAGEREF _Toc6738 \h </w:instrText>
      </w:r>
      <w:r>
        <w:rPr>
          <w:highlight w:val="none"/>
        </w:rPr>
        <w:fldChar w:fldCharType="separate"/>
      </w:r>
      <w:r>
        <w:rPr>
          <w:highlight w:val="none"/>
        </w:rPr>
        <w:t>26</w:t>
      </w:r>
      <w:r>
        <w:rPr>
          <w:highlight w:val="none"/>
        </w:rPr>
        <w:fldChar w:fldCharType="end"/>
      </w:r>
      <w:r>
        <w:rPr>
          <w:rFonts w:asciiTheme="minorEastAsia" w:hAnsiTheme="minorEastAsia"/>
          <w:bCs/>
          <w:color w:val="auto"/>
          <w:szCs w:val="24"/>
          <w:highlight w:val="none"/>
        </w:rPr>
        <w:fldChar w:fldCharType="end"/>
      </w:r>
    </w:p>
    <w:p w14:paraId="37E4A20F">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_Toc24145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_Toc24145 \h </w:instrText>
      </w:r>
      <w:r>
        <w:rPr>
          <w:highlight w:val="none"/>
        </w:rPr>
        <w:fldChar w:fldCharType="separate"/>
      </w:r>
      <w:r>
        <w:rPr>
          <w:rFonts w:hint="eastAsia"/>
          <w:highlight w:val="none"/>
          <w:lang w:val="en-US" w:eastAsia="zh-CN"/>
        </w:rPr>
        <w:t>4</w:t>
      </w:r>
      <w:r>
        <w:rPr>
          <w:highlight w:val="none"/>
        </w:rPr>
        <w:t>6</w:t>
      </w:r>
      <w:r>
        <w:rPr>
          <w:highlight w:val="none"/>
        </w:rPr>
        <w:fldChar w:fldCharType="end"/>
      </w:r>
      <w:r>
        <w:rPr>
          <w:rFonts w:asciiTheme="minorEastAsia" w:hAnsiTheme="minorEastAsia"/>
          <w:bCs/>
          <w:color w:val="auto"/>
          <w:szCs w:val="24"/>
          <w:highlight w:val="none"/>
        </w:rPr>
        <w:fldChar w:fldCharType="end"/>
      </w:r>
    </w:p>
    <w:p w14:paraId="58AA0C0D">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_Toc11034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w:t>
      </w:r>
      <w:r>
        <w:rPr>
          <w:rFonts w:hint="eastAsia"/>
          <w:bCs/>
          <w:highlight w:val="none"/>
        </w:rPr>
        <w:t xml:space="preserve">  </w:t>
      </w:r>
      <w:r>
        <w:rPr>
          <w:rFonts w:hint="eastAsia" w:ascii="宋体" w:hAnsi="宋体" w:eastAsia="宋体"/>
          <w:bCs/>
          <w:highlight w:val="none"/>
        </w:rPr>
        <w:t>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_Toc11034 \h </w:instrText>
      </w:r>
      <w:r>
        <w:rPr>
          <w:highlight w:val="none"/>
        </w:rPr>
        <w:fldChar w:fldCharType="separate"/>
      </w:r>
      <w:r>
        <w:rPr>
          <w:highlight w:val="none"/>
        </w:rPr>
        <w:t>56</w:t>
      </w:r>
      <w:r>
        <w:rPr>
          <w:highlight w:val="none"/>
        </w:rPr>
        <w:fldChar w:fldCharType="end"/>
      </w:r>
      <w:r>
        <w:rPr>
          <w:rFonts w:asciiTheme="minorEastAsia" w:hAnsiTheme="minorEastAsia"/>
          <w:bCs/>
          <w:color w:val="auto"/>
          <w:szCs w:val="24"/>
          <w:highlight w:val="none"/>
        </w:rPr>
        <w:fldChar w:fldCharType="end"/>
      </w:r>
    </w:p>
    <w:p w14:paraId="1242A804">
      <w:pPr>
        <w:pStyle w:val="17"/>
        <w:tabs>
          <w:tab w:val="right" w:leader="dot" w:pos="8296"/>
        </w:tabs>
        <w:rPr>
          <w:color w:val="auto"/>
          <w:highlight w:val="none"/>
        </w:rPr>
      </w:pPr>
      <w:r>
        <w:rPr>
          <w:rFonts w:asciiTheme="minorEastAsia" w:hAnsiTheme="minorEastAsia"/>
          <w:bCs/>
          <w:color w:val="auto"/>
          <w:szCs w:val="24"/>
          <w:highlight w:val="none"/>
        </w:rPr>
        <w:fldChar w:fldCharType="end"/>
      </w:r>
    </w:p>
    <w:p w14:paraId="6412F770">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4BB741C6">
      <w:pPr>
        <w:spacing w:line="360" w:lineRule="auto"/>
        <w:jc w:val="center"/>
        <w:outlineLvl w:val="0"/>
        <w:rPr>
          <w:rFonts w:asciiTheme="minorEastAsia" w:hAnsiTheme="minorEastAsia" w:eastAsiaTheme="minorEastAsia"/>
          <w:b/>
          <w:color w:val="auto"/>
          <w:sz w:val="28"/>
          <w:highlight w:val="none"/>
        </w:rPr>
      </w:pPr>
      <w:bookmarkStart w:id="3" w:name="_Toc1479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3"/>
    </w:p>
    <w:p w14:paraId="03DF7CCD">
      <w:pPr>
        <w:spacing w:line="360" w:lineRule="auto"/>
        <w:ind w:firstLine="435"/>
        <w:outlineLvl w:val="1"/>
        <w:rPr>
          <w:rFonts w:ascii="宋体" w:hAnsi="宋体" w:eastAsia="宋体"/>
          <w:b/>
          <w:bCs/>
          <w:color w:val="auto"/>
          <w:sz w:val="24"/>
          <w:szCs w:val="18"/>
          <w:highlight w:val="none"/>
        </w:rPr>
      </w:pPr>
      <w:bookmarkStart w:id="4" w:name="_Toc31120"/>
      <w:bookmarkStart w:id="5" w:name="_Toc18458"/>
      <w:r>
        <w:rPr>
          <w:rFonts w:hint="eastAsia" w:ascii="宋体" w:hAnsi="宋体" w:eastAsia="宋体"/>
          <w:b/>
          <w:bCs/>
          <w:color w:val="auto"/>
          <w:sz w:val="24"/>
          <w:szCs w:val="18"/>
          <w:highlight w:val="none"/>
        </w:rPr>
        <w:t>一、项目名称及内容</w:t>
      </w:r>
      <w:bookmarkEnd w:id="4"/>
      <w:bookmarkEnd w:id="5"/>
    </w:p>
    <w:p w14:paraId="41DBFA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 </w:t>
      </w:r>
      <w:r>
        <w:rPr>
          <w:rFonts w:ascii="宋体" w:hAnsi="宋体" w:eastAsia="宋体"/>
          <w:color w:val="auto"/>
          <w:sz w:val="24"/>
          <w:szCs w:val="18"/>
          <w:highlight w:val="none"/>
          <w:u w:val="single"/>
        </w:rPr>
        <w:t xml:space="preserve">         </w:t>
      </w:r>
    </w:p>
    <w:p w14:paraId="21E7AAC0">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2.项目名称：</w:t>
      </w:r>
      <w:r>
        <w:rPr>
          <w:rFonts w:hint="eastAsia" w:ascii="宋体" w:hAnsi="宋体" w:eastAsia="宋体"/>
          <w:color w:val="auto"/>
          <w:sz w:val="24"/>
          <w:szCs w:val="18"/>
          <w:highlight w:val="none"/>
          <w:u w:val="single"/>
        </w:rPr>
        <w:t xml:space="preserve"> 宿州市立医院科研科2025年度科研采购项目（8台超低温冰箱）</w:t>
      </w:r>
      <w:r>
        <w:rPr>
          <w:rFonts w:ascii="宋体" w:hAnsi="宋体" w:eastAsia="宋体"/>
          <w:color w:val="auto"/>
          <w:sz w:val="24"/>
          <w:szCs w:val="18"/>
          <w:highlight w:val="none"/>
          <w:u w:val="single"/>
        </w:rPr>
        <w:t xml:space="preserve">  </w:t>
      </w:r>
    </w:p>
    <w:p w14:paraId="61ABE1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38.4万元</w:t>
      </w:r>
      <w:r>
        <w:rPr>
          <w:rFonts w:ascii="宋体" w:hAnsi="宋体" w:eastAsia="宋体"/>
          <w:color w:val="auto"/>
          <w:sz w:val="24"/>
          <w:szCs w:val="18"/>
          <w:highlight w:val="none"/>
          <w:u w:val="single"/>
        </w:rPr>
        <w:t xml:space="preserve">         </w:t>
      </w:r>
    </w:p>
    <w:p w14:paraId="11B052C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38.4万元</w:t>
      </w:r>
      <w:r>
        <w:rPr>
          <w:rFonts w:ascii="宋体" w:hAnsi="宋体" w:eastAsia="宋体"/>
          <w:color w:val="auto"/>
          <w:sz w:val="24"/>
          <w:szCs w:val="18"/>
          <w:highlight w:val="none"/>
          <w:u w:val="single"/>
        </w:rPr>
        <w:t xml:space="preserve">         </w:t>
      </w:r>
    </w:p>
    <w:p w14:paraId="20E8D0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采购8台医用超低温冰箱，具体参数详见采购需求。</w:t>
      </w:r>
      <w:r>
        <w:rPr>
          <w:rFonts w:ascii="宋体" w:hAnsi="宋体" w:eastAsia="宋体"/>
          <w:color w:val="auto"/>
          <w:sz w:val="24"/>
          <w:szCs w:val="18"/>
          <w:highlight w:val="none"/>
          <w:u w:val="single"/>
        </w:rPr>
        <w:t xml:space="preserve">         </w:t>
      </w:r>
    </w:p>
    <w:p w14:paraId="00AF2F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签订合同后30个工作日内。</w:t>
      </w:r>
      <w:r>
        <w:rPr>
          <w:rFonts w:ascii="宋体" w:hAnsi="宋体" w:eastAsia="宋体"/>
          <w:color w:val="auto"/>
          <w:sz w:val="24"/>
          <w:szCs w:val="18"/>
          <w:highlight w:val="none"/>
          <w:u w:val="single"/>
        </w:rPr>
        <w:t xml:space="preserve">        </w:t>
      </w:r>
    </w:p>
    <w:p w14:paraId="258B0FED">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0BE9C715">
      <w:pPr>
        <w:spacing w:line="360" w:lineRule="auto"/>
        <w:ind w:firstLine="435"/>
        <w:outlineLvl w:val="1"/>
        <w:rPr>
          <w:rFonts w:ascii="宋体" w:hAnsi="宋体" w:eastAsia="宋体"/>
          <w:b/>
          <w:bCs/>
          <w:color w:val="auto"/>
          <w:sz w:val="24"/>
          <w:szCs w:val="18"/>
          <w:highlight w:val="none"/>
        </w:rPr>
      </w:pPr>
      <w:bookmarkStart w:id="6" w:name="_Toc26738"/>
      <w:bookmarkStart w:id="7" w:name="_Toc25828"/>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6"/>
      <w:r>
        <w:rPr>
          <w:rFonts w:hint="eastAsia" w:ascii="宋体" w:hAnsi="宋体" w:eastAsia="宋体"/>
          <w:b/>
          <w:bCs/>
          <w:color w:val="auto"/>
          <w:sz w:val="24"/>
          <w:szCs w:val="18"/>
          <w:highlight w:val="none"/>
        </w:rPr>
        <w:t>申请人的资格要求</w:t>
      </w:r>
      <w:bookmarkEnd w:id="7"/>
    </w:p>
    <w:p w14:paraId="0494972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1.投标人应当具备下列条件：</w:t>
      </w:r>
    </w:p>
    <w:p w14:paraId="30F5AF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1.1具有独立承担民事责任的能力；</w:t>
      </w:r>
    </w:p>
    <w:p w14:paraId="3810FEE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1.2具有良好的商业信誉和健全的财务会计制度；</w:t>
      </w:r>
    </w:p>
    <w:p w14:paraId="08C77EA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1.3具有履行合同所必需的设备和专业技术能力；</w:t>
      </w:r>
    </w:p>
    <w:p w14:paraId="57627CE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1.4有依法缴纳税收和社会保障资金的良好记录；</w:t>
      </w:r>
    </w:p>
    <w:p w14:paraId="3AFD05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1.5参加本采购活动前三年内，在经营活动中没有重大违法记录；</w:t>
      </w:r>
    </w:p>
    <w:p w14:paraId="26C3A3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2.本项目的特定资格要求：</w:t>
      </w:r>
    </w:p>
    <w:p w14:paraId="2FCE0E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如是依法纳入医疗器械管理的投标产品须满足以下条件：</w:t>
      </w:r>
    </w:p>
    <w:p w14:paraId="2E7236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（1）中国境内（不含港、澳、台地区）制造商参与投标时，应具有投标产品相应有效的医疗器械生产许可证（适用第二类和第三类医疗器械）。</w:t>
      </w:r>
    </w:p>
    <w:p w14:paraId="75B5C71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（2）投标人应具有投标产品相应有效的医疗器械经营许可证（适用第三类医疗器械）或医疗器械经营备案凭证（适用第二类医疗器械）。</w:t>
      </w:r>
    </w:p>
    <w:p w14:paraId="5598FF9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（3）投标产品具有相应有效的医疗器械注册证（适用第二类和第三类医疗器械）或备案凭证（适用第一类医疗器械）；</w:t>
      </w:r>
    </w:p>
    <w:p w14:paraId="73E7871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2.2投标人（含不具有独立法人资格的分公司、不含具备独立法人资格的子公司）存在以下不良信用记录情形之一，不得推荐为中标候选人，不得确定为中标人： </w:t>
      </w:r>
    </w:p>
    <w:p w14:paraId="7F5380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（1）投标人被人民法院列入失信被执行人的；</w:t>
      </w:r>
    </w:p>
    <w:p w14:paraId="179094A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（2）投标人或其法定代表人或拟派项目经理（项目负责人）被列入行贿犯罪档案的；</w:t>
      </w:r>
    </w:p>
    <w:p w14:paraId="64EC28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（3）投标人被市场监督管理局列入企业经营异常名录的；</w:t>
      </w:r>
    </w:p>
    <w:p w14:paraId="638CA0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（4）投标人被税务部门列入重大税收违法案件当事人名单的；</w:t>
      </w:r>
    </w:p>
    <w:p w14:paraId="24CAF34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（5）投标人被政府采购监管部门列入政府采购严重违法失信行为记录名单的。</w:t>
      </w:r>
    </w:p>
    <w:p w14:paraId="660FFC5F">
      <w:pPr>
        <w:keepNext w:val="0"/>
        <w:keepLines w:val="0"/>
        <w:pageBreakBefore w:val="0"/>
        <w:widowControl w:val="0"/>
        <w:kinsoku/>
        <w:wordWrap w:val="0"/>
        <w:overflowPunct/>
        <w:topLinePunct/>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查询截止时点为投标文件递交截止时间。</w:t>
      </w:r>
    </w:p>
    <w:p w14:paraId="0DFBA2F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情形（2）由供应商提供无行贿犯罪记录承诺函。</w:t>
      </w:r>
    </w:p>
    <w:p w14:paraId="607822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3.本项目不接受联合体投标。</w:t>
      </w:r>
    </w:p>
    <w:p w14:paraId="09DBCAD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4.投标人必须确保自己在投标文件中提交的信息及技术真实、准确。否则，投标人因此蒙受损失，采购人概不负责。（提供承诺）</w:t>
      </w:r>
    </w:p>
    <w:p w14:paraId="166FCF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5.本项目不得转包或分包。（提供承诺）</w:t>
      </w:r>
    </w:p>
    <w:p w14:paraId="14E6C7C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6.所投设备为该品牌生产的最新型号且为自合同签订之日起（进口产品前后六个月，国内产品前后三个月）生产的最新产品，提供承诺书并加盖公章（提供承诺）。</w:t>
      </w:r>
    </w:p>
    <w:p w14:paraId="7D81B38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7.所投产品不含专机专用耗材，如有专机专用耗材终身免费提供使用，提供承诺书并加盖公章。</w:t>
      </w:r>
    </w:p>
    <w:p w14:paraId="37A95459">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注：①“有效”是指“情形”规定的程度、起止期间处于有效状态。②上述第2.1款，请投标人根据投标内容按国家规定提供相应的证明材料，若国家规定无需许可或注册的，则可不提供。</w:t>
      </w:r>
    </w:p>
    <w:p w14:paraId="03F43235">
      <w:pPr>
        <w:spacing w:line="360" w:lineRule="auto"/>
        <w:ind w:firstLine="435"/>
        <w:outlineLvl w:val="1"/>
        <w:rPr>
          <w:rFonts w:ascii="宋体" w:hAnsi="宋体" w:eastAsia="宋体"/>
          <w:b/>
          <w:bCs/>
          <w:color w:val="auto"/>
          <w:sz w:val="24"/>
          <w:szCs w:val="18"/>
          <w:highlight w:val="none"/>
        </w:rPr>
      </w:pPr>
      <w:bookmarkStart w:id="8" w:name="_Toc20109"/>
      <w:bookmarkStart w:id="9" w:name="_Toc10106"/>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8"/>
      <w:r>
        <w:rPr>
          <w:rFonts w:hint="eastAsia" w:asciiTheme="minorEastAsia" w:hAnsiTheme="minorEastAsia" w:eastAsiaTheme="minorEastAsia"/>
          <w:b/>
          <w:color w:val="auto"/>
          <w:sz w:val="24"/>
          <w:highlight w:val="none"/>
        </w:rPr>
        <w:t>获取采购文件</w:t>
      </w:r>
      <w:bookmarkEnd w:id="9"/>
    </w:p>
    <w:p w14:paraId="22F2FFC0">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时间：</w:t>
      </w:r>
      <w:r>
        <w:rPr>
          <w:rFonts w:hint="eastAsia" w:ascii="宋体" w:hAnsi="宋体" w:eastAsia="宋体" w:cs="宋体"/>
          <w:sz w:val="24"/>
          <w:szCs w:val="24"/>
          <w:highlight w:val="none"/>
          <w:u w:val="single"/>
          <w:lang w:val="en-US" w:eastAsia="zh-CN"/>
        </w:rPr>
        <w:t>自公告发布之日至2026年 月 日15:00</w:t>
      </w:r>
    </w:p>
    <w:p w14:paraId="3A609FE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地点：网上获取。</w:t>
      </w:r>
    </w:p>
    <w:p w14:paraId="065D6C4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 xml:space="preserve">方式：（1）凡有意参加投标者，在招标文件获取时间范围内均可在宿州市公共资源交易中心新版交易系统会员端登录地址（网址：http://60.171.247.212:8111/TPBidder/memberLogin）交易平台登录处进行用户登记，登记为供应商后使用CA锁登录进入宿州市公共资源交易系统，进入系统—》招标公告列表—》筛选项目类型为“采购”—》选中相应项目公告—》点击“文件下载”下载获取招标文件，也可以通过输入标段包编号，在关键字中搜索，找到需要投标的标段。（详细操作流程：详见本公告附件《投标单位操作手册7.1.40.5版本》），并请随时关注网站答疑澄清。（用户登记操作及审核联系电话：0557-3030327） </w:t>
      </w:r>
    </w:p>
    <w:p w14:paraId="010C310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（2）请在招标文件获取时间范围内下载获取招标文件，逾期系统将自动关闭，无法下载招标文件。</w:t>
      </w:r>
    </w:p>
    <w:p w14:paraId="4286E9C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（3）潜在投标人应合理安排时间，尽量避开开标前等可能存在的高峰期。</w:t>
      </w:r>
    </w:p>
    <w:p w14:paraId="3D37B71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u w:val="none"/>
        </w:rPr>
        <w:t>售价：每套人民币0元整，招标文件售后不退。</w:t>
      </w:r>
    </w:p>
    <w:p w14:paraId="6D03A8CA">
      <w:pPr>
        <w:spacing w:line="360" w:lineRule="auto"/>
        <w:ind w:firstLine="435"/>
        <w:outlineLvl w:val="1"/>
        <w:rPr>
          <w:rFonts w:ascii="宋体" w:hAnsi="宋体" w:eastAsia="宋体"/>
          <w:b/>
          <w:bCs/>
          <w:color w:val="auto"/>
          <w:sz w:val="24"/>
          <w:szCs w:val="18"/>
          <w:highlight w:val="none"/>
        </w:rPr>
      </w:pPr>
      <w:bookmarkStart w:id="10" w:name="_Toc19753"/>
      <w:bookmarkStart w:id="11" w:name="_Toc1095"/>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10"/>
      <w:r>
        <w:rPr>
          <w:rFonts w:hint="eastAsia" w:ascii="宋体" w:hAnsi="宋体" w:eastAsia="宋体"/>
          <w:b/>
          <w:bCs/>
          <w:color w:val="auto"/>
          <w:sz w:val="24"/>
          <w:highlight w:val="none"/>
        </w:rPr>
        <w:t>响应文件提交</w:t>
      </w:r>
      <w:bookmarkEnd w:id="11"/>
    </w:p>
    <w:p w14:paraId="6EC81AB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截止时间：</w:t>
      </w:r>
      <w:r>
        <w:rPr>
          <w:rFonts w:hint="eastAsia" w:ascii="宋体" w:hAnsi="宋体" w:eastAsia="宋体" w:cs="宋体"/>
          <w:sz w:val="24"/>
          <w:szCs w:val="24"/>
          <w:highlight w:val="none"/>
          <w:u w:val="single"/>
          <w:lang w:val="zh-CN" w:eastAsia="zh-CN"/>
        </w:rPr>
        <w:t xml:space="preserve"> </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single"/>
          <w:lang w:val="zh-CN" w:eastAsia="zh-CN"/>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eastAsia="zh-CN"/>
        </w:rPr>
        <w:t>日</w:t>
      </w:r>
      <w:r>
        <w:rPr>
          <w:rFonts w:hint="eastAsia" w:ascii="宋体" w:hAnsi="宋体" w:eastAsia="宋体" w:cs="宋体"/>
          <w:sz w:val="24"/>
          <w:szCs w:val="24"/>
          <w:highlight w:val="none"/>
          <w:u w:val="single"/>
          <w:lang w:val="en-US" w:eastAsia="zh-CN"/>
        </w:rPr>
        <w:t>09</w:t>
      </w:r>
      <w:r>
        <w:rPr>
          <w:rFonts w:hint="eastAsia" w:ascii="宋体" w:hAnsi="宋体" w:eastAsia="宋体" w:cs="宋体"/>
          <w:sz w:val="24"/>
          <w:szCs w:val="24"/>
          <w:highlight w:val="none"/>
          <w:u w:val="single"/>
          <w:lang w:val="zh-CN" w:eastAsia="zh-CN"/>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lang w:val="zh-CN" w:eastAsia="zh-CN"/>
        </w:rPr>
        <w:t>分（北京时间）</w:t>
      </w:r>
    </w:p>
    <w:p w14:paraId="58F59AF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地点：宿州市埇桥区公共资源交易中心第</w:t>
      </w:r>
      <w:r>
        <w:rPr>
          <w:rFonts w:hint="eastAsia" w:ascii="宋体" w:hAnsi="宋体" w:eastAsia="宋体" w:cs="宋体"/>
          <w:sz w:val="24"/>
          <w:szCs w:val="24"/>
          <w:highlight w:val="none"/>
          <w:lang w:val="en-US" w:eastAsia="zh-CN"/>
        </w:rPr>
        <w:t>___</w:t>
      </w:r>
      <w:r>
        <w:rPr>
          <w:rFonts w:hint="eastAsia" w:ascii="宋体" w:hAnsi="宋体" w:eastAsia="宋体" w:cs="宋体"/>
          <w:sz w:val="24"/>
          <w:szCs w:val="24"/>
          <w:highlight w:val="none"/>
        </w:rPr>
        <w:t>开标室，因本项目实行全流程电子化交易，供应商原则上不到现场参与交易活动，将通过在线视频直播。供应商可通过登录宿州市公共资源交易网（http://ggzyjy.ahsz.gov.cn/szfront/）点击进入不见面开标大厅观看开标直播。具体操作详见公告附件或宿州市公共资源交易网上的关于《宿州不见面开标大厅操作视频及常见问题》的操作指南。</w:t>
      </w:r>
    </w:p>
    <w:p w14:paraId="2519072A">
      <w:pPr>
        <w:spacing w:line="360" w:lineRule="auto"/>
        <w:ind w:firstLine="435"/>
        <w:rPr>
          <w:rFonts w:ascii="宋体" w:hAnsi="宋体" w:eastAsia="宋体"/>
          <w:color w:val="auto"/>
          <w:sz w:val="24"/>
          <w:szCs w:val="18"/>
          <w:highlight w:val="none"/>
        </w:rPr>
      </w:pPr>
      <w:r>
        <w:rPr>
          <w:rFonts w:hint="eastAsia" w:ascii="宋体" w:hAnsi="宋体" w:eastAsia="宋体" w:cs="宋体"/>
          <w:sz w:val="24"/>
          <w:szCs w:val="24"/>
          <w:highlight w:val="none"/>
        </w:rPr>
        <w:t>注：本项目通过宿州不见面开标大厅直播，无直播二维码。</w:t>
      </w:r>
    </w:p>
    <w:p w14:paraId="7DC7DB4B">
      <w:pPr>
        <w:spacing w:line="360" w:lineRule="auto"/>
        <w:ind w:firstLine="435"/>
        <w:outlineLvl w:val="1"/>
        <w:rPr>
          <w:rFonts w:ascii="宋体" w:hAnsi="宋体" w:eastAsia="宋体"/>
          <w:b/>
          <w:bCs/>
          <w:color w:val="auto"/>
          <w:sz w:val="24"/>
          <w:szCs w:val="18"/>
          <w:highlight w:val="none"/>
        </w:rPr>
      </w:pPr>
      <w:bookmarkStart w:id="12" w:name="_Toc8953"/>
      <w:bookmarkStart w:id="13" w:name="_Toc29151"/>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2"/>
      <w:r>
        <w:rPr>
          <w:rFonts w:hint="eastAsia" w:ascii="宋体" w:hAnsi="宋体" w:eastAsia="宋体"/>
          <w:b/>
          <w:bCs/>
          <w:color w:val="auto"/>
          <w:sz w:val="24"/>
          <w:highlight w:val="none"/>
        </w:rPr>
        <w:t>开启</w:t>
      </w:r>
      <w:bookmarkEnd w:id="13"/>
    </w:p>
    <w:p w14:paraId="6713681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09</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7BC327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18"/>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rPr>
        <w:t>全国公共资源交易平台（安徽省·宿州市）-不见面开标大厅</w:t>
      </w:r>
    </w:p>
    <w:p w14:paraId="5E59DA4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4" w:name="_Toc2060"/>
      <w:bookmarkStart w:id="15"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14"/>
    </w:p>
    <w:p w14:paraId="01F888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r>
        <w:rPr>
          <w:rFonts w:hint="eastAsia" w:asciiTheme="minorEastAsia" w:hAnsiTheme="minorEastAsia" w:eastAsiaTheme="minorEastAsia" w:cstheme="minorEastAsia"/>
          <w:bCs/>
          <w:sz w:val="24"/>
          <w:szCs w:val="24"/>
          <w:highlight w:val="none"/>
          <w:u w:val="none"/>
        </w:rPr>
        <w:t>自本公告发布之日起3个工作日。</w:t>
      </w:r>
    </w:p>
    <w:p w14:paraId="66FC406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6" w:name="_Toc10195"/>
      <w:bookmarkStart w:id="17" w:name="_Toc35393795"/>
      <w:bookmarkStart w:id="18" w:name="_Toc35393626"/>
      <w:r>
        <w:rPr>
          <w:rFonts w:hint="eastAsia" w:ascii="宋体" w:hAnsi="宋体" w:eastAsia="宋体"/>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6"/>
      <w:bookmarkEnd w:id="17"/>
      <w:bookmarkEnd w:id="18"/>
    </w:p>
    <w:p w14:paraId="7E9218CF">
      <w:pPr>
        <w:spacing w:line="360" w:lineRule="auto"/>
        <w:ind w:firstLine="480" w:firstLineChars="200"/>
        <w:rPr>
          <w:rFonts w:hint="eastAsia" w:ascii="宋体" w:hAnsi="宋体" w:eastAsia="宋体" w:cs="宋体"/>
          <w:sz w:val="24"/>
          <w:szCs w:val="24"/>
          <w:highlight w:val="none"/>
          <w:lang w:val="en-US" w:eastAsia="zh-CN"/>
        </w:rPr>
      </w:pPr>
      <w:bookmarkStart w:id="19" w:name="_Toc25606"/>
      <w:r>
        <w:rPr>
          <w:rFonts w:hint="eastAsia" w:ascii="宋体" w:hAnsi="宋体" w:eastAsia="宋体" w:cs="宋体"/>
          <w:sz w:val="24"/>
          <w:szCs w:val="24"/>
          <w:highlight w:val="none"/>
          <w:lang w:val="en-US" w:eastAsia="zh-CN"/>
        </w:rPr>
        <w:t>1、本招标项目电子投标文件的解密采用远程方式进行，投标人须在规定的时间内对其加密的电子投标文件进行解密，请提前登录系统，按《不见面开标大厅-投标人操作手册》提供的方法操作。解密时间不超过开始解密时间 30 分钟，若超过 30 分钟视为解密失败，按无效处理</w:t>
      </w:r>
    </w:p>
    <w:p w14:paraId="19D3063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2、本招标项目的询标、澄清等程序均采用远程方式进行，请各投标人在评审结束前不要离开电脑，按《投标人操作手册》提供的方法操作，询标响应时间不超过询标发起后 15 分钟，若超过 15 分钟，视为放弃解释权力，评委按不利于投标人解释处理。</w:t>
      </w:r>
    </w:p>
    <w:p w14:paraId="6F083814">
      <w:pPr>
        <w:numPr>
          <w:ilvl w:val="0"/>
          <w:numId w:val="1"/>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投标人自身原因导致解密失败的，风险由投标人自行承担。因投标人没有及时登录系统、未完成远程网上解密、询标、澄清等环节导致无法接受评审委员会评审等情形的风险，由投标人自行承担。</w:t>
      </w:r>
    </w:p>
    <w:p w14:paraId="5392B082">
      <w:pPr>
        <w:numPr>
          <w:ilvl w:val="0"/>
          <w:numId w:val="0"/>
        </w:numPr>
        <w:spacing w:line="360" w:lineRule="auto"/>
        <w:ind w:firstLine="482" w:firstLineChars="200"/>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八</w:t>
      </w:r>
      <w:r>
        <w:rPr>
          <w:rFonts w:hint="eastAsia" w:asciiTheme="minorEastAsia" w:hAnsiTheme="minorEastAsia" w:eastAsiaTheme="minorEastAsia"/>
          <w:b/>
          <w:color w:val="auto"/>
          <w:sz w:val="24"/>
          <w:highlight w:val="none"/>
        </w:rPr>
        <w:t>、</w:t>
      </w:r>
      <w:bookmarkEnd w:id="15"/>
      <w:r>
        <w:rPr>
          <w:rFonts w:hint="eastAsia" w:ascii="宋体" w:hAnsi="宋体" w:eastAsia="宋体"/>
          <w:b/>
          <w:bCs/>
          <w:color w:val="auto"/>
          <w:sz w:val="24"/>
          <w:szCs w:val="18"/>
          <w:highlight w:val="none"/>
        </w:rPr>
        <w:t>凡对本次采购提出询问，请按以下方式联系</w:t>
      </w:r>
      <w:bookmarkEnd w:id="19"/>
    </w:p>
    <w:p w14:paraId="53387FF1">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1.采购人信息</w:t>
      </w:r>
    </w:p>
    <w:p w14:paraId="3862CC25">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名    称：安徽省宿州市立医院</w:t>
      </w:r>
    </w:p>
    <w:p w14:paraId="460FE428">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    址：宿州市汴阳三路616号</w:t>
      </w:r>
    </w:p>
    <w:p w14:paraId="7F24F912">
      <w:pPr>
        <w:pStyle w:val="59"/>
        <w:ind w:left="0" w:leftChars="0" w:firstLine="420" w:firstLineChars="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w:t>
      </w:r>
      <w:r>
        <w:rPr>
          <w:rFonts w:hint="eastAsia" w:ascii="宋体" w:hAnsi="宋体" w:cs="宋体"/>
          <w:kern w:val="0"/>
          <w:sz w:val="24"/>
          <w:szCs w:val="24"/>
          <w:highlight w:val="none"/>
          <w:lang w:val="en-US" w:eastAsia="zh-CN" w:bidi="ar-SA"/>
        </w:rPr>
        <w:t>邵</w:t>
      </w:r>
      <w:r>
        <w:rPr>
          <w:rFonts w:hint="eastAsia" w:ascii="宋体" w:hAnsi="宋体" w:eastAsia="宋体" w:cs="宋体"/>
          <w:kern w:val="0"/>
          <w:sz w:val="24"/>
          <w:szCs w:val="24"/>
          <w:highlight w:val="none"/>
          <w:lang w:val="en-US" w:eastAsia="zh-CN" w:bidi="ar-SA"/>
        </w:rPr>
        <w:t>老师、</w:t>
      </w:r>
      <w:r>
        <w:rPr>
          <w:rFonts w:hint="eastAsia" w:ascii="宋体" w:hAnsi="宋体" w:cs="宋体"/>
          <w:kern w:val="0"/>
          <w:sz w:val="24"/>
          <w:szCs w:val="24"/>
          <w:highlight w:val="none"/>
          <w:lang w:val="en-US" w:eastAsia="zh-CN" w:bidi="ar-SA"/>
        </w:rPr>
        <w:t>17755769035</w:t>
      </w:r>
    </w:p>
    <w:p w14:paraId="60545BEA">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2.采购代理机构信息</w:t>
      </w:r>
    </w:p>
    <w:p w14:paraId="6E78C701">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名    称：安徽中技工程咨询有限公司</w:t>
      </w:r>
    </w:p>
    <w:p w14:paraId="52363A36">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    址：合肥市蜀山区合作化南路27号</w:t>
      </w:r>
    </w:p>
    <w:p w14:paraId="795E74D2">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项目联系人：王俊烈、李少明</w:t>
      </w:r>
    </w:p>
    <w:p w14:paraId="59470A4E">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电      话：17755795622、15656186680</w:t>
      </w:r>
    </w:p>
    <w:p w14:paraId="6D4B7F7C">
      <w:pPr>
        <w:pStyle w:val="59"/>
        <w:ind w:left="0" w:leftChars="0" w:firstLine="42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3.采购监督管理部门信息</w:t>
      </w:r>
    </w:p>
    <w:p w14:paraId="0C4BADD4">
      <w:pPr>
        <w:pStyle w:val="59"/>
        <w:ind w:left="0" w:leftChars="0" w:firstLine="420" w:firstLineChars="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名  称：</w:t>
      </w:r>
      <w:r>
        <w:rPr>
          <w:rFonts w:hint="default" w:ascii="宋体" w:hAnsi="宋体" w:eastAsia="宋体" w:cs="宋体"/>
          <w:kern w:val="0"/>
          <w:sz w:val="24"/>
          <w:szCs w:val="24"/>
          <w:highlight w:val="none"/>
          <w:lang w:val="en-US" w:eastAsia="zh-CN" w:bidi="ar-SA"/>
        </w:rPr>
        <w:t>宿州市卫生健康委员会</w:t>
      </w:r>
      <w:r>
        <w:rPr>
          <w:rFonts w:hint="eastAsia" w:ascii="宋体" w:hAnsi="宋体" w:eastAsia="宋体" w:cs="宋体"/>
          <w:kern w:val="0"/>
          <w:sz w:val="24"/>
          <w:szCs w:val="24"/>
          <w:highlight w:val="none"/>
          <w:lang w:val="en-US" w:eastAsia="zh-CN" w:bidi="ar-SA"/>
        </w:rPr>
        <w:t>     </w:t>
      </w:r>
    </w:p>
    <w:p w14:paraId="206A7615">
      <w:pPr>
        <w:pStyle w:val="59"/>
        <w:ind w:left="0" w:leftChars="0" w:firstLine="420" w:firstLineChars="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  址：</w:t>
      </w:r>
      <w:r>
        <w:rPr>
          <w:rFonts w:hint="default" w:ascii="宋体" w:hAnsi="宋体" w:eastAsia="宋体" w:cs="宋体"/>
          <w:kern w:val="0"/>
          <w:sz w:val="24"/>
          <w:szCs w:val="24"/>
          <w:highlight w:val="none"/>
          <w:lang w:val="en-US" w:eastAsia="zh-CN" w:bidi="ar-SA"/>
        </w:rPr>
        <w:t>安徽省宿州市埇桥区银河一路 530 号</w:t>
      </w:r>
      <w:r>
        <w:rPr>
          <w:rFonts w:hint="eastAsia" w:ascii="宋体" w:hAnsi="宋体" w:eastAsia="宋体" w:cs="宋体"/>
          <w:kern w:val="0"/>
          <w:sz w:val="24"/>
          <w:szCs w:val="24"/>
          <w:highlight w:val="none"/>
          <w:lang w:val="en-US" w:eastAsia="zh-CN" w:bidi="ar-SA"/>
        </w:rPr>
        <w:t> </w:t>
      </w:r>
    </w:p>
    <w:p w14:paraId="01E113CE">
      <w:pPr>
        <w:pStyle w:val="59"/>
        <w:ind w:left="0" w:leftChars="0" w:firstLine="420" w:firstLineChars="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w:t>
      </w:r>
      <w:r>
        <w:rPr>
          <w:rFonts w:hint="default" w:ascii="宋体" w:hAnsi="宋体" w:eastAsia="宋体" w:cs="宋体"/>
          <w:kern w:val="0"/>
          <w:sz w:val="24"/>
          <w:szCs w:val="24"/>
          <w:highlight w:val="none"/>
          <w:lang w:val="en-US" w:eastAsia="zh-CN" w:bidi="ar-SA"/>
        </w:rPr>
        <w:t>0557-3040047</w:t>
      </w:r>
      <w:r>
        <w:rPr>
          <w:rFonts w:hint="eastAsia" w:ascii="宋体" w:hAnsi="宋体" w:eastAsia="宋体" w:cs="宋体"/>
          <w:kern w:val="0"/>
          <w:sz w:val="24"/>
          <w:szCs w:val="24"/>
          <w:highlight w:val="none"/>
          <w:lang w:val="en-US" w:eastAsia="zh-CN" w:bidi="ar-SA"/>
        </w:rPr>
        <w:t>        </w:t>
      </w:r>
    </w:p>
    <w:p w14:paraId="54B5F3D3">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7FB4C75E">
      <w:pPr>
        <w:spacing w:line="360" w:lineRule="auto"/>
        <w:jc w:val="center"/>
        <w:outlineLvl w:val="0"/>
        <w:rPr>
          <w:rFonts w:asciiTheme="minorEastAsia" w:hAnsiTheme="minorEastAsia" w:eastAsiaTheme="minorEastAsia"/>
          <w:b/>
          <w:color w:val="auto"/>
          <w:sz w:val="28"/>
          <w:highlight w:val="none"/>
        </w:rPr>
      </w:pPr>
      <w:bookmarkStart w:id="20" w:name="_Toc2189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43830D7">
      <w:pPr>
        <w:spacing w:line="360" w:lineRule="auto"/>
        <w:jc w:val="center"/>
        <w:outlineLvl w:val="1"/>
        <w:rPr>
          <w:rFonts w:asciiTheme="minorEastAsia" w:hAnsiTheme="minorEastAsia" w:eastAsiaTheme="minorEastAsia"/>
          <w:b/>
          <w:color w:val="auto"/>
          <w:sz w:val="24"/>
          <w:highlight w:val="none"/>
        </w:rPr>
      </w:pPr>
      <w:bookmarkStart w:id="21" w:name="_Toc25752"/>
      <w:bookmarkStart w:id="22" w:name="_Toc2812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52415916">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1"/>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382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A44B06B">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44754C73">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39127C22">
            <w:pPr>
              <w:pStyle w:val="29"/>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5D6A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A0BE6E4">
            <w:pPr>
              <w:pStyle w:val="3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37AA2209">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67" w:type="pct"/>
            <w:vAlign w:val="center"/>
          </w:tcPr>
          <w:p w14:paraId="1AB1C9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04195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DFB6A5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C4E378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D142B2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49A0362">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49D1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656EDBE">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6.1</w:t>
            </w:r>
          </w:p>
        </w:tc>
        <w:tc>
          <w:tcPr>
            <w:tcW w:w="1160" w:type="pct"/>
            <w:vAlign w:val="center"/>
          </w:tcPr>
          <w:p w14:paraId="5B49433D">
            <w:pPr>
              <w:pStyle w:val="29"/>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38DFF3DE">
            <w:pPr>
              <w:pStyle w:val="29"/>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AA8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0EED9FE8">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60" w:type="pct"/>
            <w:vAlign w:val="center"/>
          </w:tcPr>
          <w:p w14:paraId="22ED3134">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2491FB9B">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3BED40E">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w:t>
            </w:r>
            <w:r>
              <w:rPr>
                <w:rFonts w:hint="eastAsia" w:ascii="宋体" w:hAnsi="宋体" w:eastAsia="宋体"/>
                <w:b w:val="0"/>
                <w:color w:val="auto"/>
                <w:sz w:val="24"/>
                <w:highlight w:val="none"/>
              </w:rPr>
              <w:t>谈判</w:t>
            </w:r>
            <w:r>
              <w:rPr>
                <w:rFonts w:hint="eastAsia" w:ascii="宋体" w:hAnsi="宋体" w:eastAsia="宋体"/>
                <w:b w:val="0"/>
                <w:bCs w:val="0"/>
                <w:color w:val="auto"/>
                <w:sz w:val="24"/>
                <w:szCs w:val="24"/>
                <w:highlight w:val="none"/>
              </w:rPr>
              <w:t>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A6D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2" w:type="pct"/>
            <w:vAlign w:val="center"/>
          </w:tcPr>
          <w:p w14:paraId="23F357BC">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1160" w:type="pct"/>
            <w:vAlign w:val="center"/>
          </w:tcPr>
          <w:p w14:paraId="2E18DA3A">
            <w:pPr>
              <w:pStyle w:val="2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7" w:type="pct"/>
            <w:vAlign w:val="center"/>
          </w:tcPr>
          <w:p w14:paraId="6388AE3D">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091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EE4D6C5">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1545E11A">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7" w:type="pct"/>
            <w:vAlign w:val="center"/>
          </w:tcPr>
          <w:p w14:paraId="4A391D0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90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017A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5CED1B4">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p>
        </w:tc>
        <w:tc>
          <w:tcPr>
            <w:tcW w:w="1160" w:type="pct"/>
            <w:vAlign w:val="center"/>
          </w:tcPr>
          <w:p w14:paraId="17D2B21B">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5AB850E">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30  </w:t>
            </w:r>
            <w:r>
              <w:rPr>
                <w:rFonts w:hint="eastAsia" w:ascii="宋体" w:hAnsi="宋体" w:eastAsia="宋体"/>
                <w:b w:val="0"/>
                <w:color w:val="auto"/>
                <w:sz w:val="24"/>
                <w:highlight w:val="none"/>
                <w:u w:val="none"/>
              </w:rPr>
              <w:t>分钟内</w:t>
            </w:r>
          </w:p>
        </w:tc>
      </w:tr>
      <w:tr w14:paraId="1ECA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CE175EA">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1160" w:type="pct"/>
            <w:vAlign w:val="center"/>
          </w:tcPr>
          <w:p w14:paraId="238092E2">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5AF69409">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7321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596F4E7E">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43B866C6">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7" w:type="pct"/>
            <w:vAlign w:val="center"/>
          </w:tcPr>
          <w:p w14:paraId="594FFC3E">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及以上</w:t>
            </w:r>
          </w:p>
          <w:p w14:paraId="32C7F7DD">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87C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13C594F3">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continue"/>
            <w:vAlign w:val="center"/>
          </w:tcPr>
          <w:p w14:paraId="5F7B42CE">
            <w:pPr>
              <w:pStyle w:val="29"/>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000A716E">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586FECE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3D54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00A765B">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150809F9">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67" w:type="pct"/>
            <w:vAlign w:val="center"/>
          </w:tcPr>
          <w:p w14:paraId="19543412">
            <w:pPr>
              <w:pStyle w:val="29"/>
              <w:widowControl w:val="0"/>
              <w:spacing w:before="0" w:beforeAutospacing="0" w:after="0" w:afterAutospacing="0" w:line="360" w:lineRule="auto"/>
              <w:jc w:val="both"/>
              <w:rPr>
                <w:rFonts w:hint="default" w:ascii="宋体" w:hAnsi="宋体" w:eastAsia="宋体" w:cs="@仿宋_GB2312"/>
                <w:b w:val="0"/>
                <w:bCs w:val="0"/>
                <w:color w:val="auto"/>
                <w:kern w:val="0"/>
                <w:sz w:val="24"/>
                <w:szCs w:val="24"/>
                <w:highlight w:val="none"/>
                <w:lang w:val="en-US" w:eastAsia="zh-CN" w:bidi="ar-SA"/>
              </w:rPr>
            </w:pPr>
            <w:r>
              <w:rPr>
                <w:rFonts w:hint="eastAsia" w:ascii="宋体" w:hAnsi="宋体" w:eastAsia="宋体" w:cs="@仿宋_GB2312"/>
                <w:b w:val="0"/>
                <w:bCs w:val="0"/>
                <w:color w:val="auto"/>
                <w:kern w:val="0"/>
                <w:sz w:val="24"/>
                <w:szCs w:val="24"/>
                <w:highlight w:val="none"/>
                <w:lang w:val="en-US" w:eastAsia="zh-CN" w:bidi="ar-SA"/>
              </w:rPr>
              <w:t>/</w:t>
            </w:r>
          </w:p>
        </w:tc>
      </w:tr>
      <w:tr w14:paraId="3B4C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97313BE">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1160" w:type="pct"/>
            <w:vAlign w:val="center"/>
          </w:tcPr>
          <w:p w14:paraId="6E32DCD5">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473B06B1">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□数据电文</w:t>
            </w:r>
          </w:p>
        </w:tc>
      </w:tr>
      <w:tr w14:paraId="2E18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72" w:type="pct"/>
            <w:vAlign w:val="center"/>
          </w:tcPr>
          <w:p w14:paraId="14EFCA03">
            <w:pPr>
              <w:pStyle w:val="3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cs="宋体"/>
                <w:b w:val="0"/>
                <w:bCs/>
                <w:color w:val="auto"/>
                <w:sz w:val="24"/>
                <w:szCs w:val="24"/>
                <w:highlight w:val="none"/>
                <w:lang w:val="en-US" w:eastAsia="zh-CN"/>
              </w:rPr>
              <w:t>24.1</w:t>
            </w:r>
          </w:p>
        </w:tc>
        <w:tc>
          <w:tcPr>
            <w:tcW w:w="1160" w:type="pct"/>
            <w:vAlign w:val="center"/>
          </w:tcPr>
          <w:p w14:paraId="7CCD7A71">
            <w:pPr>
              <w:pStyle w:val="29"/>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b w:val="0"/>
                <w:bCs/>
                <w:color w:val="auto"/>
                <w:sz w:val="24"/>
                <w:szCs w:val="24"/>
                <w:highlight w:val="none"/>
                <w:lang w:val="en-US" w:eastAsia="zh-CN"/>
              </w:rPr>
              <w:t>告知谈判结果的形式</w:t>
            </w:r>
          </w:p>
        </w:tc>
        <w:tc>
          <w:tcPr>
            <w:tcW w:w="3267" w:type="pct"/>
            <w:vAlign w:val="center"/>
          </w:tcPr>
          <w:p w14:paraId="0DBCEEB0">
            <w:pPr>
              <w:pStyle w:val="29"/>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46327259">
            <w:pPr>
              <w:pStyle w:val="29"/>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p w14:paraId="2A8A0DED">
            <w:pPr>
              <w:pStyle w:val="2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Cs/>
                <w:color w:val="auto"/>
                <w:kern w:val="0"/>
                <w:sz w:val="24"/>
                <w:szCs w:val="28"/>
                <w:highlight w:val="none"/>
                <w:u w:val="single"/>
              </w:rPr>
              <w:t xml:space="preserve">              </w:t>
            </w:r>
          </w:p>
        </w:tc>
      </w:tr>
      <w:tr w14:paraId="46DB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E0E99A0">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1A33D72C">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7663014E">
            <w:pPr>
              <w:spacing w:line="500" w:lineRule="exact"/>
              <w:rPr>
                <w:rFonts w:hint="eastAsia" w:ascii="仿宋" w:hAnsi="仿宋" w:eastAsia="仿宋" w:cs="宋体"/>
                <w:color w:val="000000"/>
                <w:sz w:val="28"/>
                <w:szCs w:val="28"/>
              </w:rPr>
            </w:pPr>
            <w:r>
              <w:rPr>
                <w:rFonts w:hint="eastAsia" w:ascii="仿宋" w:hAnsi="仿宋" w:eastAsia="仿宋" w:cs="宋体"/>
                <w:color w:val="000000"/>
                <w:sz w:val="28"/>
                <w:szCs w:val="28"/>
              </w:rPr>
              <w:t>1、履约保证金：中标供应商在签订合同时应提交合同总价2.5%的履约保证金。</w:t>
            </w:r>
          </w:p>
          <w:p w14:paraId="6FC069D3">
            <w:pPr>
              <w:spacing w:line="500" w:lineRule="exact"/>
              <w:rPr>
                <w:rFonts w:hint="eastAsia" w:ascii="仿宋" w:hAnsi="仿宋" w:eastAsia="仿宋" w:cs="宋体"/>
                <w:color w:val="000000"/>
                <w:sz w:val="28"/>
                <w:szCs w:val="28"/>
              </w:rPr>
            </w:pPr>
            <w:r>
              <w:rPr>
                <w:rFonts w:hint="eastAsia" w:ascii="仿宋" w:hAnsi="仿宋" w:eastAsia="仿宋" w:cs="宋体"/>
                <w:color w:val="000000"/>
                <w:sz w:val="28"/>
                <w:szCs w:val="28"/>
              </w:rPr>
              <w:t>2、履约保证金退还：</w:t>
            </w:r>
          </w:p>
          <w:p w14:paraId="57B9BF7E">
            <w:pPr>
              <w:spacing w:line="500" w:lineRule="exact"/>
              <w:rPr>
                <w:rFonts w:hint="eastAsia" w:ascii="仿宋" w:hAnsi="仿宋" w:eastAsia="仿宋" w:cs="宋体"/>
                <w:color w:val="000000"/>
                <w:sz w:val="28"/>
                <w:szCs w:val="28"/>
              </w:rPr>
            </w:pPr>
            <w:r>
              <w:rPr>
                <w:rFonts w:hint="eastAsia" w:ascii="仿宋" w:hAnsi="仿宋" w:eastAsia="仿宋" w:cs="宋体"/>
                <w:color w:val="000000"/>
                <w:sz w:val="28"/>
                <w:szCs w:val="28"/>
              </w:rPr>
              <w:t>（1）履约保证金的有效期为合同货物全部交货验收合格后5个工作日。如正常履约并验收合格后应于5个工作日内退还。</w:t>
            </w:r>
          </w:p>
          <w:p w14:paraId="340C7416">
            <w:pPr>
              <w:spacing w:line="500" w:lineRule="exact"/>
              <w:rPr>
                <w:rFonts w:hint="eastAsia" w:ascii="仿宋" w:hAnsi="仿宋" w:eastAsia="仿宋" w:cs="宋体"/>
                <w:color w:val="000000"/>
                <w:sz w:val="28"/>
                <w:szCs w:val="28"/>
              </w:rPr>
            </w:pPr>
            <w:r>
              <w:rPr>
                <w:rFonts w:hint="eastAsia" w:ascii="仿宋" w:hAnsi="仿宋" w:eastAsia="仿宋" w:cs="宋体"/>
                <w:color w:val="000000"/>
                <w:sz w:val="28"/>
                <w:szCs w:val="28"/>
              </w:rPr>
              <w:t>（2）履约保证金因中标人原因导致交货期限延长的，其履约保证金有效期应相应延长。</w:t>
            </w:r>
          </w:p>
          <w:p w14:paraId="18A3717C">
            <w:pPr>
              <w:spacing w:line="500" w:lineRule="exact"/>
              <w:rPr>
                <w:rFonts w:hint="eastAsia" w:ascii="仿宋" w:hAnsi="仿宋" w:eastAsia="仿宋" w:cs="宋体"/>
                <w:color w:val="000000"/>
                <w:sz w:val="28"/>
                <w:szCs w:val="28"/>
              </w:rPr>
            </w:pPr>
            <w:r>
              <w:rPr>
                <w:rFonts w:hint="eastAsia" w:ascii="仿宋" w:hAnsi="仿宋" w:eastAsia="仿宋" w:cs="宋体"/>
                <w:color w:val="000000"/>
                <w:sz w:val="28"/>
                <w:szCs w:val="28"/>
              </w:rPr>
              <w:t>（3）发生下列之一者，则不予退还履约保证金：</w:t>
            </w:r>
          </w:p>
          <w:p w14:paraId="0C384E26">
            <w:pPr>
              <w:spacing w:line="500" w:lineRule="exact"/>
              <w:ind w:firstLine="280" w:firstLineChars="100"/>
              <w:rPr>
                <w:rFonts w:hint="eastAsia" w:ascii="仿宋" w:hAnsi="仿宋" w:eastAsia="仿宋" w:cs="宋体"/>
                <w:color w:val="000000"/>
                <w:sz w:val="28"/>
                <w:szCs w:val="28"/>
              </w:rPr>
            </w:pPr>
            <w:r>
              <w:rPr>
                <w:rFonts w:ascii="仿宋" w:hAnsi="仿宋" w:eastAsia="仿宋" w:cs="Calibri"/>
                <w:color w:val="000000"/>
                <w:sz w:val="28"/>
                <w:szCs w:val="28"/>
              </w:rPr>
              <w:t>①</w:t>
            </w:r>
            <w:r>
              <w:rPr>
                <w:rFonts w:hint="eastAsia" w:ascii="仿宋" w:hAnsi="仿宋" w:eastAsia="仿宋" w:cs="宋体"/>
                <w:color w:val="000000"/>
                <w:sz w:val="28"/>
                <w:szCs w:val="28"/>
              </w:rPr>
              <w:t>中标人发生违约行为而完全终止合同；</w:t>
            </w:r>
          </w:p>
          <w:p w14:paraId="63C26FEF">
            <w:pPr>
              <w:spacing w:line="500" w:lineRule="exact"/>
              <w:ind w:firstLine="280" w:firstLineChars="100"/>
              <w:rPr>
                <w:rFonts w:hint="eastAsia" w:ascii="仿宋" w:hAnsi="仿宋" w:eastAsia="仿宋" w:cs="宋体"/>
                <w:color w:val="000000"/>
                <w:sz w:val="28"/>
                <w:szCs w:val="28"/>
              </w:rPr>
            </w:pPr>
            <w:r>
              <w:rPr>
                <w:rFonts w:ascii="仿宋" w:hAnsi="仿宋" w:eastAsia="仿宋" w:cs="Calibri"/>
                <w:color w:val="000000"/>
                <w:sz w:val="28"/>
                <w:szCs w:val="28"/>
              </w:rPr>
              <w:t>②</w:t>
            </w:r>
            <w:r>
              <w:rPr>
                <w:rFonts w:hint="eastAsia" w:ascii="仿宋" w:hAnsi="仿宋" w:eastAsia="仿宋" w:cs="宋体"/>
                <w:color w:val="000000"/>
                <w:sz w:val="28"/>
                <w:szCs w:val="28"/>
              </w:rPr>
              <w:t>中标人不履行实质性承诺。</w:t>
            </w:r>
          </w:p>
          <w:p w14:paraId="27B960F9">
            <w:pPr>
              <w:spacing w:line="500" w:lineRule="exact"/>
              <w:rPr>
                <w:rFonts w:hint="eastAsia" w:ascii="仿宋" w:hAnsi="仿宋" w:eastAsia="仿宋" w:cs="宋体"/>
                <w:color w:val="000000"/>
                <w:sz w:val="28"/>
                <w:szCs w:val="28"/>
              </w:rPr>
            </w:pPr>
            <w:r>
              <w:rPr>
                <w:rFonts w:hint="eastAsia" w:ascii="仿宋" w:hAnsi="仿宋" w:eastAsia="仿宋" w:cs="宋体"/>
                <w:color w:val="000000"/>
                <w:sz w:val="28"/>
                <w:szCs w:val="28"/>
              </w:rPr>
              <w:t>（4）履约保证金的退还或不予退还并不免除中标人对已交付合同货物的质量责任.</w:t>
            </w:r>
          </w:p>
          <w:p w14:paraId="67AAFA1D">
            <w:pPr>
              <w:spacing w:line="360" w:lineRule="auto"/>
              <w:rPr>
                <w:rFonts w:hint="eastAsia" w:ascii="仿宋" w:hAnsi="仿宋" w:eastAsia="仿宋" w:cs="宋体"/>
                <w:color w:val="000000"/>
                <w:sz w:val="28"/>
                <w:szCs w:val="28"/>
              </w:rPr>
            </w:pPr>
            <w:r>
              <w:rPr>
                <w:rFonts w:hint="eastAsia" w:ascii="仿宋" w:hAnsi="仿宋" w:eastAsia="仿宋" w:cs="宋体"/>
                <w:color w:val="000000"/>
                <w:sz w:val="28"/>
                <w:szCs w:val="28"/>
              </w:rPr>
              <w:t>3、履约保证金形式：转账、电汇、保函</w:t>
            </w:r>
            <w:r>
              <w:rPr>
                <w:rFonts w:hint="eastAsia" w:ascii="仿宋" w:hAnsi="仿宋" w:eastAsia="仿宋" w:cs="宋体"/>
                <w:color w:val="000000"/>
                <w:sz w:val="28"/>
                <w:szCs w:val="28"/>
                <w:lang w:eastAsia="zh-CN"/>
              </w:rPr>
              <w:t>、</w:t>
            </w:r>
            <w:r>
              <w:rPr>
                <w:rFonts w:hint="eastAsia" w:ascii="仿宋" w:hAnsi="仿宋" w:eastAsia="仿宋" w:cs="宋体"/>
                <w:color w:val="000000"/>
                <w:sz w:val="28"/>
                <w:szCs w:val="28"/>
                <w:lang w:val="en-US" w:eastAsia="zh-CN"/>
              </w:rPr>
              <w:t>保险</w:t>
            </w:r>
            <w:r>
              <w:rPr>
                <w:rFonts w:hint="eastAsia" w:ascii="仿宋" w:hAnsi="仿宋" w:eastAsia="仿宋" w:cs="宋体"/>
                <w:color w:val="000000"/>
                <w:sz w:val="28"/>
                <w:szCs w:val="28"/>
              </w:rPr>
              <w:t>。</w:t>
            </w:r>
          </w:p>
          <w:p w14:paraId="50F9F123">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6B963A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52BF6ED">
            <w:pPr>
              <w:pStyle w:val="29"/>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B26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E316B86">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58801999">
            <w:pPr>
              <w:pStyle w:val="29"/>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代理费用</w:t>
            </w:r>
          </w:p>
        </w:tc>
        <w:tc>
          <w:tcPr>
            <w:tcW w:w="3267" w:type="pct"/>
            <w:vAlign w:val="center"/>
          </w:tcPr>
          <w:p w14:paraId="563EFF97">
            <w:pPr>
              <w:pStyle w:val="60"/>
              <w:tabs>
                <w:tab w:val="left" w:pos="2213"/>
              </w:tabs>
              <w:spacing w:line="440" w:lineRule="atLeast"/>
              <w:rPr>
                <w:rFonts w:hint="eastAsia" w:ascii="仿宋" w:hAnsi="仿宋" w:eastAsia="仿宋" w:cs="Arial"/>
                <w:color w:val="000000"/>
                <w:sz w:val="28"/>
                <w:szCs w:val="28"/>
                <w:lang w:eastAsia="zh-CN"/>
              </w:rPr>
            </w:pPr>
            <w:r>
              <w:rPr>
                <w:rFonts w:hint="eastAsia" w:ascii="仿宋" w:hAnsi="仿宋" w:eastAsia="仿宋" w:cs="Arial"/>
                <w:color w:val="000000"/>
                <w:sz w:val="28"/>
                <w:szCs w:val="28"/>
              </w:rPr>
              <w:t>本项目采购代理服务费：代理服务费按照按计委计价格[2002]1980号文件和发改委发改价格 [2011]534号文件规定标准的60%，计取收费的计算基数为代理项目的中标金额，由中标人支付；</w:t>
            </w:r>
            <w:r>
              <w:rPr>
                <w:rFonts w:hint="eastAsia" w:ascii="仿宋" w:hAnsi="仿宋" w:eastAsia="仿宋" w:cs="Arial"/>
                <w:color w:val="000000"/>
                <w:sz w:val="28"/>
                <w:szCs w:val="28"/>
              </w:rPr>
              <w:br w:type="textWrapping"/>
            </w:r>
            <w:r>
              <w:rPr>
                <w:rFonts w:hint="eastAsia" w:ascii="仿宋" w:hAnsi="仿宋" w:eastAsia="仿宋" w:cs="Arial"/>
                <w:color w:val="000000"/>
                <w:sz w:val="28"/>
                <w:szCs w:val="28"/>
              </w:rPr>
              <w:t>成交供应商是否交纳采购代理服务费：</w:t>
            </w:r>
            <w:r>
              <w:rPr>
                <w:rFonts w:ascii="Segoe UI Symbol" w:hAnsi="Segoe UI Symbol" w:eastAsia="仿宋" w:cs="Segoe UI Symbol"/>
                <w:color w:val="000000"/>
                <w:sz w:val="28"/>
                <w:szCs w:val="28"/>
              </w:rPr>
              <w:t>☑</w:t>
            </w:r>
            <w:r>
              <w:rPr>
                <w:rFonts w:hint="eastAsia" w:ascii="仿宋" w:hAnsi="仿宋" w:eastAsia="仿宋" w:cs="仿宋"/>
                <w:color w:val="000000"/>
                <w:sz w:val="28"/>
                <w:szCs w:val="28"/>
              </w:rPr>
              <w:t>是</w:t>
            </w:r>
            <w:r>
              <w:rPr>
                <w:rFonts w:ascii="Calibri" w:hAnsi="Calibri" w:eastAsia="仿宋" w:cs="Calibri"/>
                <w:color w:val="000000"/>
                <w:sz w:val="28"/>
                <w:szCs w:val="28"/>
              </w:rPr>
              <w:t> </w:t>
            </w:r>
            <w:r>
              <w:rPr>
                <w:rFonts w:hint="eastAsia" w:ascii="仿宋" w:hAnsi="仿宋" w:eastAsia="仿宋" w:cs="Arial"/>
                <w:color w:val="000000"/>
                <w:sz w:val="28"/>
                <w:szCs w:val="28"/>
              </w:rPr>
              <w:t>□否</w:t>
            </w:r>
            <w:r>
              <w:rPr>
                <w:rFonts w:hint="eastAsia" w:ascii="仿宋" w:hAnsi="仿宋" w:eastAsia="仿宋" w:cs="Arial"/>
                <w:color w:val="000000"/>
                <w:sz w:val="28"/>
                <w:szCs w:val="28"/>
              </w:rPr>
              <w:br w:type="textWrapping"/>
            </w:r>
            <w:r>
              <w:rPr>
                <w:rFonts w:hint="eastAsia" w:ascii="仿宋" w:hAnsi="仿宋" w:eastAsia="仿宋" w:cs="Arial"/>
                <w:color w:val="000000"/>
                <w:sz w:val="28"/>
                <w:szCs w:val="28"/>
              </w:rPr>
              <w:t>（1）供应商总报价中应考虑采购代理服务费；</w:t>
            </w:r>
            <w:r>
              <w:rPr>
                <w:rFonts w:hint="eastAsia" w:ascii="仿宋" w:hAnsi="仿宋" w:eastAsia="仿宋" w:cs="Arial"/>
                <w:color w:val="000000"/>
                <w:sz w:val="28"/>
                <w:szCs w:val="28"/>
              </w:rPr>
              <w:br w:type="textWrapping"/>
            </w:r>
            <w:r>
              <w:rPr>
                <w:rFonts w:hint="eastAsia" w:ascii="仿宋" w:hAnsi="仿宋" w:eastAsia="仿宋" w:cs="Arial"/>
                <w:color w:val="000000"/>
                <w:sz w:val="28"/>
                <w:szCs w:val="28"/>
              </w:rPr>
              <w:t>（2）成交候选供应商被确定为成交供应商后，须在领取成交通知书之日起3个工作日内向</w:t>
            </w:r>
            <w:r>
              <w:rPr>
                <w:rFonts w:hint="eastAsia" w:ascii="仿宋" w:hAnsi="仿宋" w:eastAsia="仿宋" w:cs="Arial"/>
                <w:color w:val="000000"/>
                <w:sz w:val="28"/>
                <w:szCs w:val="28"/>
                <w:lang w:eastAsia="zh-CN"/>
              </w:rPr>
              <w:t>安徽中技工程咨询有限公司</w:t>
            </w:r>
            <w:r>
              <w:rPr>
                <w:rFonts w:hint="eastAsia" w:ascii="仿宋" w:hAnsi="仿宋" w:eastAsia="仿宋" w:cs="Arial"/>
                <w:color w:val="000000"/>
                <w:sz w:val="28"/>
                <w:szCs w:val="28"/>
              </w:rPr>
              <w:t>支付采购代理服务费。</w:t>
            </w:r>
            <w:r>
              <w:rPr>
                <w:rFonts w:hint="eastAsia" w:ascii="仿宋" w:hAnsi="仿宋" w:eastAsia="仿宋" w:cs="Arial"/>
                <w:color w:val="000000"/>
                <w:sz w:val="28"/>
                <w:szCs w:val="28"/>
              </w:rPr>
              <w:br w:type="textWrapping"/>
            </w:r>
            <w:r>
              <w:rPr>
                <w:rFonts w:hint="eastAsia" w:ascii="仿宋" w:hAnsi="仿宋" w:eastAsia="仿宋" w:cs="Arial"/>
                <w:color w:val="000000"/>
                <w:sz w:val="28"/>
                <w:szCs w:val="28"/>
              </w:rPr>
              <w:t>（3）采购代理服务费以汇款形式支付；</w:t>
            </w:r>
            <w:r>
              <w:rPr>
                <w:rFonts w:hint="eastAsia" w:ascii="仿宋" w:hAnsi="仿宋" w:eastAsia="仿宋" w:cs="Arial"/>
                <w:color w:val="000000"/>
                <w:sz w:val="28"/>
                <w:szCs w:val="28"/>
              </w:rPr>
              <w:br w:type="textWrapping"/>
            </w:r>
            <w:r>
              <w:rPr>
                <w:rFonts w:hint="eastAsia" w:ascii="仿宋" w:hAnsi="仿宋" w:eastAsia="仿宋" w:cs="Arial"/>
                <w:color w:val="000000"/>
                <w:sz w:val="28"/>
                <w:szCs w:val="28"/>
              </w:rPr>
              <w:t>（4）成交供应商须在以下账户交纳采购代理服务费：</w:t>
            </w:r>
            <w:r>
              <w:rPr>
                <w:rFonts w:hint="eastAsia" w:ascii="仿宋" w:hAnsi="仿宋" w:eastAsia="仿宋" w:cs="Arial"/>
                <w:color w:val="000000"/>
                <w:sz w:val="28"/>
                <w:szCs w:val="28"/>
              </w:rPr>
              <w:br w:type="textWrapping"/>
            </w:r>
            <w:r>
              <w:rPr>
                <w:rFonts w:hint="eastAsia" w:ascii="仿宋" w:hAnsi="仿宋" w:eastAsia="仿宋" w:cs="Arial"/>
                <w:color w:val="000000"/>
                <w:sz w:val="28"/>
                <w:szCs w:val="28"/>
              </w:rPr>
              <w:t>账户名：</w:t>
            </w:r>
            <w:r>
              <w:rPr>
                <w:rFonts w:hint="eastAsia" w:ascii="仿宋" w:hAnsi="仿宋" w:eastAsia="仿宋" w:cs="Arial"/>
                <w:color w:val="000000"/>
                <w:sz w:val="28"/>
                <w:szCs w:val="28"/>
                <w:lang w:eastAsia="zh-CN"/>
              </w:rPr>
              <w:t>安徽中技工程咨询有限公司</w:t>
            </w:r>
          </w:p>
          <w:p w14:paraId="001F4FF1">
            <w:pPr>
              <w:pStyle w:val="60"/>
              <w:tabs>
                <w:tab w:val="left" w:pos="2213"/>
              </w:tabs>
              <w:spacing w:line="440" w:lineRule="atLeast"/>
              <w:rPr>
                <w:rFonts w:hint="eastAsia" w:ascii="仿宋" w:hAnsi="仿宋" w:eastAsia="仿宋" w:cs="Arial"/>
                <w:color w:val="000000"/>
                <w:sz w:val="28"/>
                <w:szCs w:val="28"/>
                <w:lang w:eastAsia="zh-CN"/>
              </w:rPr>
            </w:pPr>
            <w:r>
              <w:rPr>
                <w:rFonts w:hint="eastAsia" w:ascii="仿宋" w:hAnsi="仿宋" w:eastAsia="仿宋" w:cs="Arial"/>
                <w:color w:val="000000"/>
                <w:sz w:val="28"/>
                <w:szCs w:val="28"/>
              </w:rPr>
              <w:t>开户银行：</w:t>
            </w:r>
            <w:r>
              <w:rPr>
                <w:rFonts w:hint="eastAsia" w:ascii="仿宋" w:hAnsi="仿宋" w:eastAsia="仿宋" w:cs="Arial"/>
                <w:color w:val="000000"/>
                <w:sz w:val="28"/>
                <w:szCs w:val="28"/>
                <w:lang w:eastAsia="zh-CN"/>
              </w:rPr>
              <w:t>交通银行合肥分行黄山路支行</w:t>
            </w:r>
          </w:p>
          <w:p w14:paraId="2B224BF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cs="@仿宋_GB2312"/>
                <w:b w:val="0"/>
                <w:bCs/>
                <w:color w:val="auto"/>
                <w:kern w:val="0"/>
                <w:sz w:val="24"/>
                <w:szCs w:val="28"/>
                <w:highlight w:val="none"/>
                <w:lang w:val="en-US" w:eastAsia="zh-CN" w:bidi="ar-SA"/>
              </w:rPr>
            </w:pPr>
            <w:r>
              <w:rPr>
                <w:rFonts w:hint="eastAsia" w:ascii="仿宋" w:hAnsi="仿宋" w:eastAsia="仿宋" w:cs="Arial"/>
                <w:color w:val="000000"/>
                <w:sz w:val="28"/>
                <w:szCs w:val="28"/>
              </w:rPr>
              <w:t>账号：</w:t>
            </w:r>
            <w:r>
              <w:rPr>
                <w:rFonts w:hint="eastAsia" w:ascii="仿宋" w:hAnsi="仿宋" w:eastAsia="仿宋" w:cs="Arial"/>
                <w:color w:val="000000"/>
                <w:sz w:val="28"/>
                <w:szCs w:val="28"/>
                <w:lang w:eastAsia="zh-CN"/>
              </w:rPr>
              <w:t>341314000018150070757</w:t>
            </w:r>
          </w:p>
        </w:tc>
      </w:tr>
      <w:tr w14:paraId="057C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CD13853">
            <w:pPr>
              <w:pStyle w:val="30"/>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7E33A68A">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5DB05C9A">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（1）采购人与成交供应商应当自发出成交通知书之日起30日内签订合同。</w:t>
            </w:r>
          </w:p>
          <w:p w14:paraId="10FCB7E8">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w:t>
            </w:r>
          </w:p>
        </w:tc>
      </w:tr>
      <w:tr w14:paraId="6AA1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8DD0A99">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2C84460F">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0043393B">
            <w:pPr>
              <w:pStyle w:val="29"/>
              <w:keepNext w:val="0"/>
              <w:keepLines w:val="0"/>
              <w:pageBreakBefore w:val="0"/>
              <w:widowControl w:val="0"/>
              <w:kinsoku w:val="0"/>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bCs w:val="0"/>
                <w:color w:val="auto"/>
                <w:kern w:val="0"/>
                <w:sz w:val="24"/>
                <w:szCs w:val="28"/>
                <w:highlight w:val="none"/>
                <w:u w:val="single"/>
              </w:rPr>
            </w:pPr>
            <w:r>
              <w:rPr>
                <w:rFonts w:hint="eastAsia" w:ascii="宋体" w:hAnsi="宋体" w:eastAsia="宋体"/>
                <w:b w:val="0"/>
                <w:color w:val="auto"/>
                <w:sz w:val="24"/>
                <w:highlight w:val="none"/>
              </w:rPr>
              <w:t>递交方式：</w:t>
            </w:r>
            <w:r>
              <w:rPr>
                <w:rFonts w:hint="eastAsia" w:ascii="宋体" w:hAnsi="宋体" w:eastAsia="宋体"/>
                <w:b w:val="0"/>
                <w:bCs w:val="0"/>
                <w:color w:val="auto"/>
                <w:kern w:val="0"/>
                <w:sz w:val="24"/>
                <w:szCs w:val="28"/>
                <w:highlight w:val="none"/>
                <w:u w:val="single"/>
              </w:rPr>
              <w:t>按采购公告载明的采购人或采购代理机构信息，向其提出。</w:t>
            </w:r>
            <w:r>
              <w:rPr>
                <w:rFonts w:hint="eastAsia" w:ascii="宋体" w:hAnsi="宋体" w:eastAsia="宋体"/>
                <w:b w:val="0"/>
                <w:bCs w:val="0"/>
                <w:color w:val="auto"/>
                <w:kern w:val="0"/>
                <w:sz w:val="24"/>
                <w:szCs w:val="28"/>
                <w:highlight w:val="none"/>
                <w:u w:val="single"/>
                <w:lang w:val="en-US" w:eastAsia="zh-CN"/>
              </w:rPr>
              <w:t>也</w:t>
            </w:r>
            <w:r>
              <w:rPr>
                <w:rFonts w:hint="eastAsia" w:ascii="宋体" w:hAnsi="宋体" w:eastAsia="宋体"/>
                <w:b w:val="0"/>
                <w:bCs w:val="0"/>
                <w:color w:val="auto"/>
                <w:kern w:val="0"/>
                <w:sz w:val="24"/>
                <w:szCs w:val="28"/>
                <w:highlight w:val="none"/>
                <w:u w:val="single"/>
              </w:rPr>
              <w:t>可登录电子交易系统</w:t>
            </w:r>
          </w:p>
          <w:p w14:paraId="6E991426">
            <w:pPr>
              <w:pStyle w:val="29"/>
              <w:keepNext w:val="0"/>
              <w:keepLines w:val="0"/>
              <w:pageBreakBefore w:val="0"/>
              <w:widowControl w:val="0"/>
              <w:kinsoku w:val="0"/>
              <w:wordWrap w:val="0"/>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u w:val="single"/>
              </w:rPr>
              <w:t>http://60.171.247.212:8111/TPBidder/memberLogin 点击网上“质疑菜单”发起在线质疑，招标人或招标代理会在约定期限内做出答复。</w:t>
            </w:r>
          </w:p>
          <w:p w14:paraId="7EB230AB">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接收部门：</w:t>
            </w:r>
            <w:r>
              <w:rPr>
                <w:rFonts w:hint="eastAsia" w:ascii="宋体" w:hAnsi="宋体" w:eastAsia="宋体"/>
                <w:b w:val="0"/>
                <w:bCs w:val="0"/>
                <w:color w:val="auto"/>
                <w:kern w:val="0"/>
                <w:sz w:val="24"/>
                <w:szCs w:val="28"/>
                <w:highlight w:val="none"/>
                <w:u w:val="single"/>
                <w:lang w:eastAsia="zh-CN"/>
              </w:rPr>
              <w:t>安徽省宿州市立医院、</w:t>
            </w:r>
            <w:r>
              <w:rPr>
                <w:rFonts w:hint="eastAsia" w:ascii="宋体" w:hAnsi="宋体" w:eastAsia="宋体"/>
                <w:b w:val="0"/>
                <w:bCs w:val="0"/>
                <w:color w:val="auto"/>
                <w:kern w:val="0"/>
                <w:sz w:val="24"/>
                <w:szCs w:val="28"/>
                <w:highlight w:val="none"/>
                <w:u w:val="single"/>
              </w:rPr>
              <w:t xml:space="preserve"> </w:t>
            </w:r>
            <w:r>
              <w:rPr>
                <w:rFonts w:hint="eastAsia" w:ascii="宋体" w:hAnsi="宋体" w:eastAsia="宋体"/>
                <w:b w:val="0"/>
                <w:bCs w:val="0"/>
                <w:color w:val="auto"/>
                <w:kern w:val="0"/>
                <w:sz w:val="24"/>
                <w:szCs w:val="28"/>
                <w:highlight w:val="none"/>
                <w:u w:val="single"/>
                <w:lang w:eastAsia="zh-CN"/>
              </w:rPr>
              <w:t>安徽中技工程咨询有限公司</w:t>
            </w:r>
          </w:p>
        </w:tc>
      </w:tr>
      <w:tr w14:paraId="023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CA744EB">
            <w:pPr>
              <w:pStyle w:val="30"/>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w:t>
            </w:r>
          </w:p>
        </w:tc>
        <w:tc>
          <w:tcPr>
            <w:tcW w:w="1160" w:type="pct"/>
            <w:vAlign w:val="center"/>
          </w:tcPr>
          <w:p w14:paraId="513228D0">
            <w:pPr>
              <w:pStyle w:val="29"/>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267" w:type="pct"/>
            <w:vAlign w:val="center"/>
          </w:tcPr>
          <w:p w14:paraId="718C588D">
            <w:pPr>
              <w:pStyle w:val="29"/>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7B39DDF4">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7C1A80E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5597C2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4E61A64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C28A71C">
            <w:pPr>
              <w:pStyle w:val="29"/>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tc>
      </w:tr>
    </w:tbl>
    <w:p w14:paraId="16668ADC">
      <w:pPr>
        <w:spacing w:line="360" w:lineRule="auto"/>
        <w:jc w:val="center"/>
        <w:outlineLvl w:val="1"/>
        <w:rPr>
          <w:rFonts w:ascii="宋体" w:hAnsi="宋体" w:eastAsia="宋体"/>
          <w:color w:val="auto"/>
          <w:sz w:val="24"/>
          <w:highlight w:val="none"/>
        </w:rPr>
      </w:pPr>
      <w:r>
        <w:rPr>
          <w:rFonts w:asciiTheme="minorEastAsia" w:hAnsiTheme="minorEastAsia" w:eastAsiaTheme="minorEastAsia"/>
          <w:b/>
          <w:color w:val="auto"/>
          <w:sz w:val="28"/>
          <w:highlight w:val="none"/>
        </w:rPr>
        <w:br w:type="page"/>
      </w:r>
      <w:bookmarkStart w:id="23" w:name="_Toc11602"/>
      <w:bookmarkStart w:id="24" w:name="_Toc1915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3"/>
      <w:bookmarkEnd w:id="24"/>
    </w:p>
    <w:p w14:paraId="101F93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color w:val="auto"/>
          <w:highlight w:val="none"/>
        </w:rPr>
        <w:t xml:space="preserve"> </w:t>
      </w:r>
      <w:r>
        <w:rPr>
          <w:rFonts w:hint="eastAsia" w:asciiTheme="minorEastAsia" w:hAnsiTheme="minorEastAsia" w:eastAsiaTheme="minorEastAsia"/>
          <w:b/>
          <w:color w:val="auto"/>
          <w:sz w:val="24"/>
          <w:highlight w:val="none"/>
        </w:rPr>
        <w:t>采购人、采购代理机构及供应商</w:t>
      </w:r>
    </w:p>
    <w:p w14:paraId="44CEDE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.1采购人：是指依法开展采购活动的国家机关、事业单位、团体组织。</w:t>
      </w:r>
    </w:p>
    <w:p w14:paraId="343DC7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F90F4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.3采购监督管理部门：</w:t>
      </w:r>
      <w:r>
        <w:rPr>
          <w:rFonts w:hint="eastAsia" w:ascii="宋体" w:hAnsi="宋体" w:eastAsia="宋体"/>
          <w:color w:val="auto"/>
          <w:sz w:val="24"/>
          <w:highlight w:val="none"/>
        </w:rPr>
        <w:t>各级人民政府指定的有关部门依法履行与采购活动有关的监督管理职责。</w:t>
      </w:r>
    </w:p>
    <w:p w14:paraId="31080C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分支机构不得参加采购活动，但银行、保险、石油石化、电力、电信等特殊行业除外。</w:t>
      </w:r>
      <w:bookmarkStart w:id="25" w:name="_Hlk60264251"/>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须满足以下条件：</w:t>
      </w:r>
    </w:p>
    <w:p w14:paraId="7728D2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w:t>
      </w:r>
      <w:r>
        <w:rPr>
          <w:rFonts w:hint="eastAsia" w:ascii="宋体" w:hAnsi="宋体" w:eastAsia="宋体"/>
          <w:color w:val="auto"/>
          <w:sz w:val="24"/>
          <w:highlight w:val="none"/>
          <w:lang w:val="en-US" w:eastAsia="zh-CN"/>
        </w:rPr>
        <w:t>公告要求</w:t>
      </w:r>
      <w:r>
        <w:rPr>
          <w:rFonts w:ascii="宋体" w:hAnsi="宋体" w:eastAsia="宋体"/>
          <w:color w:val="auto"/>
          <w:sz w:val="24"/>
          <w:highlight w:val="none"/>
        </w:rPr>
        <w:t>供应商条件的规定，遵守本项目采购人本级和上级部门采购的有关规定。</w:t>
      </w:r>
    </w:p>
    <w:p w14:paraId="4A0DAC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38E2CA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059CB4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25"/>
    <w:p w14:paraId="0CC9934E">
      <w:pPr>
        <w:spacing w:line="360" w:lineRule="auto"/>
        <w:ind w:firstLine="435"/>
        <w:rPr>
          <w:rFonts w:ascii="宋体" w:hAnsi="宋体" w:eastAsia="宋体"/>
          <w:color w:val="auto"/>
          <w:sz w:val="24"/>
          <w:highlight w:val="none"/>
        </w:rPr>
      </w:pPr>
      <w:bookmarkStart w:id="26" w:name="_Hlk60611047"/>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bookmarkEnd w:id="26"/>
    <w:p w14:paraId="38C55D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文件获取手续由联合体中任一成员单位办理均可。</w:t>
      </w:r>
    </w:p>
    <w:p w14:paraId="780BD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w:t>
      </w:r>
      <w:r>
        <w:rPr>
          <w:rFonts w:hint="eastAsia" w:ascii="宋体" w:hAnsi="宋体" w:eastAsia="宋体"/>
          <w:color w:val="auto"/>
          <w:sz w:val="24"/>
          <w:highlight w:val="none"/>
          <w:lang w:val="en-US" w:eastAsia="zh-CN"/>
        </w:rPr>
        <w:t>相关法律</w:t>
      </w:r>
      <w:r>
        <w:rPr>
          <w:rFonts w:ascii="宋体" w:hAnsi="宋体" w:eastAsia="宋体"/>
          <w:color w:val="auto"/>
          <w:sz w:val="24"/>
          <w:highlight w:val="none"/>
        </w:rPr>
        <w:t>规定的条件。</w:t>
      </w:r>
    </w:p>
    <w:p w14:paraId="600710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4FD533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21F77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1BB0EB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797B9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6E75BB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6B0A365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25ECBFD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53D90C5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7C57E1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6548771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5A81F7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本项目采购人、采购代理机构、供应商、谈判小组的相关行为均受采购有关规定的约束，其权利受到上述法律法规的保护。</w:t>
      </w:r>
    </w:p>
    <w:p w14:paraId="5BD1AE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673D8F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7455A63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4FD7338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904E97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8A9AF7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BF2EBB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采购合同</w:t>
      </w:r>
    </w:p>
    <w:p w14:paraId="5B5FCAF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0DA5863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7293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2569EE9">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提供样品。仅凭书面方式不能准确描述采购需求，或者需要对样品进行主观判断以确认是否满足采购需求等特殊情况除外。</w:t>
      </w:r>
    </w:p>
    <w:p w14:paraId="70492F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如需提供样品，对样品相关要求见采购需求，对样品的评审方法及评审标准见谈判文件第四章。</w:t>
      </w:r>
    </w:p>
    <w:p w14:paraId="2C110B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5F7532E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7E6CC2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6037D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网上</w:t>
      </w:r>
      <w:r>
        <w:rPr>
          <w:rFonts w:hint="eastAsia" w:asciiTheme="minorEastAsia" w:hAnsiTheme="minorEastAsia" w:eastAsiaTheme="minorEastAsia"/>
          <w:color w:val="auto"/>
          <w:sz w:val="24"/>
          <w:highlight w:val="none"/>
        </w:rPr>
        <w:t>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452C7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5F2B7EA">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479E282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4D97F1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FE3DE7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22931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无论谈判文件中是否要求，供应商所投货物及伴随的服务和工程均应符合国家强制性标准。</w:t>
      </w:r>
    </w:p>
    <w:p w14:paraId="2A8D52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7B0A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328159C0">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8748E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76F6BDD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w:t>
      </w:r>
    </w:p>
    <w:bookmarkEnd w:id="27"/>
    <w:p w14:paraId="21E9A4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05C862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48BD5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0C9E63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A16B8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DFD6F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6AB8C7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2641AA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14:paraId="3036E34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08E4B2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16B73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503A1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3C114C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21BA69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3A6AB7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3BA2F501">
      <w:pPr>
        <w:spacing w:line="360" w:lineRule="auto"/>
        <w:ind w:firstLine="435"/>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29C5EB5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58FB801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36395F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单数组成，谈判小组及其成员应当依照采购的有关规定履行相关职责和义务。</w:t>
      </w:r>
    </w:p>
    <w:p w14:paraId="5CBC2F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2B82BF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.3谈判小组应当从质量和服务均能满足谈判文件实质性响应要求的供应商中，按照评审办法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3954067B">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61A6F3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规定的时间和地点组织谈判。</w:t>
      </w:r>
    </w:p>
    <w:p w14:paraId="029152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2竞争性谈判采用最低评标价法评审。</w:t>
      </w:r>
    </w:p>
    <w:p w14:paraId="6B838F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0862BF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422443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1F0A873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38BB10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F7D8AE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8884E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.3.2谈判。初审合格后，谈判小组将按网上加密电子响应文件提交顺序集中与单一供应商分别进行谈判，并给予所有参加谈判的供应商平等的谈判机会。</w:t>
      </w:r>
    </w:p>
    <w:p w14:paraId="64928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5C661CF">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val="0"/>
          <w:bCs w:val="0"/>
          <w:sz w:val="24"/>
          <w:highlight w:val="none"/>
          <w:lang w:val="en-US" w:eastAsia="zh-CN"/>
        </w:rPr>
        <w:t>异常低价响应审查。</w:t>
      </w:r>
      <w:r>
        <w:rPr>
          <w:rFonts w:hint="eastAsia" w:ascii="宋体" w:hAnsi="宋体" w:eastAsia="宋体"/>
          <w:color w:val="0000FF"/>
          <w:sz w:val="24"/>
          <w:highlight w:val="none"/>
          <w:lang w:val="en-US" w:eastAsia="zh-CN"/>
        </w:rPr>
        <w:t>参照</w:t>
      </w:r>
      <w:r>
        <w:rPr>
          <w:rFonts w:hint="eastAsia" w:ascii="宋体" w:hAnsi="宋体" w:eastAsia="宋体"/>
          <w:color w:val="0000FF"/>
          <w:sz w:val="24"/>
          <w:highlight w:val="none"/>
        </w:rPr>
        <w:t>《</w:t>
      </w:r>
      <w:r>
        <w:rPr>
          <w:rFonts w:hint="eastAsia" w:ascii="宋体" w:hAnsi="宋体" w:eastAsia="宋体"/>
          <w:color w:val="0000FF"/>
          <w:sz w:val="24"/>
          <w:highlight w:val="none"/>
          <w:lang w:val="en-US" w:eastAsia="zh-CN"/>
        </w:rPr>
        <w:t>关于推进解决政府采购异常低价问题的通知</w:t>
      </w:r>
      <w:r>
        <w:rPr>
          <w:rFonts w:hint="eastAsia" w:ascii="宋体" w:hAnsi="宋体" w:eastAsia="宋体"/>
          <w:color w:val="0000FF"/>
          <w:sz w:val="24"/>
          <w:highlight w:val="none"/>
        </w:rPr>
        <w:t>》（财库〔</w:t>
      </w:r>
      <w:r>
        <w:rPr>
          <w:rFonts w:ascii="宋体" w:hAnsi="宋体" w:eastAsia="宋体"/>
          <w:color w:val="0000FF"/>
          <w:sz w:val="24"/>
          <w:highlight w:val="none"/>
        </w:rPr>
        <w:t>202</w:t>
      </w:r>
      <w:r>
        <w:rPr>
          <w:rFonts w:hint="eastAsia" w:ascii="宋体" w:hAnsi="宋体" w:eastAsia="宋体"/>
          <w:color w:val="0000FF"/>
          <w:sz w:val="24"/>
          <w:highlight w:val="none"/>
          <w:lang w:val="en-US" w:eastAsia="zh-CN"/>
        </w:rPr>
        <w:t>6</w:t>
      </w:r>
      <w:r>
        <w:rPr>
          <w:rFonts w:ascii="宋体" w:hAnsi="宋体" w:eastAsia="宋体"/>
          <w:color w:val="0000FF"/>
          <w:sz w:val="24"/>
          <w:highlight w:val="none"/>
        </w:rPr>
        <w:t>〕</w:t>
      </w:r>
      <w:r>
        <w:rPr>
          <w:rFonts w:hint="eastAsia" w:ascii="宋体" w:hAnsi="宋体" w:eastAsia="宋体"/>
          <w:color w:val="0000FF"/>
          <w:sz w:val="24"/>
          <w:highlight w:val="none"/>
          <w:lang w:val="en-US" w:eastAsia="zh-CN"/>
        </w:rPr>
        <w:t>2</w:t>
      </w:r>
      <w:r>
        <w:rPr>
          <w:rFonts w:ascii="宋体" w:hAnsi="宋体" w:eastAsia="宋体"/>
          <w:color w:val="0000FF"/>
          <w:sz w:val="24"/>
          <w:highlight w:val="none"/>
        </w:rPr>
        <w:t>号</w:t>
      </w:r>
      <w:r>
        <w:rPr>
          <w:rFonts w:hint="eastAsia" w:ascii="宋体" w:hAnsi="宋体" w:eastAsia="宋体"/>
          <w:color w:val="0000FF"/>
          <w:sz w:val="24"/>
          <w:highlight w:val="none"/>
        </w:rPr>
        <w:t>）</w:t>
      </w:r>
      <w:r>
        <w:rPr>
          <w:rFonts w:hint="eastAsia" w:ascii="宋体" w:hAnsi="宋体" w:eastAsia="宋体"/>
          <w:color w:val="0000FF"/>
          <w:sz w:val="24"/>
          <w:highlight w:val="none"/>
          <w:lang w:eastAsia="zh-CN"/>
        </w:rPr>
        <w:t>，</w:t>
      </w:r>
      <w:r>
        <w:rPr>
          <w:rFonts w:hint="eastAsia" w:ascii="宋体" w:hAnsi="宋体" w:eastAsia="宋体"/>
          <w:color w:val="0000FF"/>
          <w:sz w:val="24"/>
          <w:highlight w:val="none"/>
          <w:lang w:val="en-US" w:eastAsia="zh-CN"/>
        </w:rPr>
        <w:t>谈判小组进行异常低价响应审查。</w:t>
      </w:r>
    </w:p>
    <w:p w14:paraId="2117BE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7889C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271087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718D22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02F696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5086D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p>
    <w:p w14:paraId="2F63E2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5E29EEB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60D48D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4DA98F1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54F1B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F9DFE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（4）采购法律法规规定的其他情形。</w:t>
      </w:r>
    </w:p>
    <w:p w14:paraId="5D5658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1A6A794">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836E412">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0D1D221F">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而无法接受谈判小组询标的，供应商自行承担相关风险。</w:t>
      </w:r>
    </w:p>
    <w:p w14:paraId="48E7B59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5EB59C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p>
    <w:p w14:paraId="719EFD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6E3BE1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3E0D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6532FD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.1如一个分包内只有一种产品，不同供应商所投产品为同一品牌同一型号的，提供相同品牌</w:t>
      </w:r>
      <w:r>
        <w:rPr>
          <w:rFonts w:hint="eastAsia" w:ascii="宋体" w:hAnsi="宋体" w:eastAsia="宋体"/>
          <w:color w:val="auto"/>
          <w:sz w:val="24"/>
          <w:highlight w:val="none"/>
        </w:rPr>
        <w:t>相同型号</w:t>
      </w:r>
      <w:r>
        <w:rPr>
          <w:rFonts w:hint="eastAsia" w:asciiTheme="minorEastAsia" w:hAnsiTheme="minorEastAsia" w:eastAsiaTheme="minorEastAsia"/>
          <w:color w:val="auto"/>
          <w:sz w:val="24"/>
          <w:highlight w:val="none"/>
        </w:rPr>
        <w:t>产品的不同供应商，以其通过初审</w:t>
      </w:r>
      <w:r>
        <w:rPr>
          <w:rFonts w:hint="eastAsia" w:asciiTheme="minorEastAsia" w:hAnsiTheme="minorEastAsia" w:eastAsiaTheme="minorEastAsia"/>
          <w:sz w:val="24"/>
          <w:highlight w:val="none"/>
          <w:lang w:eastAsia="zh-CN"/>
        </w:rPr>
        <w:t>、异常低价响应审查</w:t>
      </w:r>
      <w:r>
        <w:rPr>
          <w:rFonts w:hint="eastAsia" w:asciiTheme="minorEastAsia" w:hAnsiTheme="minorEastAsia" w:eastAsiaTheme="minorEastAsia"/>
          <w:color w:val="auto"/>
          <w:sz w:val="24"/>
          <w:highlight w:val="none"/>
        </w:rPr>
        <w:t>且最后报价最低的供应商获得成交候选人推荐资格；最后报价相同的，则所投产品为节能产品、环境标志产品、不发达地区或少数民族地区产品者优先；最后报价相同且所投产品同为节能产品、环境标志产品、不发达地区或少数民族地区产品的，则由谈判小组采取随机抽取方式确定。</w:t>
      </w:r>
    </w:p>
    <w:p w14:paraId="6A1128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.2如一个分包内包含多种产品的，采购人或采购代理机构将在</w:t>
      </w:r>
      <w:r>
        <w:rPr>
          <w:rFonts w:hint="eastAsia" w:asciiTheme="minorEastAsia" w:hAnsiTheme="minorEastAsia" w:eastAsiaTheme="minorEastAsia"/>
          <w:color w:val="auto"/>
          <w:sz w:val="24"/>
          <w:highlight w:val="none"/>
          <w:lang w:val="en-US" w:eastAsia="zh-CN"/>
        </w:rPr>
        <w:t>采购需求</w:t>
      </w:r>
      <w:r>
        <w:rPr>
          <w:rFonts w:hint="eastAsia" w:asciiTheme="minorEastAsia" w:hAnsiTheme="minorEastAsia" w:eastAsiaTheme="minorEastAsia"/>
          <w:color w:val="auto"/>
          <w:sz w:val="24"/>
          <w:highlight w:val="none"/>
        </w:rPr>
        <w:t>中载明核心产品，多家供应商提供的核心产品品牌型号相同的，按第</w:t>
      </w:r>
      <w:r>
        <w:rPr>
          <w:rFonts w:hint="eastAsia" w:asciiTheme="minorEastAsia" w:hAnsiTheme="minorEastAsia" w:eastAsiaTheme="minorEastAsia"/>
          <w:color w:val="auto"/>
          <w:sz w:val="24"/>
          <w:highlight w:val="none"/>
          <w:lang w:val="en-US" w:eastAsia="zh-CN"/>
        </w:rPr>
        <w:t>18.1</w:t>
      </w:r>
      <w:r>
        <w:rPr>
          <w:rFonts w:hint="eastAsia" w:asciiTheme="minorEastAsia" w:hAnsiTheme="minorEastAsia" w:eastAsiaTheme="minorEastAsia"/>
          <w:color w:val="auto"/>
          <w:sz w:val="24"/>
          <w:highlight w:val="none"/>
        </w:rPr>
        <w:t>款规定处理。</w:t>
      </w:r>
    </w:p>
    <w:p w14:paraId="0E0281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w:t>
      </w:r>
    </w:p>
    <w:p w14:paraId="092B46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29D60B3C">
      <w:pPr>
        <w:spacing w:line="360" w:lineRule="auto"/>
        <w:ind w:firstLine="470" w:firstLineChars="196"/>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71229C72">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2693A8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4479C70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A2CEDF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4F85A3D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50AE607">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4FD790E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r>
        <w:rPr>
          <w:rFonts w:hint="eastAsia" w:ascii="宋体" w:hAnsi="宋体" w:eastAsia="宋体"/>
          <w:color w:val="auto"/>
          <w:sz w:val="24"/>
          <w:szCs w:val="18"/>
          <w:highlight w:val="none"/>
          <w:lang w:val="en-US" w:eastAsia="zh-CN"/>
        </w:rPr>
        <w:t>网</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68D564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15E7638">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0709D03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1E90744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4712008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.3成交通知书是合同的组成部分。</w:t>
      </w:r>
    </w:p>
    <w:p w14:paraId="46932A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79B8FCF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7A07E4D4">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CEBA4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7015E3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C1CD4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02B218C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6CB914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56F33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226E2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的时间内完成采购合同签订及合同公告。</w:t>
      </w:r>
    </w:p>
    <w:p w14:paraId="0AC727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.2谈判文件、成交供应商的响应文件及其澄清文件等，均为签订合同的依据。</w:t>
      </w:r>
    </w:p>
    <w:p w14:paraId="170A9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14:paraId="4DE9F81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5A14A57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.1采购代理机构工作人员不得以不正当手段获取采购代理业务，不得与采购人、供应商恶意串通。</w:t>
      </w:r>
    </w:p>
    <w:p w14:paraId="47E94F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7F2F10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0D4044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.1供应商认为谈判文件、采购过程和成交结果使自己的权益受到损害的，可以在知道或者应知其权益受到损害之日起七个工作日内，以书面形式向采购人或其委托的采购代理机构提出质疑。</w:t>
      </w:r>
    </w:p>
    <w:p w14:paraId="0A44B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质疑供应商应按照制定的《采购质疑函范本》格式和《采购质疑和投诉办法》的要求，在法定质疑期内以书面形式提出质疑，超出法定质疑期提交的质疑将被拒绝。针对同一采购程序环节的质疑应一次性提出。</w:t>
      </w:r>
    </w:p>
    <w:p w14:paraId="38FB1E1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2AEF0F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E139F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.需要补充的其他内容</w:t>
      </w:r>
    </w:p>
    <w:p w14:paraId="7C2E2D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680DCBA">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84BB19E">
      <w:pPr>
        <w:spacing w:line="360" w:lineRule="auto"/>
        <w:jc w:val="center"/>
        <w:outlineLvl w:val="0"/>
        <w:rPr>
          <w:rFonts w:asciiTheme="minorEastAsia" w:hAnsiTheme="minorEastAsia" w:eastAsiaTheme="minorEastAsia"/>
          <w:b/>
          <w:color w:val="auto"/>
          <w:sz w:val="28"/>
          <w:highlight w:val="none"/>
        </w:rPr>
      </w:pPr>
      <w:bookmarkStart w:id="28" w:name="_Toc25461"/>
      <w:r>
        <w:rPr>
          <w:rFonts w:hint="eastAsia" w:asciiTheme="minorEastAsia" w:hAnsiTheme="minorEastAsia" w:eastAsiaTheme="minorEastAsia"/>
          <w:b/>
          <w:color w:val="auto"/>
          <w:sz w:val="28"/>
          <w:highlight w:val="none"/>
        </w:rPr>
        <w:t>第三章  采购需求</w:t>
      </w:r>
      <w:bookmarkEnd w:id="28"/>
    </w:p>
    <w:p w14:paraId="053A50F9">
      <w:pPr>
        <w:spacing w:line="360" w:lineRule="auto"/>
        <w:ind w:firstLine="437"/>
        <w:outlineLvl w:val="1"/>
        <w:rPr>
          <w:rFonts w:ascii="宋体" w:hAnsi="宋体" w:eastAsia="宋体"/>
          <w:b/>
          <w:color w:val="auto"/>
          <w:sz w:val="24"/>
          <w:szCs w:val="18"/>
          <w:highlight w:val="none"/>
        </w:rPr>
      </w:pPr>
      <w:bookmarkStart w:id="29" w:name="_Toc20480"/>
      <w:bookmarkStart w:id="30" w:name="_Toc26457"/>
      <w:r>
        <w:rPr>
          <w:rFonts w:hint="eastAsia" w:ascii="宋体" w:hAnsi="宋体" w:eastAsia="宋体"/>
          <w:b/>
          <w:color w:val="auto"/>
          <w:sz w:val="24"/>
          <w:szCs w:val="18"/>
          <w:highlight w:val="none"/>
        </w:rPr>
        <w:t>一、采购需求前附表</w:t>
      </w:r>
      <w:bookmarkEnd w:id="29"/>
      <w:bookmarkEnd w:id="3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5F8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3DE7C6">
            <w:pPr>
              <w:pStyle w:val="3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7B4B4AC5">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04EE1D55">
            <w:pPr>
              <w:pStyle w:val="2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5B0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3E480F7">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157F9241">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79843BC2">
            <w:pPr>
              <w:pStyle w:val="29"/>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设备验收合格按医院财务流程支付</w:t>
            </w:r>
          </w:p>
        </w:tc>
      </w:tr>
      <w:tr w14:paraId="179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E95396">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5D81890">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6" w:type="pct"/>
            <w:vAlign w:val="center"/>
          </w:tcPr>
          <w:p w14:paraId="6E190F26">
            <w:pPr>
              <w:pStyle w:val="29"/>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eastAsia="zh-CN"/>
              </w:rPr>
              <w:t>安徽省宿州市立医院</w:t>
            </w:r>
          </w:p>
        </w:tc>
      </w:tr>
      <w:tr w14:paraId="1E6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CDF8DB">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A2DAC67">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6" w:type="pct"/>
            <w:vAlign w:val="center"/>
          </w:tcPr>
          <w:p w14:paraId="727D0143">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签订合同后30个工作日内。</w:t>
            </w:r>
          </w:p>
        </w:tc>
      </w:tr>
      <w:tr w14:paraId="0F88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C920A03">
            <w:pPr>
              <w:pStyle w:val="3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441C439F">
            <w:pPr>
              <w:pStyle w:val="2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6" w:type="pct"/>
            <w:vAlign w:val="center"/>
          </w:tcPr>
          <w:p w14:paraId="6A6D4347">
            <w:pPr>
              <w:pStyle w:val="2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整机质保5 年。保修生效期为设备安装后验收合格之日起。</w:t>
            </w:r>
          </w:p>
        </w:tc>
      </w:tr>
      <w:tr w14:paraId="2696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D33608">
            <w:pPr>
              <w:pStyle w:val="30"/>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5</w:t>
            </w:r>
          </w:p>
        </w:tc>
        <w:tc>
          <w:tcPr>
            <w:tcW w:w="1192" w:type="pct"/>
            <w:vAlign w:val="center"/>
          </w:tcPr>
          <w:p w14:paraId="069B2608">
            <w:pPr>
              <w:pStyle w:val="29"/>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售后服务</w:t>
            </w:r>
          </w:p>
        </w:tc>
        <w:tc>
          <w:tcPr>
            <w:tcW w:w="3216" w:type="pct"/>
            <w:vAlign w:val="center"/>
          </w:tcPr>
          <w:p w14:paraId="66DAAB8E">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1、保修期内提供每年不低于两次免费维护保养服务，保修期外工程师维护保养维修免上门费。</w:t>
            </w:r>
          </w:p>
          <w:p w14:paraId="0751F10A">
            <w:pPr>
              <w:pStyle w:val="2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2、合同签订前需提供原厂质保承诺或买保记录相关证明文件。</w:t>
            </w:r>
          </w:p>
          <w:p w14:paraId="7AD35795">
            <w:pPr>
              <w:pStyle w:val="2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3、提供 24 小时电话值班服务，设备发生故障时，中标人 4 小时内派出人员到达现场，协助采购人处理故障、解决问题。</w:t>
            </w:r>
          </w:p>
        </w:tc>
      </w:tr>
    </w:tbl>
    <w:p w14:paraId="6AF1F5C5">
      <w:pPr>
        <w:spacing w:line="360" w:lineRule="auto"/>
        <w:ind w:firstLine="437"/>
        <w:outlineLvl w:val="1"/>
        <w:rPr>
          <w:rFonts w:ascii="宋体" w:hAnsi="宋体" w:eastAsia="宋体"/>
          <w:b/>
          <w:bCs/>
          <w:color w:val="auto"/>
          <w:sz w:val="24"/>
          <w:szCs w:val="18"/>
          <w:highlight w:val="none"/>
        </w:rPr>
      </w:pPr>
      <w:bookmarkStart w:id="31" w:name="_Toc8981"/>
      <w:bookmarkStart w:id="32" w:name="_Toc25805"/>
      <w:r>
        <w:rPr>
          <w:rFonts w:hint="eastAsia" w:ascii="宋体" w:hAnsi="宋体" w:eastAsia="宋体"/>
          <w:b/>
          <w:bCs/>
          <w:color w:val="auto"/>
          <w:sz w:val="24"/>
          <w:szCs w:val="18"/>
          <w:highlight w:val="none"/>
        </w:rPr>
        <w:t>二、货物需求</w:t>
      </w:r>
      <w:bookmarkEnd w:id="31"/>
      <w:bookmarkEnd w:id="32"/>
    </w:p>
    <w:p w14:paraId="52CDADB0">
      <w:pPr>
        <w:pStyle w:val="61"/>
        <w:spacing w:before="58" w:line="328" w:lineRule="auto"/>
        <w:ind w:left="106" w:right="103" w:firstLine="2520" w:firstLineChars="700"/>
        <w:rPr>
          <w:rFonts w:hint="eastAsia" w:ascii="微软雅黑" w:hAnsi="微软雅黑" w:eastAsia="微软雅黑" w:cs="微软雅黑"/>
          <w:sz w:val="32"/>
          <w:szCs w:val="24"/>
          <w:lang w:val="en-US" w:eastAsia="zh-CN"/>
        </w:rPr>
      </w:pPr>
      <w:bookmarkStart w:id="33" w:name="_Toc16712"/>
      <w:bookmarkStart w:id="34" w:name="_Toc18135"/>
      <w:r>
        <w:rPr>
          <w:rFonts w:hint="eastAsia" w:ascii="微软雅黑" w:hAnsi="微软雅黑" w:eastAsia="微软雅黑" w:cs="微软雅黑"/>
          <w:sz w:val="36"/>
          <w:szCs w:val="28"/>
          <w:lang w:val="en-US" w:eastAsia="zh-CN"/>
        </w:rPr>
        <w:t>超低温冰箱招标参数</w:t>
      </w:r>
    </w:p>
    <w:p w14:paraId="7894A563">
      <w:pPr>
        <w:pStyle w:val="61"/>
        <w:spacing w:before="58" w:line="328" w:lineRule="auto"/>
        <w:ind w:right="103"/>
        <w:rPr>
          <w:sz w:val="24"/>
        </w:rPr>
      </w:pPr>
      <w:r>
        <w:rPr>
          <w:sz w:val="24"/>
        </w:rPr>
        <w:t>1、立式超低温冰箱，有效容积≥</w:t>
      </w:r>
      <w:r>
        <w:rPr>
          <w:rFonts w:hint="eastAsia"/>
          <w:sz w:val="24"/>
          <w:lang w:val="en-US" w:eastAsia="zh-CN"/>
        </w:rPr>
        <w:t>410</w:t>
      </w:r>
      <w:r>
        <w:rPr>
          <w:sz w:val="24"/>
        </w:rPr>
        <w:t>L，整机装箱量（2ml 冻存管容量）≥3 万份样本；</w:t>
      </w:r>
    </w:p>
    <w:p w14:paraId="6E94FDD4">
      <w:pPr>
        <w:pStyle w:val="61"/>
        <w:spacing w:line="305" w:lineRule="exact"/>
        <w:ind w:left="106"/>
        <w:rPr>
          <w:sz w:val="24"/>
        </w:rPr>
      </w:pPr>
      <w:r>
        <w:rPr>
          <w:sz w:val="24"/>
        </w:rPr>
        <w:t>2、箱内温度 -40℃</w:t>
      </w:r>
      <w:r>
        <w:rPr>
          <w:rFonts w:hint="eastAsia" w:ascii="宋体" w:hAnsi="宋体" w:eastAsia="宋体"/>
          <w:sz w:val="24"/>
        </w:rPr>
        <w:t>～</w:t>
      </w:r>
      <w:r>
        <w:rPr>
          <w:sz w:val="24"/>
        </w:rPr>
        <w:t>-86℃可调，微电脑控制；</w:t>
      </w:r>
    </w:p>
    <w:p w14:paraId="35534E8B">
      <w:pPr>
        <w:pStyle w:val="61"/>
        <w:spacing w:before="112" w:line="328" w:lineRule="auto"/>
        <w:ind w:left="106" w:right="-29"/>
        <w:rPr>
          <w:sz w:val="24"/>
        </w:rPr>
      </w:pPr>
      <w:r>
        <w:rPr>
          <w:sz w:val="24"/>
        </w:rPr>
        <w:t>★3、具有≥10</w:t>
      </w:r>
      <w:r>
        <w:rPr>
          <w:spacing w:val="-18"/>
          <w:sz w:val="24"/>
        </w:rPr>
        <w:t xml:space="preserve"> 英寸高性能 </w:t>
      </w:r>
      <w:r>
        <w:rPr>
          <w:sz w:val="24"/>
        </w:rPr>
        <w:t>LCD</w:t>
      </w:r>
      <w:r>
        <w:rPr>
          <w:spacing w:val="-14"/>
          <w:sz w:val="24"/>
        </w:rPr>
        <w:t xml:space="preserve"> 触摸屏，显示精度 </w:t>
      </w:r>
      <w:r>
        <w:rPr>
          <w:sz w:val="24"/>
        </w:rPr>
        <w:t>0.1℃， 清晰显示，界面友好，可显示箱内温度，设定温度，环境温度，输入电压，灵敏度高，支持戴手套操作。能设定高低温报警和箱内温度，具有故障提示预警功能</w:t>
      </w:r>
      <w:r>
        <w:rPr>
          <w:b/>
          <w:sz w:val="24"/>
        </w:rPr>
        <w:t>（响应文件中提供产品彩页证明材料，验收时实物核对）</w:t>
      </w:r>
      <w:r>
        <w:rPr>
          <w:sz w:val="24"/>
        </w:rPr>
        <w:t>；</w:t>
      </w:r>
    </w:p>
    <w:p w14:paraId="64818D7A">
      <w:pPr>
        <w:pStyle w:val="61"/>
        <w:numPr>
          <w:ilvl w:val="0"/>
          <w:numId w:val="0"/>
        </w:numPr>
        <w:tabs>
          <w:tab w:val="left" w:pos="348"/>
        </w:tabs>
        <w:spacing w:before="0" w:after="0" w:line="328" w:lineRule="auto"/>
        <w:ind w:left="106" w:leftChars="0" w:right="95" w:rightChars="0" w:firstLine="0" w:firstLineChars="0"/>
        <w:jc w:val="left"/>
        <w:rPr>
          <w:sz w:val="24"/>
        </w:rPr>
      </w:pPr>
      <w:r>
        <w:rPr>
          <w:rFonts w:hint="default" w:ascii="仿宋" w:hAnsi="仿宋" w:eastAsia="仿宋" w:cs="仿宋"/>
          <w:spacing w:val="-39"/>
          <w:w w:val="100"/>
          <w:kern w:val="2"/>
          <w:sz w:val="22"/>
          <w:szCs w:val="22"/>
          <w:lang w:val="zh-CN" w:eastAsia="zh-CN" w:bidi="zh-CN"/>
        </w:rPr>
        <w:t>●</w:t>
      </w:r>
      <w:r>
        <w:rPr>
          <w:sz w:val="24"/>
        </w:rPr>
        <w:t>4</w:t>
      </w:r>
      <w:r>
        <w:rPr>
          <w:spacing w:val="-10"/>
          <w:sz w:val="24"/>
        </w:rPr>
        <w:t>、具有完善的声光报警系统</w:t>
      </w:r>
      <w:r>
        <w:rPr>
          <w:sz w:val="24"/>
        </w:rPr>
        <w:t>（</w:t>
      </w:r>
      <w:r>
        <w:rPr>
          <w:spacing w:val="-7"/>
          <w:sz w:val="24"/>
        </w:rPr>
        <w:t>高低温报警、传感器故障</w:t>
      </w:r>
      <w:r>
        <w:rPr>
          <w:sz w:val="24"/>
        </w:rPr>
        <w:t>报警、门开报警、冷凝器脏报警、电池电量低报警）；</w:t>
      </w:r>
    </w:p>
    <w:p w14:paraId="48FC77A8">
      <w:pPr>
        <w:pStyle w:val="61"/>
        <w:spacing w:line="305" w:lineRule="exact"/>
        <w:ind w:left="106" w:right="-29"/>
        <w:rPr>
          <w:sz w:val="24"/>
        </w:rPr>
      </w:pPr>
      <w:r>
        <w:rPr>
          <w:sz w:val="24"/>
        </w:rPr>
        <w:t>5</w:t>
      </w:r>
      <w:r>
        <w:rPr>
          <w:spacing w:val="-17"/>
          <w:sz w:val="24"/>
        </w:rPr>
        <w:t>、具有屏幕锁定和密码保护功能，防止随意调整运行参数；</w:t>
      </w:r>
    </w:p>
    <w:p w14:paraId="4883BB49">
      <w:pPr>
        <w:pStyle w:val="61"/>
        <w:spacing w:before="106" w:line="328" w:lineRule="auto"/>
        <w:ind w:left="106" w:right="-44"/>
        <w:rPr>
          <w:b/>
          <w:w w:val="99"/>
          <w:sz w:val="24"/>
        </w:rPr>
      </w:pPr>
      <w:r>
        <w:rPr>
          <w:sz w:val="24"/>
        </w:rPr>
        <w:t>★6</w:t>
      </w:r>
      <w:r>
        <w:rPr>
          <w:spacing w:val="-16"/>
          <w:sz w:val="24"/>
        </w:rPr>
        <w:t xml:space="preserve">、采用 </w:t>
      </w:r>
      <w:r>
        <w:rPr>
          <w:sz w:val="24"/>
        </w:rPr>
        <w:t>HC</w:t>
      </w:r>
      <w:r>
        <w:rPr>
          <w:spacing w:val="-8"/>
          <w:sz w:val="24"/>
        </w:rPr>
        <w:t xml:space="preserve"> 环保制冷剂，制冷效率高，节能环保；</w:t>
      </w:r>
      <w:r>
        <w:rPr>
          <w:b/>
          <w:sz w:val="24"/>
        </w:rPr>
        <w:t>（响</w:t>
      </w:r>
      <w:r>
        <w:rPr>
          <w:b/>
          <w:w w:val="99"/>
          <w:sz w:val="24"/>
        </w:rPr>
        <w:t>应文件中提供产品铭牌和相关证明材料证明制冷剂材质</w:t>
      </w:r>
      <w:r>
        <w:rPr>
          <w:b/>
          <w:spacing w:val="-120"/>
          <w:w w:val="99"/>
          <w:sz w:val="24"/>
        </w:rPr>
        <w:t>）</w:t>
      </w:r>
      <w:r>
        <w:rPr>
          <w:b/>
          <w:w w:val="99"/>
          <w:sz w:val="24"/>
        </w:rPr>
        <w:t>；</w:t>
      </w:r>
    </w:p>
    <w:p w14:paraId="69B538B9">
      <w:pPr>
        <w:pStyle w:val="61"/>
        <w:spacing w:before="106" w:line="328" w:lineRule="auto"/>
        <w:ind w:left="106" w:right="-44"/>
        <w:rPr>
          <w:sz w:val="24"/>
        </w:rPr>
      </w:pPr>
      <w:r>
        <w:rPr>
          <w:b/>
          <w:w w:val="99"/>
          <w:sz w:val="24"/>
        </w:rPr>
        <w:t xml:space="preserve"> </w:t>
      </w:r>
      <w:r>
        <w:rPr>
          <w:sz w:val="24"/>
        </w:rPr>
        <w:t>7</w:t>
      </w:r>
      <w:r>
        <w:rPr>
          <w:spacing w:val="-5"/>
          <w:sz w:val="24"/>
        </w:rPr>
        <w:t xml:space="preserve">、根据低温保存箱国家标准 </w:t>
      </w:r>
      <w:r>
        <w:rPr>
          <w:sz w:val="24"/>
        </w:rPr>
        <w:t>GB/T 20154</w:t>
      </w:r>
      <w:r>
        <w:rPr>
          <w:spacing w:val="-8"/>
          <w:sz w:val="24"/>
        </w:rPr>
        <w:t xml:space="preserve"> 要求，低温保存箱铭牌或标签上能标注制冷剂的详细名称及装入量；</w:t>
      </w:r>
    </w:p>
    <w:p w14:paraId="2870D833">
      <w:pPr>
        <w:pStyle w:val="61"/>
        <w:numPr>
          <w:ilvl w:val="0"/>
          <w:numId w:val="0"/>
        </w:numPr>
        <w:tabs>
          <w:tab w:val="left" w:pos="348"/>
        </w:tabs>
        <w:spacing w:before="0" w:after="0" w:line="328" w:lineRule="auto"/>
        <w:ind w:left="106" w:leftChars="0" w:right="95" w:rightChars="0" w:firstLine="0" w:firstLineChars="0"/>
        <w:jc w:val="both"/>
        <w:rPr>
          <w:sz w:val="24"/>
        </w:rPr>
      </w:pPr>
      <w:r>
        <w:rPr>
          <w:rFonts w:hint="default" w:ascii="仿宋" w:hAnsi="仿宋" w:eastAsia="仿宋" w:cs="仿宋"/>
          <w:spacing w:val="-39"/>
          <w:w w:val="100"/>
          <w:kern w:val="2"/>
          <w:sz w:val="22"/>
          <w:szCs w:val="22"/>
          <w:lang w:val="zh-CN" w:eastAsia="zh-CN" w:bidi="zh-CN"/>
        </w:rPr>
        <w:t>●</w:t>
      </w:r>
      <w:r>
        <w:rPr>
          <w:sz w:val="24"/>
        </w:rPr>
        <w:t>8</w:t>
      </w:r>
      <w:r>
        <w:rPr>
          <w:spacing w:val="-13"/>
          <w:sz w:val="24"/>
        </w:rPr>
        <w:t>、制冷剂用量符合国家安全标准，单制冷系统可燃制冷</w:t>
      </w:r>
      <w:r>
        <w:rPr>
          <w:spacing w:val="-7"/>
          <w:sz w:val="24"/>
        </w:rPr>
        <w:t xml:space="preserve">剂灌注量不能高于 </w:t>
      </w:r>
      <w:r>
        <w:rPr>
          <w:spacing w:val="-14"/>
          <w:sz w:val="24"/>
        </w:rPr>
        <w:t>150g</w:t>
      </w:r>
      <w:r>
        <w:rPr>
          <w:b/>
          <w:spacing w:val="-14"/>
          <w:sz w:val="24"/>
        </w:rPr>
        <w:t>（</w:t>
      </w:r>
      <w:r>
        <w:rPr>
          <w:b/>
          <w:spacing w:val="-1"/>
          <w:sz w:val="24"/>
        </w:rPr>
        <w:t>响应文件中提供产品铭牌和相关</w:t>
      </w:r>
      <w:r>
        <w:rPr>
          <w:b/>
          <w:sz w:val="24"/>
        </w:rPr>
        <w:t>证明材料）</w:t>
      </w:r>
      <w:r>
        <w:rPr>
          <w:sz w:val="24"/>
        </w:rPr>
        <w:t>；</w:t>
      </w:r>
    </w:p>
    <w:p w14:paraId="6F55006C">
      <w:pPr>
        <w:pStyle w:val="61"/>
        <w:spacing w:line="328" w:lineRule="auto"/>
        <w:ind w:left="106" w:right="-29"/>
        <w:rPr>
          <w:b/>
          <w:sz w:val="24"/>
        </w:rPr>
      </w:pPr>
      <w:r>
        <w:rPr>
          <w:sz w:val="24"/>
        </w:rPr>
        <w:t>★9</w:t>
      </w:r>
      <w:r>
        <w:rPr>
          <w:spacing w:val="-12"/>
          <w:sz w:val="24"/>
        </w:rPr>
        <w:t>、采用双级复叠制冷系统，高温级压机和低温级压机耦合优化复叠制冷循环，具有级间换热器；高温级提供低温</w:t>
      </w:r>
      <w:r>
        <w:rPr>
          <w:spacing w:val="-15"/>
          <w:sz w:val="24"/>
        </w:rPr>
        <w:t xml:space="preserve">级的负荷，不单独参与箱内制冷，实现不同工况动态匹配， </w:t>
      </w:r>
      <w:r>
        <w:rPr>
          <w:spacing w:val="-1"/>
          <w:sz w:val="24"/>
        </w:rPr>
        <w:t>提高系统可靠性并降低噪音</w:t>
      </w:r>
      <w:r>
        <w:rPr>
          <w:b/>
          <w:sz w:val="24"/>
        </w:rPr>
        <w:t>（响应文件中提供产品彩页和制冷原理图等相关证明材料）；</w:t>
      </w:r>
    </w:p>
    <w:p w14:paraId="269870F7">
      <w:pPr>
        <w:pStyle w:val="61"/>
        <w:spacing w:line="328" w:lineRule="auto"/>
        <w:ind w:left="106" w:right="98"/>
        <w:jc w:val="both"/>
        <w:rPr>
          <w:b/>
          <w:sz w:val="24"/>
        </w:rPr>
      </w:pPr>
      <w:r>
        <w:rPr>
          <w:sz w:val="24"/>
        </w:rPr>
        <w:t>★10</w:t>
      </w:r>
      <w:r>
        <w:rPr>
          <w:spacing w:val="-1"/>
          <w:sz w:val="24"/>
        </w:rPr>
        <w:t xml:space="preserve">、符合《低温保存箱节能环保认证技术规范》要求， </w:t>
      </w:r>
      <w:r>
        <w:rPr>
          <w:spacing w:val="-2"/>
          <w:sz w:val="24"/>
        </w:rPr>
        <w:t>并获取节能、环保报告及证书</w:t>
      </w:r>
      <w:r>
        <w:rPr>
          <w:b/>
          <w:sz w:val="24"/>
        </w:rPr>
        <w:t>（</w:t>
      </w:r>
      <w:r>
        <w:rPr>
          <w:b/>
          <w:spacing w:val="-2"/>
          <w:sz w:val="24"/>
        </w:rPr>
        <w:t>响应文件中提供带有中国</w:t>
      </w:r>
      <w:r>
        <w:rPr>
          <w:b/>
          <w:spacing w:val="-4"/>
          <w:sz w:val="24"/>
        </w:rPr>
        <w:t xml:space="preserve">质量认证中心标识的节能证书和环保证书，并提供 </w:t>
      </w:r>
      <w:r>
        <w:rPr>
          <w:b/>
          <w:sz w:val="24"/>
        </w:rPr>
        <w:t>CQC</w:t>
      </w:r>
      <w:r>
        <w:rPr>
          <w:b/>
          <w:spacing w:val="-39"/>
          <w:sz w:val="24"/>
        </w:rPr>
        <w:t xml:space="preserve"> 网</w:t>
      </w:r>
      <w:r>
        <w:rPr>
          <w:b/>
          <w:sz w:val="24"/>
        </w:rPr>
        <w:t>站截图及网址；合同签订前提供原件备查）;</w:t>
      </w:r>
    </w:p>
    <w:p w14:paraId="56128D70">
      <w:pPr>
        <w:pStyle w:val="61"/>
        <w:spacing w:line="302" w:lineRule="exact"/>
        <w:ind w:left="106"/>
        <w:rPr>
          <w:sz w:val="24"/>
        </w:rPr>
      </w:pPr>
      <w:r>
        <w:rPr>
          <w:sz w:val="24"/>
        </w:rPr>
        <w:t>11、一体式把手门锁设计，配置外挂锁孔，可加双挂锁，可后期升级配置电磁锁、刷卡、指纹；</w:t>
      </w:r>
    </w:p>
    <w:p w14:paraId="19BFD17C">
      <w:pPr>
        <w:pStyle w:val="61"/>
        <w:spacing w:before="56"/>
        <w:ind w:left="106" w:right="-29"/>
        <w:rPr>
          <w:sz w:val="24"/>
        </w:rPr>
      </w:pPr>
      <w:r>
        <w:rPr>
          <w:sz w:val="24"/>
        </w:rPr>
        <w:t>12</w:t>
      </w:r>
      <w:r>
        <w:rPr>
          <w:spacing w:val="-31"/>
          <w:sz w:val="24"/>
        </w:rPr>
        <w:t xml:space="preserve">、具有 </w:t>
      </w:r>
      <w:r>
        <w:rPr>
          <w:sz w:val="24"/>
        </w:rPr>
        <w:t>2</w:t>
      </w:r>
      <w:r>
        <w:rPr>
          <w:spacing w:val="-12"/>
          <w:sz w:val="24"/>
        </w:rPr>
        <w:t xml:space="preserve"> 个国际品牌压缩机，整机稳定运行功率</w:t>
      </w:r>
      <w:r>
        <w:rPr>
          <w:sz w:val="24"/>
        </w:rPr>
        <w:t>≤800W；</w:t>
      </w:r>
    </w:p>
    <w:p w14:paraId="646FE139">
      <w:pPr>
        <w:pStyle w:val="61"/>
        <w:spacing w:before="112"/>
        <w:ind w:left="106"/>
        <w:rPr>
          <w:sz w:val="24"/>
        </w:rPr>
      </w:pPr>
      <w:r>
        <w:rPr>
          <w:sz w:val="24"/>
        </w:rPr>
        <w:t>13、保温材料具有≥2 个发泡内门并带密封条设计，外门≥4</w:t>
      </w:r>
      <w:r>
        <w:rPr>
          <w:spacing w:val="-14"/>
          <w:sz w:val="24"/>
        </w:rPr>
        <w:t xml:space="preserve"> 层密封；使用航空真空隔热材料 </w:t>
      </w:r>
      <w:r>
        <w:rPr>
          <w:sz w:val="24"/>
        </w:rPr>
        <w:t>VIP+PU</w:t>
      </w:r>
      <w:r>
        <w:rPr>
          <w:spacing w:val="-18"/>
          <w:sz w:val="24"/>
        </w:rPr>
        <w:t xml:space="preserve"> 整体发泡</w:t>
      </w:r>
      <w:r>
        <w:rPr>
          <w:spacing w:val="-8"/>
          <w:sz w:val="24"/>
        </w:rPr>
        <w:t xml:space="preserve">（≥ </w:t>
      </w:r>
      <w:r>
        <w:rPr>
          <w:sz w:val="24"/>
        </w:rPr>
        <w:t>130mm），VIP</w:t>
      </w:r>
      <w:r>
        <w:rPr>
          <w:spacing w:val="-20"/>
          <w:sz w:val="24"/>
        </w:rPr>
        <w:t xml:space="preserve"> 厚度</w:t>
      </w:r>
      <w:r>
        <w:rPr>
          <w:sz w:val="24"/>
        </w:rPr>
        <w:t>≥15mm，有效阻止冷量流失；</w:t>
      </w:r>
    </w:p>
    <w:p w14:paraId="493178E2">
      <w:pPr>
        <w:pStyle w:val="61"/>
        <w:spacing w:line="328" w:lineRule="auto"/>
        <w:ind w:left="106" w:right="95"/>
        <w:rPr>
          <w:sz w:val="24"/>
        </w:rPr>
      </w:pPr>
      <w:r>
        <w:rPr>
          <w:sz w:val="24"/>
        </w:rPr>
        <w:t>★14、耗电量应≤7.6</w:t>
      </w:r>
      <w:r>
        <w:rPr>
          <w:spacing w:val="-6"/>
          <w:sz w:val="24"/>
        </w:rPr>
        <w:t xml:space="preserve"> </w:t>
      </w:r>
      <w:r>
        <w:rPr>
          <w:sz w:val="24"/>
        </w:rPr>
        <w:t>Kw.h/24h</w:t>
      </w:r>
      <w:r>
        <w:rPr>
          <w:b/>
          <w:sz w:val="24"/>
        </w:rPr>
        <w:t>（</w:t>
      </w:r>
      <w:r>
        <w:rPr>
          <w:b/>
          <w:spacing w:val="-2"/>
          <w:sz w:val="24"/>
        </w:rPr>
        <w:t>响应文件中提供第三方</w:t>
      </w:r>
      <w:r>
        <w:rPr>
          <w:b/>
          <w:spacing w:val="-4"/>
          <w:sz w:val="24"/>
        </w:rPr>
        <w:t xml:space="preserve">有权机构出具的具有 </w:t>
      </w:r>
      <w:r>
        <w:rPr>
          <w:b/>
          <w:sz w:val="24"/>
        </w:rPr>
        <w:t>CNAS</w:t>
      </w:r>
      <w:r>
        <w:rPr>
          <w:b/>
          <w:spacing w:val="-23"/>
          <w:sz w:val="24"/>
        </w:rPr>
        <w:t xml:space="preserve"> 或 </w:t>
      </w:r>
      <w:r>
        <w:rPr>
          <w:b/>
          <w:sz w:val="24"/>
        </w:rPr>
        <w:t>CMA</w:t>
      </w:r>
      <w:r>
        <w:rPr>
          <w:b/>
          <w:spacing w:val="-6"/>
          <w:sz w:val="24"/>
        </w:rPr>
        <w:t xml:space="preserve"> 标识的检测报告</w:t>
      </w:r>
      <w:r>
        <w:rPr>
          <w:b/>
          <w:sz w:val="24"/>
        </w:rPr>
        <w:t>）</w:t>
      </w:r>
      <w:r>
        <w:rPr>
          <w:sz w:val="24"/>
        </w:rPr>
        <w:t xml:space="preserve">； </w:t>
      </w:r>
    </w:p>
    <w:p w14:paraId="5E7D574A">
      <w:pPr>
        <w:pStyle w:val="61"/>
        <w:spacing w:line="328" w:lineRule="auto"/>
        <w:ind w:left="106" w:right="95"/>
        <w:rPr>
          <w:sz w:val="24"/>
        </w:rPr>
      </w:pPr>
      <w:r>
        <w:rPr>
          <w:sz w:val="24"/>
        </w:rPr>
        <w:t>15、内胆为电锌板喷粉，防腐蚀，导热快；</w:t>
      </w:r>
    </w:p>
    <w:p w14:paraId="44C1EC12">
      <w:pPr>
        <w:pStyle w:val="61"/>
        <w:spacing w:line="304" w:lineRule="exact"/>
        <w:ind w:left="106"/>
        <w:rPr>
          <w:sz w:val="24"/>
        </w:rPr>
      </w:pPr>
      <w:r>
        <w:rPr>
          <w:sz w:val="24"/>
        </w:rPr>
        <w:t>16、≥2 个温度测试孔，方便测试箱内温度及穿孔实验；</w:t>
      </w:r>
    </w:p>
    <w:p w14:paraId="3B96BF97">
      <w:pPr>
        <w:pStyle w:val="61"/>
        <w:spacing w:before="110" w:line="328" w:lineRule="auto"/>
        <w:ind w:left="106" w:right="103"/>
        <w:jc w:val="both"/>
        <w:rPr>
          <w:sz w:val="24"/>
        </w:rPr>
      </w:pPr>
      <w:r>
        <w:rPr>
          <w:sz w:val="24"/>
        </w:rPr>
        <w:t>17</w:t>
      </w:r>
      <w:r>
        <w:rPr>
          <w:spacing w:val="-1"/>
          <w:sz w:val="24"/>
        </w:rPr>
        <w:t xml:space="preserve">、配置大容量数据存储空间，实时保存箱内设定温度、实际温度、高、低温报警温度、输入电压、环温等数据， </w:t>
      </w:r>
      <w:r>
        <w:rPr>
          <w:spacing w:val="-12"/>
          <w:sz w:val="24"/>
        </w:rPr>
        <w:t xml:space="preserve">且可通过 </w:t>
      </w:r>
      <w:r>
        <w:rPr>
          <w:sz w:val="24"/>
        </w:rPr>
        <w:t>USB</w:t>
      </w:r>
      <w:r>
        <w:rPr>
          <w:spacing w:val="-9"/>
          <w:sz w:val="24"/>
        </w:rPr>
        <w:t xml:space="preserve"> 数据接口端口导出全部数据，实现数据的可</w:t>
      </w:r>
      <w:r>
        <w:rPr>
          <w:sz w:val="24"/>
        </w:rPr>
        <w:t>追溯性；</w:t>
      </w:r>
    </w:p>
    <w:p w14:paraId="6F5E0224">
      <w:pPr>
        <w:pStyle w:val="61"/>
        <w:spacing w:line="302" w:lineRule="exact"/>
        <w:ind w:left="106"/>
        <w:rPr>
          <w:sz w:val="24"/>
        </w:rPr>
      </w:pPr>
      <w:r>
        <w:rPr>
          <w:sz w:val="24"/>
        </w:rPr>
        <w:t>18、标配蓄电池，断电状态可持续为温度报警；</w:t>
      </w:r>
    </w:p>
    <w:p w14:paraId="41EB56F3">
      <w:pPr>
        <w:pStyle w:val="61"/>
        <w:spacing w:before="112" w:line="328" w:lineRule="auto"/>
        <w:ind w:left="106" w:right="95"/>
        <w:jc w:val="both"/>
        <w:rPr>
          <w:sz w:val="24"/>
        </w:rPr>
      </w:pPr>
      <w:r>
        <w:rPr>
          <w:sz w:val="24"/>
        </w:rPr>
        <w:t>19</w:t>
      </w:r>
      <w:r>
        <w:rPr>
          <w:spacing w:val="-18"/>
          <w:sz w:val="24"/>
        </w:rPr>
        <w:t xml:space="preserve">、具有内置 </w:t>
      </w:r>
      <w:r>
        <w:rPr>
          <w:sz w:val="24"/>
        </w:rPr>
        <w:t>5V</w:t>
      </w:r>
      <w:r>
        <w:rPr>
          <w:spacing w:val="-13"/>
          <w:sz w:val="24"/>
        </w:rPr>
        <w:t xml:space="preserve"> 冷链供电系统，确保用电安全，减少外部</w:t>
      </w:r>
      <w:r>
        <w:rPr>
          <w:sz w:val="24"/>
        </w:rPr>
        <w:t>布线，降低故障风险；</w:t>
      </w:r>
    </w:p>
    <w:p w14:paraId="5C3AE620">
      <w:pPr>
        <w:pStyle w:val="61"/>
        <w:spacing w:line="328" w:lineRule="auto"/>
        <w:ind w:left="106" w:right="103"/>
        <w:jc w:val="both"/>
        <w:rPr>
          <w:sz w:val="24"/>
        </w:rPr>
      </w:pPr>
      <w:r>
        <w:rPr>
          <w:sz w:val="24"/>
        </w:rPr>
        <w:t>20</w:t>
      </w:r>
      <w:r>
        <w:rPr>
          <w:spacing w:val="-15"/>
          <w:sz w:val="24"/>
        </w:rPr>
        <w:t xml:space="preserve">、标配 </w:t>
      </w:r>
      <w:r>
        <w:rPr>
          <w:sz w:val="24"/>
        </w:rPr>
        <w:t>RS485</w:t>
      </w:r>
      <w:r>
        <w:rPr>
          <w:spacing w:val="-9"/>
          <w:sz w:val="24"/>
        </w:rPr>
        <w:t xml:space="preserve"> 数据接口，远程报警接口，可同计算机网</w:t>
      </w:r>
      <w:r>
        <w:rPr>
          <w:sz w:val="24"/>
        </w:rPr>
        <w:t>线连接，实现数据通讯；</w:t>
      </w:r>
    </w:p>
    <w:p w14:paraId="07BA0393">
      <w:pPr>
        <w:pStyle w:val="61"/>
        <w:spacing w:line="328" w:lineRule="auto"/>
        <w:ind w:left="106" w:right="103"/>
        <w:jc w:val="both"/>
        <w:rPr>
          <w:rFonts w:hint="eastAsia" w:eastAsia="仿宋"/>
          <w:sz w:val="24"/>
          <w:lang w:val="en-US" w:eastAsia="zh-CN"/>
        </w:rPr>
      </w:pPr>
      <w:r>
        <w:rPr>
          <w:sz w:val="24"/>
        </w:rPr>
        <w:t>★21</w:t>
      </w:r>
      <w:r>
        <w:rPr>
          <w:spacing w:val="-5"/>
          <w:sz w:val="24"/>
        </w:rPr>
        <w:t>、</w:t>
      </w:r>
      <w:r>
        <w:rPr>
          <w:rFonts w:hint="eastAsia"/>
          <w:spacing w:val="-5"/>
          <w:sz w:val="24"/>
          <w:lang w:val="en-US" w:eastAsia="zh-CN"/>
        </w:rPr>
        <w:t>配置</w:t>
      </w:r>
      <w:r>
        <w:rPr>
          <w:rFonts w:hint="eastAsia"/>
          <w:spacing w:val="-1"/>
          <w:sz w:val="24"/>
          <w:lang w:val="en-US" w:eastAsia="zh-CN"/>
        </w:rPr>
        <w:t>冷链模块</w:t>
      </w:r>
      <w:r>
        <w:rPr>
          <w:spacing w:val="-5"/>
          <w:sz w:val="24"/>
        </w:rPr>
        <w:t xml:space="preserve">，能够在手机 </w:t>
      </w:r>
      <w:r>
        <w:rPr>
          <w:sz w:val="24"/>
        </w:rPr>
        <w:t>app</w:t>
      </w:r>
      <w:r>
        <w:rPr>
          <w:spacing w:val="-9"/>
          <w:sz w:val="24"/>
        </w:rPr>
        <w:t xml:space="preserve"> 上实时的查看箱内</w:t>
      </w:r>
      <w:r>
        <w:rPr>
          <w:spacing w:val="-1"/>
          <w:sz w:val="24"/>
        </w:rPr>
        <w:t>温度、设定温度、高低温报警温度、各种报警记录</w:t>
      </w:r>
      <w:r>
        <w:rPr>
          <w:rFonts w:hint="eastAsia"/>
          <w:spacing w:val="-1"/>
          <w:sz w:val="24"/>
          <w:lang w:eastAsia="zh-CN"/>
        </w:rPr>
        <w:t>，</w:t>
      </w:r>
      <w:r>
        <w:rPr>
          <w:rFonts w:hint="eastAsia"/>
          <w:spacing w:val="-1"/>
          <w:sz w:val="24"/>
          <w:lang w:val="en-US" w:eastAsia="zh-CN"/>
        </w:rPr>
        <w:t>并承诺五年内免费使用</w:t>
      </w:r>
      <w:r>
        <w:rPr>
          <w:rFonts w:hint="eastAsia"/>
          <w:spacing w:val="-1"/>
          <w:sz w:val="24"/>
          <w:lang w:eastAsia="zh-CN"/>
        </w:rPr>
        <w:t>。</w:t>
      </w:r>
    </w:p>
    <w:p w14:paraId="29DF58B1">
      <w:pPr>
        <w:pStyle w:val="61"/>
        <w:spacing w:line="328" w:lineRule="auto"/>
        <w:ind w:left="106" w:right="103"/>
        <w:rPr>
          <w:sz w:val="24"/>
        </w:rPr>
      </w:pPr>
      <w:r>
        <w:rPr>
          <w:sz w:val="24"/>
        </w:rPr>
        <w:t>22、可后期无缝衔接样本库管理系统，实现样本容量、位置等信息的精确管理；</w:t>
      </w:r>
    </w:p>
    <w:p w14:paraId="465517D6">
      <w:pPr>
        <w:pStyle w:val="61"/>
        <w:spacing w:line="328" w:lineRule="auto"/>
        <w:ind w:left="106" w:right="-29"/>
      </w:pPr>
      <w:r>
        <w:rPr>
          <w:sz w:val="24"/>
        </w:rPr>
        <w:t>★23</w:t>
      </w:r>
      <w:r>
        <w:rPr>
          <w:spacing w:val="-22"/>
          <w:sz w:val="24"/>
        </w:rPr>
        <w:t>、超低温冰箱生产厂家具备</w:t>
      </w:r>
      <w:r>
        <w:rPr>
          <w:sz w:val="24"/>
        </w:rPr>
        <w:t>“-80℃</w:t>
      </w:r>
      <w:r>
        <w:rPr>
          <w:spacing w:val="-2"/>
          <w:sz w:val="24"/>
        </w:rPr>
        <w:t xml:space="preserve">自动化生物样本库” </w:t>
      </w:r>
      <w:r>
        <w:rPr>
          <w:sz w:val="24"/>
        </w:rPr>
        <w:t>的生产能力和经验，方便用户后期进行高效率的统一化的样本管理</w:t>
      </w:r>
      <w:r>
        <w:rPr>
          <w:b/>
          <w:sz w:val="24"/>
        </w:rPr>
        <w:t>（响应文件中提供该设备在国内已经完成的</w:t>
      </w:r>
      <w:r>
        <w:rPr>
          <w:rFonts w:ascii="仿宋" w:hAnsi="仿宋" w:eastAsia="仿宋" w:cs="仿宋"/>
          <w:b/>
          <w:snapToGrid w:val="0"/>
          <w:color w:val="000000"/>
          <w:kern w:val="0"/>
          <w:sz w:val="24"/>
          <w:szCs w:val="21"/>
          <w:lang w:val="zh-CN" w:eastAsia="zh-CN" w:bidi="zh-CN"/>
        </w:rPr>
        <w:t>“-80℃自动化生物样本库”的至少一个案例信息终端客户合同，不限制合同签订主体，但是该单位需要是真实的可查询的，方便用户后期核实真伪</w:t>
      </w:r>
      <w:r>
        <w:rPr>
          <w:rFonts w:hint="eastAsia"/>
          <w:b/>
          <w:sz w:val="24"/>
          <w:lang w:eastAsia="zh-CN"/>
        </w:rPr>
        <w:t>）</w:t>
      </w:r>
    </w:p>
    <w:bookmarkEnd w:id="33"/>
    <w:bookmarkEnd w:id="34"/>
    <w:p w14:paraId="2C3EA1B6">
      <w:pPr>
        <w:spacing w:line="360" w:lineRule="auto"/>
        <w:rPr>
          <w:rFonts w:asciiTheme="minorEastAsia" w:hAnsiTheme="minorEastAsia" w:eastAsiaTheme="minorEastAsia"/>
          <w:color w:val="auto"/>
          <w:sz w:val="24"/>
          <w:highlight w:val="none"/>
        </w:rPr>
      </w:pPr>
    </w:p>
    <w:p w14:paraId="1E111C92">
      <w:pPr>
        <w:spacing w:line="360" w:lineRule="auto"/>
        <w:jc w:val="center"/>
        <w:outlineLvl w:val="0"/>
        <w:rPr>
          <w:rFonts w:asciiTheme="minorEastAsia" w:hAnsiTheme="minorEastAsia" w:eastAsiaTheme="minorEastAsia"/>
          <w:b/>
          <w:color w:val="auto"/>
          <w:sz w:val="28"/>
          <w:highlight w:val="none"/>
        </w:rPr>
      </w:pPr>
      <w:bookmarkStart w:id="35" w:name="_Toc20811"/>
      <w:r>
        <w:rPr>
          <w:rFonts w:hint="eastAsia" w:asciiTheme="minorEastAsia" w:hAnsiTheme="minorEastAsia" w:eastAsiaTheme="minorEastAsia"/>
          <w:b/>
          <w:color w:val="auto"/>
          <w:sz w:val="28"/>
          <w:highlight w:val="none"/>
        </w:rPr>
        <w:t>第四章  评审方法和标准</w:t>
      </w:r>
      <w:bookmarkEnd w:id="35"/>
    </w:p>
    <w:p w14:paraId="67D9C8AE">
      <w:pPr>
        <w:spacing w:line="360" w:lineRule="auto"/>
        <w:ind w:firstLine="437"/>
        <w:outlineLvl w:val="1"/>
        <w:rPr>
          <w:rFonts w:asciiTheme="minorEastAsia" w:hAnsiTheme="minorEastAsia" w:eastAsiaTheme="minorEastAsia"/>
          <w:b/>
          <w:color w:val="auto"/>
          <w:sz w:val="24"/>
          <w:highlight w:val="none"/>
        </w:rPr>
      </w:pPr>
      <w:bookmarkStart w:id="36" w:name="_Toc10142"/>
      <w:bookmarkStart w:id="37" w:name="_Toc5230"/>
      <w:r>
        <w:rPr>
          <w:rFonts w:hint="eastAsia" w:asciiTheme="minorEastAsia" w:hAnsiTheme="minorEastAsia" w:eastAsiaTheme="minorEastAsia"/>
          <w:b/>
          <w:color w:val="auto"/>
          <w:sz w:val="24"/>
          <w:highlight w:val="none"/>
        </w:rPr>
        <w:t>一、总则</w:t>
      </w:r>
      <w:bookmarkEnd w:id="36"/>
      <w:bookmarkEnd w:id="37"/>
    </w:p>
    <w:p w14:paraId="531E11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C37507F">
      <w:pPr>
        <w:spacing w:line="360" w:lineRule="auto"/>
        <w:ind w:firstLine="437"/>
        <w:outlineLvl w:val="1"/>
        <w:rPr>
          <w:rFonts w:asciiTheme="minorEastAsia" w:hAnsiTheme="minorEastAsia" w:eastAsiaTheme="minorEastAsia"/>
          <w:b/>
          <w:color w:val="auto"/>
          <w:sz w:val="24"/>
          <w:highlight w:val="none"/>
        </w:rPr>
      </w:pPr>
      <w:bookmarkStart w:id="38" w:name="_Toc25812"/>
      <w:bookmarkStart w:id="39" w:name="_Toc30817"/>
      <w:r>
        <w:rPr>
          <w:rFonts w:hint="eastAsia" w:asciiTheme="minorEastAsia" w:hAnsiTheme="minorEastAsia" w:eastAsiaTheme="minorEastAsia"/>
          <w:b/>
          <w:color w:val="auto"/>
          <w:sz w:val="24"/>
          <w:highlight w:val="none"/>
        </w:rPr>
        <w:t>二、评审方法</w:t>
      </w:r>
      <w:bookmarkEnd w:id="38"/>
      <w:bookmarkEnd w:id="39"/>
    </w:p>
    <w:p w14:paraId="0FDCBB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2.1评审</w:t>
      </w:r>
    </w:p>
    <w:p w14:paraId="76CF85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553"/>
        <w:gridCol w:w="4413"/>
        <w:gridCol w:w="1856"/>
      </w:tblGrid>
      <w:tr w14:paraId="3585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2A9AC6F">
            <w:pPr>
              <w:adjustRightInd w:val="0"/>
              <w:snapToGrid w:val="0"/>
              <w:spacing w:line="360" w:lineRule="auto"/>
              <w:ind w:right="-10"/>
              <w:jc w:val="center"/>
              <w:rPr>
                <w:rFonts w:ascii="宋体" w:hAnsi="宋体" w:eastAsia="宋体"/>
                <w:color w:val="auto"/>
                <w:sz w:val="24"/>
                <w:highlight w:val="none"/>
              </w:rPr>
            </w:pPr>
            <w:bookmarkStart w:id="40" w:name="_Hlk60612144"/>
            <w:r>
              <w:rPr>
                <w:rFonts w:hint="eastAsia" w:ascii="宋体" w:hAnsi="宋体" w:eastAsia="宋体"/>
                <w:b/>
                <w:color w:val="auto"/>
                <w:sz w:val="24"/>
                <w:szCs w:val="22"/>
                <w:highlight w:val="none"/>
              </w:rPr>
              <w:t>初审表</w:t>
            </w:r>
          </w:p>
        </w:tc>
      </w:tr>
      <w:tr w14:paraId="296D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327026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6F41FBA9">
            <w:pPr>
              <w:pStyle w:val="30"/>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40EEC91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7" w:type="pct"/>
            <w:tcBorders>
              <w:bottom w:val="single" w:color="auto" w:sz="4" w:space="0"/>
            </w:tcBorders>
            <w:vAlign w:val="center"/>
          </w:tcPr>
          <w:p w14:paraId="35E97D3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B0B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1" w:type="pct"/>
            <w:tcBorders>
              <w:bottom w:val="single" w:color="auto" w:sz="4" w:space="0"/>
            </w:tcBorders>
            <w:vAlign w:val="center"/>
          </w:tcPr>
          <w:p w14:paraId="0450E3F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2C67B47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89" w:type="pct"/>
            <w:tcBorders>
              <w:bottom w:val="single" w:color="auto" w:sz="4" w:space="0"/>
            </w:tcBorders>
            <w:vAlign w:val="center"/>
          </w:tcPr>
          <w:p w14:paraId="7CFC957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03C720C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73EA111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25B60FD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7ACF1AF4">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7" w:type="pct"/>
            <w:vAlign w:val="center"/>
          </w:tcPr>
          <w:p w14:paraId="3A612DBA">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谈判</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7D4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099916E">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4C505A0F">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64711874">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谈判</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087" w:type="pct"/>
            <w:tcBorders>
              <w:bottom w:val="single" w:color="auto" w:sz="4" w:space="0"/>
            </w:tcBorders>
            <w:vAlign w:val="center"/>
          </w:tcPr>
          <w:p w14:paraId="191B6D9B">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347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79907F8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1A158DE2">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5FAB088B">
            <w:pPr>
              <w:spacing w:after="50" w:line="360" w:lineRule="auto"/>
              <w:ind w:right="-10" w:rightChars="0"/>
              <w:jc w:val="left"/>
              <w:rPr>
                <w:rFonts w:ascii="@仿宋_GB2312" w:hAnsi="@仿宋_GB2312" w:eastAsia="@仿宋_GB2312" w:cs="@仿宋_GB2312"/>
                <w:kern w:val="2"/>
                <w:sz w:val="21"/>
                <w:highlight w:val="none"/>
                <w:lang w:val="en-US"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7" w:type="pct"/>
            <w:tcBorders>
              <w:bottom w:val="single" w:color="auto" w:sz="4" w:space="0"/>
            </w:tcBorders>
            <w:vAlign w:val="center"/>
          </w:tcPr>
          <w:p w14:paraId="4C47F2A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56B2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032DB25">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4</w:t>
            </w:r>
          </w:p>
        </w:tc>
        <w:tc>
          <w:tcPr>
            <w:tcW w:w="911" w:type="pct"/>
            <w:vAlign w:val="center"/>
          </w:tcPr>
          <w:p w14:paraId="5E4AA7F2">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589" w:type="pct"/>
            <w:vAlign w:val="center"/>
          </w:tcPr>
          <w:p w14:paraId="6101AFBA">
            <w:pPr>
              <w:spacing w:after="50" w:line="360" w:lineRule="auto"/>
              <w:ind w:right="-10" w:rightChars="0"/>
              <w:jc w:val="both"/>
              <w:rPr>
                <w:rFonts w:hint="eastAsia" w:ascii="宋体" w:hAnsi="宋体" w:eastAsia="宋体" w:cs="宋体"/>
                <w:color w:val="auto"/>
                <w:kern w:val="2"/>
                <w:sz w:val="24"/>
                <w:szCs w:val="24"/>
                <w:highlight w:val="none"/>
                <w:lang w:val="en-US" w:eastAsia="en-US" w:bidi="ar-SA"/>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谈判</w:t>
            </w:r>
            <w:r>
              <w:rPr>
                <w:rFonts w:ascii="宋体" w:hAnsi="宋体" w:eastAsia="宋体" w:cs="宋体"/>
                <w:spacing w:val="10"/>
                <w:sz w:val="24"/>
                <w:szCs w:val="24"/>
                <w:highlight w:val="none"/>
              </w:rPr>
              <w:t>邀请》</w:t>
            </w:r>
          </w:p>
        </w:tc>
        <w:tc>
          <w:tcPr>
            <w:tcW w:w="1087" w:type="pct"/>
            <w:vAlign w:val="center"/>
          </w:tcPr>
          <w:p w14:paraId="16392038">
            <w:pPr>
              <w:spacing w:after="50" w:line="360" w:lineRule="auto"/>
              <w:ind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F40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76BE25D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5</w:t>
            </w:r>
          </w:p>
        </w:tc>
        <w:tc>
          <w:tcPr>
            <w:tcW w:w="911" w:type="pct"/>
            <w:vAlign w:val="center"/>
          </w:tcPr>
          <w:p w14:paraId="296216A3">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谈判响应</w:t>
            </w:r>
            <w:r>
              <w:rPr>
                <w:rFonts w:hint="eastAsia" w:asciiTheme="minorEastAsia" w:hAnsiTheme="minorEastAsia" w:eastAsiaTheme="minorEastAsia"/>
                <w:color w:val="auto"/>
                <w:sz w:val="24"/>
                <w:szCs w:val="28"/>
                <w:highlight w:val="none"/>
              </w:rPr>
              <w:t>函</w:t>
            </w:r>
          </w:p>
        </w:tc>
        <w:tc>
          <w:tcPr>
            <w:tcW w:w="2589" w:type="pct"/>
            <w:vAlign w:val="center"/>
          </w:tcPr>
          <w:p w14:paraId="3422D32D">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7" w:type="pct"/>
            <w:vAlign w:val="center"/>
          </w:tcPr>
          <w:p w14:paraId="65CE3675">
            <w:pPr>
              <w:adjustRightInd w:val="0"/>
              <w:snapToGrid w:val="0"/>
              <w:spacing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95C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1295EB7">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6</w:t>
            </w:r>
          </w:p>
        </w:tc>
        <w:tc>
          <w:tcPr>
            <w:tcW w:w="911" w:type="pct"/>
            <w:vAlign w:val="center"/>
          </w:tcPr>
          <w:p w14:paraId="52B5646F">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589006F8">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7" w:type="pct"/>
            <w:vAlign w:val="center"/>
          </w:tcPr>
          <w:p w14:paraId="59D99C3D">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32F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22D4CF5">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7</w:t>
            </w:r>
          </w:p>
        </w:tc>
        <w:tc>
          <w:tcPr>
            <w:tcW w:w="911" w:type="pct"/>
            <w:vAlign w:val="center"/>
          </w:tcPr>
          <w:p w14:paraId="56E04ED9">
            <w:pPr>
              <w:spacing w:after="50" w:line="360" w:lineRule="auto"/>
              <w:ind w:right="-10" w:rightChars="0"/>
              <w:jc w:val="center"/>
              <w:rPr>
                <w:rFonts w:hint="eastAsia"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589" w:type="pct"/>
            <w:vAlign w:val="center"/>
          </w:tcPr>
          <w:p w14:paraId="7058C52D">
            <w:pPr>
              <w:spacing w:after="50" w:line="360" w:lineRule="auto"/>
              <w:ind w:right="-10" w:rightChars="0"/>
              <w:jc w:val="center"/>
              <w:rPr>
                <w:rFonts w:ascii="宋体" w:hAnsi="宋体" w:eastAsia="宋体" w:cs="宋体"/>
                <w:spacing w:val="-2"/>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7" w:type="pct"/>
            <w:vAlign w:val="center"/>
          </w:tcPr>
          <w:p w14:paraId="4C76C88F">
            <w:pPr>
              <w:adjustRightInd w:val="0"/>
              <w:snapToGrid w:val="0"/>
              <w:spacing w:line="360" w:lineRule="auto"/>
              <w:ind w:right="-1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EA6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253A84CA">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8</w:t>
            </w:r>
          </w:p>
        </w:tc>
        <w:tc>
          <w:tcPr>
            <w:tcW w:w="911" w:type="pct"/>
            <w:vAlign w:val="center"/>
          </w:tcPr>
          <w:p w14:paraId="52AFD7B2">
            <w:pPr>
              <w:spacing w:after="50" w:line="360" w:lineRule="auto"/>
              <w:ind w:right="-10" w:rightChars="0"/>
              <w:jc w:val="center"/>
              <w:rPr>
                <w:rFonts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589" w:type="pct"/>
            <w:vAlign w:val="center"/>
          </w:tcPr>
          <w:p w14:paraId="4D496060">
            <w:pPr>
              <w:spacing w:after="50" w:line="360" w:lineRule="auto"/>
              <w:ind w:right="-10" w:rightChars="0"/>
              <w:jc w:val="center"/>
              <w:rPr>
                <w:rFonts w:ascii="宋体" w:hAnsi="宋体" w:eastAsia="宋体" w:cs="宋体"/>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等实质性要求</w:t>
            </w:r>
          </w:p>
        </w:tc>
        <w:tc>
          <w:tcPr>
            <w:tcW w:w="1087" w:type="pct"/>
            <w:vAlign w:val="center"/>
          </w:tcPr>
          <w:p w14:paraId="7575027D">
            <w:pPr>
              <w:adjustRightInd w:val="0"/>
              <w:snapToGrid w:val="0"/>
              <w:spacing w:line="360" w:lineRule="auto"/>
              <w:ind w:right="-10" w:rightChars="0"/>
              <w:jc w:val="center"/>
              <w:rPr>
                <w:rFonts w:ascii="宋体" w:hAnsi="宋体" w:eastAsia="宋体" w:cs="宋体"/>
                <w:spacing w:val="10"/>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51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3138A203">
            <w:pPr>
              <w:adjustRightInd w:val="0"/>
              <w:snapToGrid w:val="0"/>
              <w:spacing w:line="360" w:lineRule="auto"/>
              <w:ind w:right="-10" w:rightChars="0"/>
              <w:jc w:val="center"/>
              <w:rPr>
                <w:rFonts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rPr>
              <w:t>9</w:t>
            </w:r>
          </w:p>
        </w:tc>
        <w:tc>
          <w:tcPr>
            <w:tcW w:w="911" w:type="pct"/>
            <w:vAlign w:val="center"/>
          </w:tcPr>
          <w:p w14:paraId="6BB87667">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技术响应情况</w:t>
            </w:r>
          </w:p>
        </w:tc>
        <w:tc>
          <w:tcPr>
            <w:tcW w:w="2589" w:type="pct"/>
            <w:vAlign w:val="center"/>
          </w:tcPr>
          <w:p w14:paraId="2AE0BCE6">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87" w:type="pct"/>
            <w:vAlign w:val="center"/>
          </w:tcPr>
          <w:p w14:paraId="00ABA1F6">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F7C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5674C17D">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10</w:t>
            </w:r>
          </w:p>
        </w:tc>
        <w:tc>
          <w:tcPr>
            <w:tcW w:w="911" w:type="pct"/>
            <w:vAlign w:val="center"/>
          </w:tcPr>
          <w:p w14:paraId="443E0C5B">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89" w:type="pct"/>
            <w:vAlign w:val="center"/>
          </w:tcPr>
          <w:p w14:paraId="74DA0B8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实质性要求</w:t>
            </w:r>
          </w:p>
        </w:tc>
        <w:tc>
          <w:tcPr>
            <w:tcW w:w="1087" w:type="pct"/>
            <w:vAlign w:val="center"/>
          </w:tcPr>
          <w:p w14:paraId="12A66424">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p>
        </w:tc>
      </w:tr>
      <w:bookmarkEnd w:id="40"/>
    </w:tbl>
    <w:p w14:paraId="1289CC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（4）谈判小组基于专业判断，认为供应商报价过低，有可能影响产品质量或者不能诚信履约的其他情形。</w:t>
            </w:r>
          </w:p>
          <w:p w14:paraId="14FCFEF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0BE4D07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407B687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3D504B4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参照</w:t>
      </w:r>
      <w:r>
        <w:rPr>
          <w:rFonts w:hint="eastAsia" w:ascii="宋体" w:hAnsi="宋体" w:eastAsia="宋体"/>
          <w:sz w:val="24"/>
          <w:highlight w:val="none"/>
        </w:rPr>
        <w:t>《关于推进解决政府采购异常低价问题的通知》（财库〔2026〕2号），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295519EC">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谈判</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谈判</w:t>
      </w:r>
      <w:r>
        <w:rPr>
          <w:rFonts w:hint="eastAsia" w:ascii="宋体" w:hAnsi="宋体" w:eastAsia="宋体"/>
          <w:sz w:val="24"/>
          <w:highlight w:val="none"/>
        </w:rPr>
        <w:t xml:space="preserve">小组应当将其作为无效响应处理。 </w:t>
      </w:r>
    </w:p>
    <w:p w14:paraId="03E83FE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sz w:val="24"/>
          <w:highlight w:val="none"/>
        </w:rPr>
      </w:pPr>
      <w:r>
        <w:rPr>
          <w:rFonts w:hint="eastAsia" w:ascii="宋体" w:hAnsi="宋体" w:eastAsia="宋体" w:cs="Arial"/>
          <w:kern w:val="2"/>
          <w:sz w:val="24"/>
          <w:highlight w:val="none"/>
          <w:lang w:val="en-US" w:eastAsia="zh-CN" w:bidi="ar-SA"/>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r>
        <w:rPr>
          <w:rFonts w:hint="eastAsia" w:asciiTheme="minorEastAsia" w:hAnsiTheme="minorEastAsia" w:eastAsiaTheme="minorEastAsia"/>
          <w:color w:val="auto"/>
          <w:sz w:val="24"/>
          <w:highlight w:val="none"/>
        </w:rPr>
        <w:t>。</w:t>
      </w:r>
    </w:p>
    <w:p w14:paraId="305BF105">
      <w:pPr>
        <w:rPr>
          <w:rFonts w:hint="eastAsia" w:asciiTheme="minorEastAsia" w:hAnsiTheme="minorEastAsia" w:eastAsiaTheme="minorEastAsia"/>
          <w:b/>
          <w:color w:val="auto"/>
          <w:sz w:val="28"/>
          <w:highlight w:val="none"/>
        </w:rPr>
      </w:pPr>
      <w:bookmarkStart w:id="41" w:name="_Toc35525217"/>
      <w:bookmarkStart w:id="42" w:name="_Toc6738"/>
      <w:r>
        <w:rPr>
          <w:rFonts w:hint="eastAsia" w:asciiTheme="minorEastAsia" w:hAnsiTheme="minorEastAsia" w:eastAsiaTheme="minorEastAsia"/>
          <w:b/>
          <w:color w:val="auto"/>
          <w:sz w:val="28"/>
          <w:highlight w:val="none"/>
        </w:rPr>
        <w:br w:type="page"/>
      </w:r>
    </w:p>
    <w:p w14:paraId="182DB160">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采购合同</w:t>
      </w:r>
      <w:bookmarkEnd w:id="41"/>
      <w:bookmarkEnd w:id="42"/>
    </w:p>
    <w:p w14:paraId="1C818252">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bookmarkStart w:id="43" w:name="_Toc24145"/>
    </w:p>
    <w:p w14:paraId="1D8E6547">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B631675">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1D7745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FCCE9B0">
      <w:pPr>
        <w:pStyle w:val="8"/>
        <w:rPr>
          <w:rFonts w:hint="eastAsia" w:ascii="宋体" w:hAnsi="宋体" w:eastAsia="宋体" w:cs="宋体"/>
          <w:b/>
          <w:bCs/>
          <w:spacing w:val="-20"/>
          <w:kern w:val="44"/>
          <w:sz w:val="24"/>
          <w:szCs w:val="24"/>
          <w:highlight w:val="none"/>
        </w:rPr>
      </w:pPr>
    </w:p>
    <w:p w14:paraId="2B08A30A">
      <w:pPr>
        <w:pStyle w:val="8"/>
        <w:rPr>
          <w:rFonts w:hint="eastAsia" w:ascii="宋体" w:hAnsi="宋体" w:eastAsia="宋体" w:cs="宋体"/>
          <w:b/>
          <w:bCs/>
          <w:spacing w:val="-20"/>
          <w:kern w:val="44"/>
          <w:sz w:val="24"/>
          <w:szCs w:val="24"/>
          <w:highlight w:val="none"/>
        </w:rPr>
      </w:pPr>
    </w:p>
    <w:p w14:paraId="0B7E276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AED047">
      <w:pPr>
        <w:pStyle w:val="8"/>
        <w:pageBreakBefore w:val="0"/>
        <w:kinsoku/>
        <w:wordWrap/>
        <w:overflowPunct/>
        <w:topLinePunct w:val="0"/>
        <w:bidi w:val="0"/>
        <w:spacing w:line="360" w:lineRule="auto"/>
        <w:textAlignment w:val="auto"/>
        <w:rPr>
          <w:rFonts w:hint="eastAsia"/>
          <w:highlight w:val="none"/>
        </w:rPr>
      </w:pPr>
    </w:p>
    <w:p w14:paraId="2A5ABA68">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3044915">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14:paraId="4922425E">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8F192F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50DA013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32534CF7">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36187AD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CB9C81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19F5DC90">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8C25E98">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明</w:t>
      </w:r>
    </w:p>
    <w:p w14:paraId="6BC825D5">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F619A2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1.本合同标准文本适用于购买现成货物的采购项目，不包括需要供应商定制开发、创新研发的货物采购项目。</w:t>
      </w:r>
    </w:p>
    <w:p w14:paraId="430FA124">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2.本合同标准文本为采购货物买卖合同编制提供参考，可以结合采购项目具体情况，对文本作必要的调整修订后使用。</w:t>
      </w:r>
    </w:p>
    <w:p w14:paraId="2CE81049">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3.本合同标准文本各条款中，如涉及填写多家供应商、制造商，多种采购标的、分包主要内容等信息的，可根据采购项目具体情况添加信息项。</w:t>
      </w:r>
    </w:p>
    <w:p w14:paraId="08B3F7FC">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BCE4651">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44"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采购合同协议书</w:t>
      </w:r>
      <w:bookmarkEnd w:id="44"/>
    </w:p>
    <w:p w14:paraId="1718221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3C920772">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文件约定的合同甲方）</w:t>
      </w:r>
    </w:p>
    <w:p w14:paraId="264A988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7EB5D28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4B19C19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4DE50778">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187E8A">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19788A03">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5A45C478">
      <w:pPr>
        <w:pStyle w:val="9"/>
        <w:pageBreakBefore w:val="0"/>
        <w:numPr>
          <w:ilvl w:val="0"/>
          <w:numId w:val="3"/>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47A6D8A6">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14F53060">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597B5D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366B15D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D97CDD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9FEAD0D">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58437502">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6282D2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00D5A32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50B757DF">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5C84B23">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6D04CA7D">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（注：关键部件是指财政部会同有关部门发布的采购需求标准规定的需要通过国家有关部门指定的测评机构开展的安全可靠测评的软硬件，如CPU芯片、操作系统、数据库等。）</w:t>
      </w:r>
    </w:p>
    <w:p w14:paraId="612C0E3C">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01591BA9">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5B8B8910">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C250034">
      <w:pPr>
        <w:pStyle w:val="56"/>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分散采购</w:t>
      </w:r>
    </w:p>
    <w:p w14:paraId="19B13101">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5E59935">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CDAC8C5">
      <w:pPr>
        <w:pStyle w:val="56"/>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3AB07337">
      <w:pPr>
        <w:pStyle w:val="56"/>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14:paraId="5C17726B">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462687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45E74A1">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D2B1E9C">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51E45A3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60A68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E34F1C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7FCDA313">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7784A6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313CDD43">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22572E66">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32F74100">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CA4E048">
      <w:pPr>
        <w:pStyle w:val="56"/>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F44CFAC">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18A476F2">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4DF35BCD">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DCFA2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5ABE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14:paraId="14F39B9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04DC5209">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A47C893">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DE7DE1D">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5EBC351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88E59D1">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74463E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5EC24DBE">
      <w:pPr>
        <w:pStyle w:val="56"/>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438EFE43">
      <w:pPr>
        <w:pStyle w:val="56"/>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3F92CA8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2F9DFA4">
      <w:pPr>
        <w:pStyle w:val="56"/>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F7476FE">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5527B413">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4FBF914">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4B321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C8F0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AD7483F">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A380015">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0533513C">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C5594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0C85C02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24C7E463">
      <w:pPr>
        <w:pStyle w:val="57"/>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0F32C9B">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352412F">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33C86938">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62EAF324">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35E26E34">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05E5F7C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CD783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237D45C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0BAA1DA2">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07E58B1C">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6E9C6BB2">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566C73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6FDE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16FC54E5">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3C0B3707">
      <w:pPr>
        <w:pageBreakBefore w:val="0"/>
        <w:numPr>
          <w:ilvl w:val="0"/>
          <w:numId w:val="4"/>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343F3D4F">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EABB8C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3ADE95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C337E1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D94C18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EC2810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8316A1">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1C8F36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711E2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56096E3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38F4620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616B3AC7">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BD3312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1024F39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583E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7EB031DE">
      <w:pPr>
        <w:pStyle w:val="56"/>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255D0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CAB70E4">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4547B3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71AC55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9282F2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）采购合同专用条款</w:t>
      </w:r>
    </w:p>
    <w:p w14:paraId="48764AD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）采购合同通用条款</w:t>
      </w:r>
    </w:p>
    <w:p w14:paraId="698C7D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F1E5A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A615C7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3FDF69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25654D5">
      <w:pPr>
        <w:pStyle w:val="56"/>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669ADF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6D5A0D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0D15765">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F6E04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17AA126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97FCBC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0F33D4F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7278101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2DDEBD">
      <w:pPr>
        <w:pStyle w:val="57"/>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F4D5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A24FC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7E4D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0AA69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8DFA1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C0F75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58AE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14:paraId="1345D2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600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78503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00266727">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E509C3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2E12F0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4586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3D1DD7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1CFB4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B62B2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860D6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3A14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9A6016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F4FF0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6687C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E358E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A00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179E984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CF8D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24BD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E0FB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9B8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3A900E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0464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7661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1B7CB0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4F9F6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677C9A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9FACB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1057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94163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44F87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870D6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4AC0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93E34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9106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D690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F143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CB21B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DFEA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B4C703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1022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584A05A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B1345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A52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88AE2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D623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66EE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C5C9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A86A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72361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A826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7E550A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FD46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29AD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E0A6A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FFFAA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30E3A2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248D4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8987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8ED9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A272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534A1A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285D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C9A40A">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7187DD6E">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5" w:name="_Toc27624"/>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第二节 采购合同通用条款</w:t>
      </w:r>
      <w:bookmarkEnd w:id="45"/>
    </w:p>
    <w:p w14:paraId="5C17CC8E">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9F5B27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209AE3E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（1）采购人（以下称甲方）是指通过采购方式向供应商购买货物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30D61E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CE30B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788640B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73E19A41">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017A3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CDDE3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1C762AE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61DBC87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EECCA9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16410B5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04ABCB22">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9203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282A7EA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4F21B7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DE04B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0CA8C6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F459A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31BAD6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7282396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59F27A28">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F858BE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2D76442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69BE20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780B2AB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3346EEE1">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1628627E">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58638573">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147485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6F79A0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636C94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165FEB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3D5F5E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3FECCA3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352AA0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5A3BB6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7CB6D67B">
      <w:pPr>
        <w:pStyle w:val="56"/>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7276B02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09B928D4">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6D6E57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E450FC9">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A9E2E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EC55A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3F87B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D9CC16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9FFB5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69B62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26B8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5FC9E4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076CAB2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5D13A3F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7A752A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1AFEEA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4B9588E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247AE8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289F4F1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7A66C3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【采购合同专用条款】</w:t>
      </w:r>
      <w:r>
        <w:rPr>
          <w:rFonts w:hint="eastAsia" w:ascii="宋体" w:hAnsi="宋体" w:eastAsia="宋体" w:cs="宋体"/>
          <w:sz w:val="24"/>
          <w:szCs w:val="24"/>
          <w:highlight w:val="none"/>
        </w:rPr>
        <w:t>中约定。</w:t>
      </w:r>
    </w:p>
    <w:p w14:paraId="112B1C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F178630">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管理相关</w:t>
      </w:r>
      <w:r>
        <w:rPr>
          <w:rFonts w:hint="eastAsia" w:ascii="宋体" w:hAnsi="宋体" w:eastAsia="宋体" w:cs="宋体"/>
          <w:color w:val="auto"/>
          <w:sz w:val="24"/>
          <w:szCs w:val="24"/>
          <w:highlight w:val="none"/>
        </w:rPr>
        <w:t>规定执行。</w:t>
      </w:r>
    </w:p>
    <w:p w14:paraId="66AF8B9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79E751D">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1D2A1A2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625DBE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9AFC635">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【采购合同专用条款】</w:t>
      </w:r>
      <w:r>
        <w:rPr>
          <w:rFonts w:hint="eastAsia" w:ascii="宋体" w:hAnsi="宋体" w:eastAsia="宋体" w:cs="宋体"/>
          <w:color w:val="auto"/>
          <w:sz w:val="24"/>
          <w:szCs w:val="24"/>
          <w:highlight w:val="none"/>
        </w:rPr>
        <w:t>规定支付。</w:t>
      </w:r>
    </w:p>
    <w:p w14:paraId="75C744B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1ED82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E40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90623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2049A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6AF214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1A017AAA">
      <w:pPr>
        <w:pStyle w:val="56"/>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245FC4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【采购合同专用条款】</w:t>
      </w:r>
      <w:r>
        <w:rPr>
          <w:rFonts w:hint="eastAsia" w:ascii="宋体" w:hAnsi="宋体" w:eastAsia="宋体" w:cs="宋体"/>
          <w:color w:val="auto"/>
          <w:sz w:val="24"/>
          <w:szCs w:val="24"/>
          <w:highlight w:val="none"/>
        </w:rPr>
        <w:t>规定由乙方提供的其他服务。</w:t>
      </w:r>
    </w:p>
    <w:p w14:paraId="0D689F3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681F436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9B32D8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05DEC6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302B8FF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CB19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961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61999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53FDE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【采购合同专用条款】</w:t>
      </w:r>
      <w:r>
        <w:rPr>
          <w:rFonts w:hint="eastAsia" w:ascii="宋体" w:hAnsi="宋体" w:eastAsia="宋体" w:cs="宋体"/>
          <w:color w:val="auto"/>
          <w:sz w:val="24"/>
          <w:szCs w:val="24"/>
          <w:highlight w:val="none"/>
        </w:rPr>
        <w:t>规定的逾期付款利息。</w:t>
      </w:r>
    </w:p>
    <w:p w14:paraId="6159C30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【采购合同专用条款】</w:t>
      </w:r>
      <w:r>
        <w:rPr>
          <w:rFonts w:hint="eastAsia" w:ascii="宋体" w:hAnsi="宋体" w:eastAsia="宋体" w:cs="宋体"/>
          <w:color w:val="auto"/>
          <w:sz w:val="24"/>
          <w:szCs w:val="24"/>
          <w:highlight w:val="none"/>
        </w:rPr>
        <w:t>规定执行。</w:t>
      </w:r>
    </w:p>
    <w:p w14:paraId="54A714C2">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EF3F1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49FFEE6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E02328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3D2A78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BA99B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41867E7">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3FFD651B">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EB271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BC2926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545EA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298B127B">
      <w:pPr>
        <w:pStyle w:val="56"/>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EA8DDF8">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228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0F6EA60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791257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E0813E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478E35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21C2F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81761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EE1E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681F38">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7DA57999">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BCDFB88">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C84F69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采购政策</w:t>
      </w:r>
    </w:p>
    <w:p w14:paraId="3B9941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本合同应当按照规定执行采购政策。</w:t>
      </w:r>
    </w:p>
    <w:p w14:paraId="01FBB5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0070202">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1114B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6FA0F50F">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8EFDCF5">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A04B13">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0A7DAA">
      <w:pPr>
        <w:pStyle w:val="56"/>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本合同任何一方向对方发出的通知、信件、数据电文等，应当发送至本合同第一部分《采购合同协议书》所约定的通讯地址、联系人、联系电话或电子邮箱。</w:t>
      </w:r>
    </w:p>
    <w:p w14:paraId="71609EF1">
      <w:pPr>
        <w:pStyle w:val="56"/>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587E105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6E7E74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5AB7C76">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361154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【采购合同专用条款】</w:t>
      </w:r>
      <w:r>
        <w:rPr>
          <w:rFonts w:hint="eastAsia" w:ascii="宋体" w:hAnsi="宋体" w:eastAsia="宋体" w:cs="宋体"/>
          <w:bCs/>
          <w:color w:val="auto"/>
          <w:sz w:val="24"/>
          <w:szCs w:val="24"/>
          <w:highlight w:val="none"/>
        </w:rPr>
        <w:t>。</w:t>
      </w:r>
    </w:p>
    <w:p w14:paraId="6C04189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72DD95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478A1458">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采购合同专用条款</w:t>
      </w:r>
      <w:bookmarkEnd w:id="47"/>
    </w:p>
    <w:tbl>
      <w:tblPr>
        <w:tblStyle w:val="21"/>
        <w:tblW w:w="9996" w:type="dxa"/>
        <w:tblInd w:w="-47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4"/>
        <w:gridCol w:w="1800"/>
        <w:gridCol w:w="6492"/>
      </w:tblGrid>
      <w:tr w14:paraId="6E710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470D3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6FB3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800" w:type="dxa"/>
            <w:vAlign w:val="center"/>
          </w:tcPr>
          <w:p w14:paraId="20353D3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6492" w:type="dxa"/>
            <w:vAlign w:val="center"/>
          </w:tcPr>
          <w:p w14:paraId="743478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F5F9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4" w:type="dxa"/>
            <w:vAlign w:val="center"/>
          </w:tcPr>
          <w:p w14:paraId="0C99E6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B077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800" w:type="dxa"/>
            <w:vAlign w:val="center"/>
          </w:tcPr>
          <w:p w14:paraId="46B228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6492" w:type="dxa"/>
            <w:vAlign w:val="center"/>
          </w:tcPr>
          <w:p w14:paraId="5157C0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78C1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4D609C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780AA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800" w:type="dxa"/>
            <w:vAlign w:val="center"/>
          </w:tcPr>
          <w:p w14:paraId="33CAD19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6492" w:type="dxa"/>
            <w:vAlign w:val="center"/>
          </w:tcPr>
          <w:p w14:paraId="3729CD7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0627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7F1408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C5987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800" w:type="dxa"/>
            <w:vAlign w:val="center"/>
          </w:tcPr>
          <w:p w14:paraId="67ECDAD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6492" w:type="dxa"/>
            <w:vAlign w:val="center"/>
          </w:tcPr>
          <w:p w14:paraId="3D9B851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A2D8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2FCAB9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5A4E3C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800" w:type="dxa"/>
            <w:vAlign w:val="center"/>
          </w:tcPr>
          <w:p w14:paraId="628323C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6492" w:type="dxa"/>
            <w:vAlign w:val="center"/>
          </w:tcPr>
          <w:p w14:paraId="4014587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D12E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617F88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6912DC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800" w:type="dxa"/>
            <w:vAlign w:val="center"/>
          </w:tcPr>
          <w:p w14:paraId="59480A2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6492" w:type="dxa"/>
            <w:vAlign w:val="center"/>
          </w:tcPr>
          <w:p w14:paraId="176F6EA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D4BE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4" w:type="dxa"/>
            <w:vMerge w:val="restart"/>
            <w:vAlign w:val="center"/>
          </w:tcPr>
          <w:p w14:paraId="00A9EC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004E9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800" w:type="dxa"/>
            <w:vAlign w:val="center"/>
          </w:tcPr>
          <w:p w14:paraId="42B8D8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6492" w:type="dxa"/>
            <w:vAlign w:val="center"/>
          </w:tcPr>
          <w:p w14:paraId="2B3B63F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7AEA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4" w:type="dxa"/>
            <w:vMerge w:val="continue"/>
            <w:vAlign w:val="center"/>
          </w:tcPr>
          <w:p w14:paraId="4F5CF0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800" w:type="dxa"/>
            <w:vAlign w:val="center"/>
          </w:tcPr>
          <w:p w14:paraId="42295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6492" w:type="dxa"/>
            <w:vAlign w:val="center"/>
          </w:tcPr>
          <w:p w14:paraId="4501C18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59A83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4" w:type="dxa"/>
            <w:vAlign w:val="center"/>
          </w:tcPr>
          <w:p w14:paraId="52BDB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9B6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800" w:type="dxa"/>
            <w:vAlign w:val="center"/>
          </w:tcPr>
          <w:p w14:paraId="0A65095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6492" w:type="dxa"/>
            <w:vAlign w:val="center"/>
          </w:tcPr>
          <w:p w14:paraId="7BC1BDB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1612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4" w:type="dxa"/>
            <w:vAlign w:val="center"/>
          </w:tcPr>
          <w:p w14:paraId="694DD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CBAC2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800" w:type="dxa"/>
            <w:vAlign w:val="center"/>
          </w:tcPr>
          <w:p w14:paraId="4DA68A7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6492" w:type="dxa"/>
            <w:vAlign w:val="center"/>
          </w:tcPr>
          <w:p w14:paraId="4B87AFCF">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3D4A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3F1768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38B6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800" w:type="dxa"/>
            <w:vAlign w:val="center"/>
          </w:tcPr>
          <w:p w14:paraId="42DF0C0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6492" w:type="dxa"/>
            <w:vAlign w:val="center"/>
          </w:tcPr>
          <w:p w14:paraId="3502A23A">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EAADA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05501A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33F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800" w:type="dxa"/>
            <w:vAlign w:val="center"/>
          </w:tcPr>
          <w:p w14:paraId="77DF69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375502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6492" w:type="dxa"/>
            <w:vAlign w:val="center"/>
          </w:tcPr>
          <w:p w14:paraId="39CD44C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9F61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1BCB5904">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6D0307E">
            <w:pPr>
              <w:pStyle w:val="56"/>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800" w:type="dxa"/>
            <w:vAlign w:val="center"/>
          </w:tcPr>
          <w:p w14:paraId="69C2C20D">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6492" w:type="dxa"/>
            <w:vAlign w:val="center"/>
          </w:tcPr>
          <w:p w14:paraId="79F759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93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4" w:type="dxa"/>
            <w:vAlign w:val="center"/>
          </w:tcPr>
          <w:p w14:paraId="33A5BA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40CA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800" w:type="dxa"/>
            <w:vAlign w:val="center"/>
          </w:tcPr>
          <w:p w14:paraId="0421304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6492" w:type="dxa"/>
            <w:vAlign w:val="center"/>
          </w:tcPr>
          <w:p w14:paraId="61F0C8F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52447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4" w:type="dxa"/>
            <w:vAlign w:val="center"/>
          </w:tcPr>
          <w:p w14:paraId="37E1C7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D3AA38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800" w:type="dxa"/>
            <w:vAlign w:val="center"/>
          </w:tcPr>
          <w:p w14:paraId="5B8C633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6492" w:type="dxa"/>
            <w:vAlign w:val="center"/>
          </w:tcPr>
          <w:p w14:paraId="3ACA44B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55355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61E7ED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82853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800" w:type="dxa"/>
            <w:vAlign w:val="center"/>
          </w:tcPr>
          <w:p w14:paraId="5B21581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6492" w:type="dxa"/>
            <w:vAlign w:val="center"/>
          </w:tcPr>
          <w:p w14:paraId="28E6C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A41C6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4" w:type="dxa"/>
            <w:vAlign w:val="center"/>
          </w:tcPr>
          <w:p w14:paraId="1E640C5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FBBC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800" w:type="dxa"/>
            <w:vAlign w:val="center"/>
          </w:tcPr>
          <w:p w14:paraId="50390AE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6492" w:type="dxa"/>
            <w:vAlign w:val="center"/>
          </w:tcPr>
          <w:p w14:paraId="2714B0B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AFD4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4" w:type="dxa"/>
            <w:vAlign w:val="center"/>
          </w:tcPr>
          <w:p w14:paraId="61EDF0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94E3F3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800" w:type="dxa"/>
            <w:vAlign w:val="center"/>
          </w:tcPr>
          <w:p w14:paraId="41B3976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6492" w:type="dxa"/>
            <w:vAlign w:val="center"/>
          </w:tcPr>
          <w:p w14:paraId="4ED4073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42F1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2E9101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7DC2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800" w:type="dxa"/>
            <w:vAlign w:val="center"/>
          </w:tcPr>
          <w:p w14:paraId="66DC48C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6492" w:type="dxa"/>
            <w:vAlign w:val="center"/>
          </w:tcPr>
          <w:p w14:paraId="2CBC2D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060D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789BAD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bookmarkStart w:id="98" w:name="_GoBack"/>
            <w:r>
              <w:rPr>
                <w:rFonts w:hint="eastAsia" w:ascii="宋体" w:hAnsi="宋体" w:eastAsia="宋体" w:cs="宋体"/>
                <w:color w:val="auto"/>
                <w:sz w:val="24"/>
                <w:szCs w:val="24"/>
                <w:highlight w:val="none"/>
              </w:rPr>
              <w:t>第二节</w:t>
            </w:r>
          </w:p>
          <w:p w14:paraId="64902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800" w:type="dxa"/>
            <w:vAlign w:val="center"/>
          </w:tcPr>
          <w:p w14:paraId="55E2017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6492" w:type="dxa"/>
            <w:vAlign w:val="center"/>
          </w:tcPr>
          <w:p w14:paraId="3E8511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C33E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3740BC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5ED88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800" w:type="dxa"/>
            <w:vAlign w:val="center"/>
          </w:tcPr>
          <w:p w14:paraId="5B406B8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6492" w:type="dxa"/>
            <w:vAlign w:val="center"/>
          </w:tcPr>
          <w:p w14:paraId="135318E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r>
              <w:rPr>
                <w:rFonts w:hint="eastAsia" w:ascii="仿宋" w:hAnsi="仿宋" w:eastAsia="仿宋"/>
                <w:color w:val="auto"/>
                <w:sz w:val="28"/>
                <w:szCs w:val="28"/>
                <w:highlight w:val="none"/>
              </w:rPr>
              <w:t>如果中标供应商没有按照合同规定的时间提供</w:t>
            </w:r>
            <w:r>
              <w:rPr>
                <w:rFonts w:hint="eastAsia" w:ascii="仿宋" w:hAnsi="仿宋" w:eastAsia="仿宋"/>
                <w:color w:val="auto"/>
                <w:sz w:val="28"/>
                <w:szCs w:val="28"/>
                <w:highlight w:val="none"/>
                <w:lang w:val="en-US" w:eastAsia="zh-CN"/>
              </w:rPr>
              <w:t>货物或</w:t>
            </w:r>
            <w:r>
              <w:rPr>
                <w:rFonts w:hint="eastAsia" w:ascii="仿宋" w:hAnsi="仿宋" w:eastAsia="仿宋"/>
                <w:color w:val="auto"/>
                <w:sz w:val="28"/>
                <w:szCs w:val="28"/>
                <w:highlight w:val="none"/>
              </w:rPr>
              <w:t>服务，中标供应商应向采购人支付违约金。违约金按每周未提供货物和服务总费用的0.5%计收，如未提供货物和服务时间超过4周，则按合同总价的</w:t>
            </w:r>
            <w:r>
              <w:rPr>
                <w:rFonts w:hint="eastAsia" w:ascii="仿宋" w:hAnsi="仿宋" w:eastAsia="仿宋"/>
                <w:color w:val="auto"/>
                <w:sz w:val="28"/>
                <w:szCs w:val="28"/>
                <w:highlight w:val="none"/>
                <w:lang w:val="en-US" w:eastAsia="zh-CN"/>
              </w:rPr>
              <w:t>20</w:t>
            </w:r>
            <w:r>
              <w:rPr>
                <w:rFonts w:hint="eastAsia" w:ascii="仿宋" w:hAnsi="仿宋" w:eastAsia="仿宋"/>
                <w:color w:val="auto"/>
                <w:sz w:val="28"/>
                <w:szCs w:val="28"/>
                <w:highlight w:val="none"/>
              </w:rPr>
              <w:t>%计收违约金。一周按7天计算，不足7天按一周计算。如未提供货物和服务时间超过4周，采购人可以终止合同。</w:t>
            </w:r>
          </w:p>
        </w:tc>
      </w:tr>
      <w:tr w14:paraId="03832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4" w:type="dxa"/>
            <w:vAlign w:val="center"/>
          </w:tcPr>
          <w:p w14:paraId="75CEE0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DE138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800" w:type="dxa"/>
            <w:vAlign w:val="center"/>
          </w:tcPr>
          <w:p w14:paraId="38AF59D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6492" w:type="dxa"/>
            <w:vAlign w:val="center"/>
          </w:tcPr>
          <w:p w14:paraId="08CB10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54F91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4" w:type="dxa"/>
            <w:tcBorders>
              <w:bottom w:val="single" w:color="auto" w:sz="2" w:space="0"/>
              <w:right w:val="single" w:color="auto" w:sz="2" w:space="0"/>
            </w:tcBorders>
            <w:vAlign w:val="center"/>
          </w:tcPr>
          <w:p w14:paraId="1D3BAB1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AF249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800" w:type="dxa"/>
            <w:tcBorders>
              <w:left w:val="single" w:color="auto" w:sz="2" w:space="0"/>
              <w:bottom w:val="single" w:color="auto" w:sz="2" w:space="0"/>
              <w:right w:val="single" w:color="auto" w:sz="2" w:space="0"/>
            </w:tcBorders>
            <w:vAlign w:val="center"/>
          </w:tcPr>
          <w:p w14:paraId="2468A1E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6492" w:type="dxa"/>
            <w:tcBorders>
              <w:left w:val="single" w:color="auto" w:sz="2" w:space="0"/>
              <w:bottom w:val="single" w:color="auto" w:sz="2" w:space="0"/>
            </w:tcBorders>
            <w:vAlign w:val="center"/>
          </w:tcPr>
          <w:p w14:paraId="697F0D80">
            <w:pPr>
              <w:pageBreakBefore w:val="0"/>
              <w:kinsoku/>
              <w:wordWrap/>
              <w:overflowPunct/>
              <w:topLinePunct w:val="0"/>
              <w:bidi w:val="0"/>
              <w:adjustRightInd w:val="0"/>
              <w:snapToGrid w:val="0"/>
              <w:spacing w:line="360" w:lineRule="auto"/>
              <w:jc w:val="left"/>
              <w:textAlignment w:val="auto"/>
              <w:rPr>
                <w:rFonts w:hint="eastAsia" w:ascii="宋体" w:hAnsi="宋体" w:eastAsia="仿宋" w:cs="宋体"/>
                <w:color w:val="auto"/>
                <w:sz w:val="24"/>
                <w:szCs w:val="24"/>
                <w:highlight w:val="none"/>
                <w:u w:val="single"/>
                <w:lang w:eastAsia="zh-CN"/>
              </w:rPr>
            </w:pPr>
            <w:r>
              <w:rPr>
                <w:rFonts w:hint="eastAsia" w:ascii="仿宋" w:hAnsi="仿宋" w:eastAsia="仿宋"/>
                <w:color w:val="auto"/>
                <w:sz w:val="28"/>
                <w:szCs w:val="28"/>
                <w:highlight w:val="none"/>
              </w:rPr>
              <w:t>因采购人原因导致延期返还履约保证金、延期支付合同款项，变更、中止或终止政府采购合同的，因政策变化等原因不能签订合同，造成企业合法利益受损的情形，采购人应与供应商充分协商，按照货物或提供服务合同价</w:t>
            </w:r>
            <w:r>
              <w:rPr>
                <w:rFonts w:ascii="仿宋" w:hAnsi="仿宋" w:eastAsia="仿宋"/>
                <w:color w:val="auto"/>
                <w:sz w:val="28"/>
                <w:szCs w:val="28"/>
                <w:highlight w:val="none"/>
                <w:u w:val="single"/>
              </w:rPr>
              <w:t>0.1</w:t>
            </w:r>
            <w:r>
              <w:rPr>
                <w:rFonts w:hint="eastAsia" w:ascii="仿宋" w:hAnsi="仿宋" w:eastAsia="仿宋"/>
                <w:color w:val="auto"/>
                <w:sz w:val="28"/>
                <w:szCs w:val="28"/>
                <w:highlight w:val="none"/>
                <w:u w:val="single"/>
              </w:rPr>
              <w:t>%</w:t>
            </w:r>
            <w:r>
              <w:rPr>
                <w:rFonts w:hint="eastAsia" w:ascii="仿宋" w:hAnsi="仿宋" w:eastAsia="仿宋"/>
                <w:color w:val="auto"/>
                <w:sz w:val="28"/>
                <w:szCs w:val="28"/>
                <w:highlight w:val="none"/>
              </w:rPr>
              <w:t>给予合理赔偿或者补偿</w:t>
            </w:r>
            <w:r>
              <w:rPr>
                <w:rFonts w:hint="eastAsia" w:ascii="仿宋" w:hAnsi="仿宋" w:eastAsia="仿宋"/>
                <w:color w:val="auto"/>
                <w:sz w:val="28"/>
                <w:szCs w:val="28"/>
                <w:highlight w:val="none"/>
                <w:lang w:eastAsia="zh-CN"/>
              </w:rPr>
              <w:t>。</w:t>
            </w:r>
          </w:p>
        </w:tc>
      </w:tr>
      <w:tr w14:paraId="74CE7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4" w:type="dxa"/>
            <w:tcBorders>
              <w:top w:val="single" w:color="auto" w:sz="2" w:space="0"/>
              <w:right w:val="single" w:color="auto" w:sz="2" w:space="0"/>
            </w:tcBorders>
            <w:vAlign w:val="center"/>
          </w:tcPr>
          <w:p w14:paraId="42FB1B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D935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800" w:type="dxa"/>
            <w:tcBorders>
              <w:top w:val="single" w:color="auto" w:sz="2" w:space="0"/>
              <w:left w:val="single" w:color="auto" w:sz="2" w:space="0"/>
              <w:right w:val="single" w:color="auto" w:sz="2" w:space="0"/>
            </w:tcBorders>
            <w:vAlign w:val="center"/>
          </w:tcPr>
          <w:p w14:paraId="7D56D01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6492" w:type="dxa"/>
            <w:tcBorders>
              <w:top w:val="single" w:color="auto" w:sz="2" w:space="0"/>
              <w:left w:val="single" w:color="auto" w:sz="2" w:space="0"/>
            </w:tcBorders>
            <w:vAlign w:val="center"/>
          </w:tcPr>
          <w:p w14:paraId="2E14ED0B">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67C7B634">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5B165B9E">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5384B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4" w:type="dxa"/>
            <w:vAlign w:val="center"/>
          </w:tcPr>
          <w:p w14:paraId="32A20F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EB9B2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800" w:type="dxa"/>
            <w:vAlign w:val="center"/>
          </w:tcPr>
          <w:p w14:paraId="217A172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6492" w:type="dxa"/>
            <w:vAlign w:val="center"/>
          </w:tcPr>
          <w:p w14:paraId="32B6FF9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68DD2FB5">
      <w:pPr>
        <w:rPr>
          <w:rFonts w:hint="eastAsia" w:ascii="宋体" w:hAnsi="宋体" w:eastAsia="宋体" w:cs="宋体"/>
          <w:color w:val="auto"/>
          <w:sz w:val="24"/>
          <w:szCs w:val="24"/>
          <w:highlight w:val="none"/>
        </w:rPr>
      </w:pPr>
    </w:p>
    <w:bookmarkEnd w:id="98"/>
    <w:p w14:paraId="52285C0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5C54222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3"/>
    </w:p>
    <w:p w14:paraId="6A9976BD">
      <w:pPr>
        <w:spacing w:line="500" w:lineRule="exact"/>
        <w:jc w:val="center"/>
        <w:outlineLvl w:val="1"/>
        <w:rPr>
          <w:rFonts w:asciiTheme="minorEastAsia" w:hAnsiTheme="minorEastAsia" w:eastAsiaTheme="minorEastAsia"/>
          <w:b/>
          <w:color w:val="auto"/>
          <w:sz w:val="32"/>
          <w:highlight w:val="none"/>
        </w:rPr>
      </w:pPr>
    </w:p>
    <w:p w14:paraId="7E9AFEAC">
      <w:pPr>
        <w:spacing w:line="900" w:lineRule="exact"/>
        <w:jc w:val="center"/>
        <w:rPr>
          <w:rFonts w:asciiTheme="minorEastAsia" w:hAnsiTheme="minorEastAsia" w:eastAsiaTheme="minorEastAsia"/>
          <w:b/>
          <w:color w:val="auto"/>
          <w:sz w:val="72"/>
          <w:highlight w:val="none"/>
        </w:rPr>
      </w:pPr>
    </w:p>
    <w:p w14:paraId="437AAAA9">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1F6B165">
      <w:pPr>
        <w:spacing w:line="900" w:lineRule="exact"/>
        <w:jc w:val="center"/>
        <w:rPr>
          <w:rFonts w:asciiTheme="minorEastAsia" w:hAnsiTheme="minorEastAsia" w:eastAsiaTheme="minorEastAsia"/>
          <w:b/>
          <w:color w:val="auto"/>
          <w:sz w:val="72"/>
          <w:highlight w:val="none"/>
        </w:rPr>
      </w:pPr>
    </w:p>
    <w:p w14:paraId="691F4D6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F967F52">
      <w:pPr>
        <w:spacing w:line="900" w:lineRule="exact"/>
        <w:jc w:val="center"/>
        <w:rPr>
          <w:rFonts w:asciiTheme="minorEastAsia" w:hAnsiTheme="minorEastAsia" w:eastAsiaTheme="minorEastAsia"/>
          <w:b/>
          <w:color w:val="auto"/>
          <w:sz w:val="72"/>
          <w:highlight w:val="none"/>
        </w:rPr>
      </w:pPr>
    </w:p>
    <w:p w14:paraId="552F202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34DD9A6">
      <w:pPr>
        <w:spacing w:line="900" w:lineRule="exact"/>
        <w:jc w:val="center"/>
        <w:rPr>
          <w:rFonts w:asciiTheme="minorEastAsia" w:hAnsiTheme="minorEastAsia" w:eastAsiaTheme="minorEastAsia"/>
          <w:b/>
          <w:color w:val="auto"/>
          <w:sz w:val="72"/>
          <w:highlight w:val="none"/>
        </w:rPr>
      </w:pPr>
    </w:p>
    <w:p w14:paraId="63B40BEB">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E43550B">
      <w:pPr>
        <w:spacing w:after="156" w:afterLines="50"/>
        <w:jc w:val="center"/>
        <w:rPr>
          <w:rFonts w:asciiTheme="minorEastAsia" w:hAnsiTheme="minorEastAsia" w:eastAsiaTheme="minorEastAsia"/>
          <w:b/>
          <w:color w:val="auto"/>
          <w:sz w:val="72"/>
          <w:highlight w:val="none"/>
        </w:rPr>
      </w:pPr>
    </w:p>
    <w:p w14:paraId="54A85582">
      <w:pPr>
        <w:spacing w:after="156" w:afterLines="50" w:line="500" w:lineRule="exact"/>
        <w:jc w:val="center"/>
        <w:rPr>
          <w:rFonts w:asciiTheme="minorEastAsia" w:hAnsiTheme="minorEastAsia" w:eastAsiaTheme="minorEastAsia"/>
          <w:b/>
          <w:color w:val="auto"/>
          <w:sz w:val="28"/>
          <w:szCs w:val="28"/>
          <w:highlight w:val="none"/>
        </w:rPr>
      </w:pPr>
    </w:p>
    <w:p w14:paraId="2673D75A">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02AD0D2">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406B8E0">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2F9DA3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48" w:name="_Toc12430"/>
      <w:bookmarkStart w:id="49" w:name="_Toc1215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48"/>
      <w:bookmarkEnd w:id="49"/>
    </w:p>
    <w:p w14:paraId="7CA0BB1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0E2EF0B0">
      <w:pPr>
        <w:spacing w:line="360" w:lineRule="auto"/>
        <w:jc w:val="center"/>
        <w:outlineLvl w:val="1"/>
        <w:rPr>
          <w:rFonts w:asciiTheme="minorEastAsia" w:hAnsiTheme="minorEastAsia" w:eastAsiaTheme="minorEastAsia"/>
          <w:b/>
          <w:color w:val="auto"/>
          <w:sz w:val="24"/>
          <w:highlight w:val="none"/>
        </w:rPr>
      </w:pPr>
      <w:bookmarkStart w:id="50" w:name="_Toc461053086"/>
      <w:bookmarkStart w:id="51" w:name="_Toc461056631"/>
      <w:bookmarkStart w:id="52" w:name="_Toc520983587"/>
      <w:bookmarkStart w:id="53" w:name="_Toc27513"/>
      <w:bookmarkStart w:id="54" w:name="_Toc23658"/>
      <w:r>
        <w:rPr>
          <w:rFonts w:hint="eastAsia" w:asciiTheme="minorEastAsia" w:hAnsiTheme="minorEastAsia" w:eastAsiaTheme="minorEastAsia"/>
          <w:b/>
          <w:color w:val="auto"/>
          <w:sz w:val="24"/>
          <w:highlight w:val="none"/>
        </w:rPr>
        <w:t>一</w:t>
      </w:r>
      <w:bookmarkEnd w:id="50"/>
      <w:bookmarkEnd w:id="51"/>
      <w:r>
        <w:rPr>
          <w:rFonts w:hint="eastAsia" w:asciiTheme="minorEastAsia" w:hAnsiTheme="minorEastAsia" w:eastAsiaTheme="minorEastAsia"/>
          <w:b/>
          <w:color w:val="auto"/>
          <w:sz w:val="24"/>
          <w:highlight w:val="none"/>
        </w:rPr>
        <w:t>、报价表格式</w:t>
      </w:r>
      <w:bookmarkEnd w:id="52"/>
      <w:bookmarkEnd w:id="53"/>
      <w:bookmarkEnd w:id="54"/>
    </w:p>
    <w:p w14:paraId="5134FC92">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5BCBE393">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129F97F4">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5C5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4A91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175D42C">
            <w:pPr>
              <w:spacing w:line="360" w:lineRule="auto"/>
              <w:rPr>
                <w:rFonts w:ascii="宋体" w:hAnsi="宋体" w:eastAsia="宋体"/>
                <w:b/>
                <w:color w:val="auto"/>
                <w:sz w:val="24"/>
                <w:highlight w:val="none"/>
              </w:rPr>
            </w:pPr>
          </w:p>
        </w:tc>
      </w:tr>
      <w:tr w14:paraId="3199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DFE607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29C8E54">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23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F91886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BEFAB4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7E747BB">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1A69A138">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0065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737553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F43C9F3">
            <w:pPr>
              <w:spacing w:line="360" w:lineRule="auto"/>
              <w:rPr>
                <w:rFonts w:ascii="宋体" w:hAnsi="宋体" w:eastAsia="宋体"/>
                <w:b/>
                <w:color w:val="auto"/>
                <w:sz w:val="24"/>
                <w:highlight w:val="none"/>
              </w:rPr>
            </w:pPr>
          </w:p>
        </w:tc>
      </w:tr>
    </w:tbl>
    <w:p w14:paraId="3D3AAF7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278782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01560D85">
      <w:pPr>
        <w:adjustRightInd w:val="0"/>
        <w:snapToGrid w:val="0"/>
        <w:spacing w:line="360" w:lineRule="auto"/>
        <w:rPr>
          <w:rFonts w:ascii="宋体" w:hAnsi="宋体" w:eastAsia="宋体"/>
          <w:b/>
          <w:bCs/>
          <w:color w:val="auto"/>
          <w:sz w:val="24"/>
          <w:szCs w:val="28"/>
          <w:highlight w:val="none"/>
        </w:rPr>
      </w:pPr>
    </w:p>
    <w:p w14:paraId="6ED13F5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71C2E6A">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货物及其配套的设计、采购、制造、检测、试验、运输、保险、仓储、税费以及现场落地、安装及安装耗损、调试、培训、技术服务（包括技术资料、图纸的提供）质保期内的售后服务保障等所有费用。</w:t>
      </w:r>
    </w:p>
    <w:p w14:paraId="772BBADF">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52C3977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3206C6C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DA14137">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4818D1A8">
      <w:pPr>
        <w:pStyle w:val="37"/>
        <w:jc w:val="left"/>
        <w:rPr>
          <w:rFonts w:hint="default" w:ascii="宋体" w:hAnsi="宋体" w:eastAsia="宋体"/>
          <w:b/>
          <w:bCs/>
          <w:highlight w:val="none"/>
          <w:lang w:val="en-US" w:eastAsia="zh-CN"/>
        </w:rPr>
      </w:pPr>
      <w:bookmarkStart w:id="55" w:name="_Toc461056632"/>
      <w:bookmarkStart w:id="56" w:name="_Toc461053087"/>
      <w:bookmarkStart w:id="57" w:name="_Toc520983588"/>
      <w:r>
        <w:rPr>
          <w:rFonts w:hint="eastAsia" w:ascii="宋体" w:hAnsi="宋体"/>
          <w:b/>
          <w:bCs/>
          <w:highlight w:val="none"/>
          <w:lang w:val="en-US" w:eastAsia="zh-CN"/>
        </w:rPr>
        <w:t>1-2-1</w:t>
      </w:r>
      <w:r>
        <w:rPr>
          <w:rFonts w:hint="eastAsia" w:ascii="宋体" w:hAnsi="宋体" w:eastAsia="宋体"/>
          <w:b/>
          <w:bCs/>
          <w:highlight w:val="none"/>
          <w:lang w:val="en-US" w:eastAsia="zh-CN"/>
        </w:rPr>
        <w:t>货物部分</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7"/>
        <w:gridCol w:w="1317"/>
        <w:gridCol w:w="671"/>
        <w:gridCol w:w="671"/>
        <w:gridCol w:w="938"/>
        <w:gridCol w:w="938"/>
        <w:gridCol w:w="669"/>
      </w:tblGrid>
      <w:tr w14:paraId="5F06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71471830">
            <w:pPr>
              <w:pStyle w:val="29"/>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204DC221">
            <w:pPr>
              <w:jc w:val="center"/>
              <w:rPr>
                <w:rFonts w:ascii="宋体" w:hAnsi="宋体" w:eastAsia="宋体"/>
                <w:b/>
                <w:sz w:val="24"/>
                <w:highlight w:val="none"/>
              </w:rPr>
            </w:pPr>
            <w:r>
              <w:rPr>
                <w:rFonts w:hint="eastAsia" w:ascii="宋体" w:hAnsi="宋体" w:eastAsia="宋体"/>
                <w:b/>
                <w:sz w:val="24"/>
                <w:highlight w:val="none"/>
              </w:rPr>
              <w:t>货物名称</w:t>
            </w:r>
          </w:p>
        </w:tc>
        <w:tc>
          <w:tcPr>
            <w:tcW w:w="773" w:type="pct"/>
            <w:noWrap w:val="0"/>
            <w:vAlign w:val="center"/>
          </w:tcPr>
          <w:p w14:paraId="549D72E3">
            <w:pPr>
              <w:jc w:val="center"/>
              <w:rPr>
                <w:rFonts w:ascii="宋体" w:hAnsi="宋体" w:eastAsia="宋体"/>
                <w:b/>
                <w:sz w:val="24"/>
                <w:highlight w:val="none"/>
              </w:rPr>
            </w:pPr>
            <w:r>
              <w:rPr>
                <w:rFonts w:hint="eastAsia" w:ascii="宋体" w:hAnsi="宋体" w:eastAsia="宋体"/>
                <w:b/>
                <w:sz w:val="24"/>
                <w:highlight w:val="none"/>
              </w:rPr>
              <w:t>品牌、型</w:t>
            </w:r>
          </w:p>
          <w:p w14:paraId="01315287">
            <w:pPr>
              <w:jc w:val="center"/>
              <w:rPr>
                <w:rFonts w:ascii="宋体" w:hAnsi="宋体" w:eastAsia="宋体"/>
                <w:b/>
                <w:sz w:val="24"/>
                <w:highlight w:val="none"/>
              </w:rPr>
            </w:pPr>
            <w:r>
              <w:rPr>
                <w:rFonts w:hint="eastAsia" w:ascii="宋体" w:hAnsi="宋体" w:eastAsia="宋体"/>
                <w:b/>
                <w:sz w:val="24"/>
                <w:highlight w:val="none"/>
              </w:rPr>
              <w:t>号规格</w:t>
            </w:r>
          </w:p>
        </w:tc>
        <w:tc>
          <w:tcPr>
            <w:tcW w:w="773" w:type="pct"/>
            <w:noWrap w:val="0"/>
            <w:vAlign w:val="center"/>
          </w:tcPr>
          <w:p w14:paraId="5C660A03">
            <w:pPr>
              <w:jc w:val="center"/>
              <w:rPr>
                <w:rFonts w:ascii="宋体" w:hAnsi="宋体" w:eastAsia="宋体"/>
                <w:b/>
                <w:sz w:val="24"/>
                <w:highlight w:val="none"/>
              </w:rPr>
            </w:pPr>
            <w:r>
              <w:rPr>
                <w:rFonts w:hint="eastAsia" w:ascii="宋体" w:hAnsi="宋体" w:eastAsia="宋体"/>
                <w:b/>
                <w:sz w:val="24"/>
                <w:highlight w:val="none"/>
              </w:rPr>
              <w:t>原产地及</w:t>
            </w:r>
          </w:p>
          <w:p w14:paraId="0422D5ED">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2CB1E19C">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03A1E1B">
            <w:pPr>
              <w:jc w:val="center"/>
              <w:rPr>
                <w:rFonts w:ascii="宋体" w:hAnsi="宋体" w:eastAsia="宋体"/>
                <w:b/>
                <w:sz w:val="24"/>
                <w:highlight w:val="none"/>
              </w:rPr>
            </w:pPr>
            <w:r>
              <w:rPr>
                <w:rFonts w:hint="eastAsia" w:ascii="宋体" w:hAnsi="宋体" w:eastAsia="宋体"/>
                <w:b/>
                <w:sz w:val="24"/>
                <w:highlight w:val="none"/>
              </w:rPr>
              <w:t>数量</w:t>
            </w:r>
          </w:p>
        </w:tc>
        <w:tc>
          <w:tcPr>
            <w:tcW w:w="550" w:type="pct"/>
            <w:noWrap w:val="0"/>
            <w:vAlign w:val="center"/>
          </w:tcPr>
          <w:p w14:paraId="3AFFA634">
            <w:pPr>
              <w:jc w:val="center"/>
              <w:rPr>
                <w:rFonts w:ascii="宋体" w:hAnsi="宋体" w:eastAsia="宋体"/>
                <w:b/>
                <w:sz w:val="24"/>
                <w:highlight w:val="none"/>
              </w:rPr>
            </w:pPr>
            <w:r>
              <w:rPr>
                <w:rFonts w:hint="eastAsia" w:ascii="宋体" w:hAnsi="宋体" w:eastAsia="宋体"/>
                <w:b/>
                <w:sz w:val="24"/>
                <w:highlight w:val="none"/>
              </w:rPr>
              <w:t>单价</w:t>
            </w:r>
          </w:p>
          <w:p w14:paraId="3E18B2C7">
            <w:pPr>
              <w:jc w:val="center"/>
              <w:rPr>
                <w:rFonts w:ascii="宋体" w:hAnsi="宋体" w:eastAsia="宋体"/>
                <w:b/>
                <w:sz w:val="24"/>
                <w:highlight w:val="none"/>
              </w:rPr>
            </w:pPr>
            <w:r>
              <w:rPr>
                <w:rFonts w:hint="eastAsia" w:ascii="宋体" w:hAnsi="宋体" w:eastAsia="宋体"/>
                <w:b/>
                <w:sz w:val="24"/>
                <w:highlight w:val="none"/>
              </w:rPr>
              <w:t>（元）</w:t>
            </w:r>
          </w:p>
        </w:tc>
        <w:tc>
          <w:tcPr>
            <w:tcW w:w="550" w:type="pct"/>
            <w:noWrap w:val="0"/>
            <w:vAlign w:val="center"/>
          </w:tcPr>
          <w:p w14:paraId="678F6218">
            <w:pPr>
              <w:jc w:val="center"/>
              <w:rPr>
                <w:rFonts w:ascii="宋体" w:hAnsi="宋体" w:eastAsia="宋体"/>
                <w:b/>
                <w:sz w:val="24"/>
                <w:highlight w:val="none"/>
              </w:rPr>
            </w:pPr>
            <w:r>
              <w:rPr>
                <w:rFonts w:hint="eastAsia" w:ascii="宋体" w:hAnsi="宋体" w:eastAsia="宋体"/>
                <w:b/>
                <w:sz w:val="24"/>
                <w:highlight w:val="none"/>
              </w:rPr>
              <w:t>小计</w:t>
            </w:r>
          </w:p>
          <w:p w14:paraId="423EBC1F">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12347290">
            <w:pPr>
              <w:jc w:val="center"/>
              <w:rPr>
                <w:rFonts w:ascii="宋体" w:hAnsi="宋体" w:eastAsia="宋体"/>
                <w:b/>
                <w:sz w:val="24"/>
                <w:highlight w:val="none"/>
              </w:rPr>
            </w:pPr>
            <w:r>
              <w:rPr>
                <w:rFonts w:hint="eastAsia" w:ascii="宋体" w:hAnsi="宋体" w:eastAsia="宋体"/>
                <w:b/>
                <w:sz w:val="24"/>
                <w:highlight w:val="none"/>
              </w:rPr>
              <w:t>备注</w:t>
            </w:r>
          </w:p>
        </w:tc>
      </w:tr>
      <w:tr w14:paraId="6AC5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72E47BF1">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22481D96">
            <w:pPr>
              <w:rPr>
                <w:rFonts w:ascii="宋体" w:hAnsi="宋体" w:eastAsia="宋体"/>
                <w:sz w:val="24"/>
                <w:highlight w:val="none"/>
              </w:rPr>
            </w:pPr>
          </w:p>
        </w:tc>
        <w:tc>
          <w:tcPr>
            <w:tcW w:w="773" w:type="pct"/>
            <w:noWrap w:val="0"/>
            <w:vAlign w:val="top"/>
          </w:tcPr>
          <w:p w14:paraId="382C01B8">
            <w:pPr>
              <w:rPr>
                <w:rFonts w:ascii="宋体" w:hAnsi="宋体" w:eastAsia="宋体"/>
                <w:sz w:val="24"/>
                <w:highlight w:val="none"/>
              </w:rPr>
            </w:pPr>
          </w:p>
        </w:tc>
        <w:tc>
          <w:tcPr>
            <w:tcW w:w="773" w:type="pct"/>
            <w:noWrap w:val="0"/>
            <w:vAlign w:val="top"/>
          </w:tcPr>
          <w:p w14:paraId="79C378F5">
            <w:pPr>
              <w:rPr>
                <w:rFonts w:ascii="宋体" w:hAnsi="宋体" w:eastAsia="宋体"/>
                <w:sz w:val="24"/>
                <w:highlight w:val="none"/>
              </w:rPr>
            </w:pPr>
          </w:p>
        </w:tc>
        <w:tc>
          <w:tcPr>
            <w:tcW w:w="394" w:type="pct"/>
            <w:noWrap w:val="0"/>
            <w:vAlign w:val="top"/>
          </w:tcPr>
          <w:p w14:paraId="07B7F083">
            <w:pPr>
              <w:rPr>
                <w:rFonts w:ascii="宋体" w:hAnsi="宋体" w:eastAsia="宋体"/>
                <w:sz w:val="24"/>
                <w:highlight w:val="none"/>
              </w:rPr>
            </w:pPr>
          </w:p>
        </w:tc>
        <w:tc>
          <w:tcPr>
            <w:tcW w:w="394" w:type="pct"/>
            <w:noWrap w:val="0"/>
            <w:vAlign w:val="top"/>
          </w:tcPr>
          <w:p w14:paraId="16E9F997">
            <w:pPr>
              <w:rPr>
                <w:rFonts w:ascii="宋体" w:hAnsi="宋体" w:eastAsia="宋体"/>
                <w:sz w:val="24"/>
                <w:highlight w:val="none"/>
              </w:rPr>
            </w:pPr>
          </w:p>
        </w:tc>
        <w:tc>
          <w:tcPr>
            <w:tcW w:w="550" w:type="pct"/>
            <w:noWrap w:val="0"/>
            <w:vAlign w:val="top"/>
          </w:tcPr>
          <w:p w14:paraId="27694736">
            <w:pPr>
              <w:rPr>
                <w:rFonts w:ascii="宋体" w:hAnsi="宋体" w:eastAsia="宋体"/>
                <w:sz w:val="24"/>
                <w:highlight w:val="none"/>
              </w:rPr>
            </w:pPr>
          </w:p>
        </w:tc>
        <w:tc>
          <w:tcPr>
            <w:tcW w:w="550" w:type="pct"/>
            <w:noWrap w:val="0"/>
            <w:vAlign w:val="top"/>
          </w:tcPr>
          <w:p w14:paraId="1CA91A34">
            <w:pPr>
              <w:rPr>
                <w:rFonts w:ascii="宋体" w:hAnsi="宋体" w:eastAsia="宋体"/>
                <w:sz w:val="24"/>
                <w:highlight w:val="none"/>
              </w:rPr>
            </w:pPr>
          </w:p>
        </w:tc>
        <w:tc>
          <w:tcPr>
            <w:tcW w:w="393" w:type="pct"/>
            <w:noWrap w:val="0"/>
            <w:vAlign w:val="top"/>
          </w:tcPr>
          <w:p w14:paraId="01408676">
            <w:pPr>
              <w:rPr>
                <w:rFonts w:ascii="宋体" w:hAnsi="宋体" w:eastAsia="宋体"/>
                <w:sz w:val="24"/>
                <w:highlight w:val="none"/>
              </w:rPr>
            </w:pPr>
          </w:p>
        </w:tc>
      </w:tr>
      <w:tr w14:paraId="4905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659D5766">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376FE10E">
            <w:pPr>
              <w:rPr>
                <w:rFonts w:ascii="宋体" w:hAnsi="宋体" w:eastAsia="宋体"/>
                <w:sz w:val="24"/>
                <w:highlight w:val="none"/>
              </w:rPr>
            </w:pPr>
          </w:p>
        </w:tc>
        <w:tc>
          <w:tcPr>
            <w:tcW w:w="773" w:type="pct"/>
            <w:noWrap w:val="0"/>
            <w:vAlign w:val="top"/>
          </w:tcPr>
          <w:p w14:paraId="2A70DDA8">
            <w:pPr>
              <w:rPr>
                <w:rFonts w:ascii="宋体" w:hAnsi="宋体" w:eastAsia="宋体"/>
                <w:sz w:val="24"/>
                <w:highlight w:val="none"/>
              </w:rPr>
            </w:pPr>
          </w:p>
        </w:tc>
        <w:tc>
          <w:tcPr>
            <w:tcW w:w="773" w:type="pct"/>
            <w:noWrap w:val="0"/>
            <w:vAlign w:val="top"/>
          </w:tcPr>
          <w:p w14:paraId="14E3A40C">
            <w:pPr>
              <w:rPr>
                <w:rFonts w:ascii="宋体" w:hAnsi="宋体" w:eastAsia="宋体"/>
                <w:sz w:val="24"/>
                <w:highlight w:val="none"/>
              </w:rPr>
            </w:pPr>
          </w:p>
        </w:tc>
        <w:tc>
          <w:tcPr>
            <w:tcW w:w="394" w:type="pct"/>
            <w:noWrap w:val="0"/>
            <w:vAlign w:val="top"/>
          </w:tcPr>
          <w:p w14:paraId="662EEA2C">
            <w:pPr>
              <w:rPr>
                <w:rFonts w:ascii="宋体" w:hAnsi="宋体" w:eastAsia="宋体"/>
                <w:sz w:val="24"/>
                <w:highlight w:val="none"/>
              </w:rPr>
            </w:pPr>
          </w:p>
        </w:tc>
        <w:tc>
          <w:tcPr>
            <w:tcW w:w="394" w:type="pct"/>
            <w:noWrap w:val="0"/>
            <w:vAlign w:val="top"/>
          </w:tcPr>
          <w:p w14:paraId="4AF187AB">
            <w:pPr>
              <w:rPr>
                <w:rFonts w:ascii="宋体" w:hAnsi="宋体" w:eastAsia="宋体"/>
                <w:sz w:val="24"/>
                <w:highlight w:val="none"/>
              </w:rPr>
            </w:pPr>
          </w:p>
        </w:tc>
        <w:tc>
          <w:tcPr>
            <w:tcW w:w="550" w:type="pct"/>
            <w:noWrap w:val="0"/>
            <w:vAlign w:val="top"/>
          </w:tcPr>
          <w:p w14:paraId="70676390">
            <w:pPr>
              <w:rPr>
                <w:rFonts w:ascii="宋体" w:hAnsi="宋体" w:eastAsia="宋体"/>
                <w:sz w:val="24"/>
                <w:highlight w:val="none"/>
              </w:rPr>
            </w:pPr>
          </w:p>
        </w:tc>
        <w:tc>
          <w:tcPr>
            <w:tcW w:w="550" w:type="pct"/>
            <w:noWrap w:val="0"/>
            <w:vAlign w:val="top"/>
          </w:tcPr>
          <w:p w14:paraId="64042928">
            <w:pPr>
              <w:rPr>
                <w:rFonts w:ascii="宋体" w:hAnsi="宋体" w:eastAsia="宋体"/>
                <w:sz w:val="24"/>
                <w:highlight w:val="none"/>
              </w:rPr>
            </w:pPr>
          </w:p>
        </w:tc>
        <w:tc>
          <w:tcPr>
            <w:tcW w:w="393" w:type="pct"/>
            <w:noWrap w:val="0"/>
            <w:vAlign w:val="top"/>
          </w:tcPr>
          <w:p w14:paraId="5E08F09A">
            <w:pPr>
              <w:rPr>
                <w:rFonts w:ascii="宋体" w:hAnsi="宋体" w:eastAsia="宋体"/>
                <w:sz w:val="24"/>
                <w:highlight w:val="none"/>
              </w:rPr>
            </w:pPr>
          </w:p>
        </w:tc>
      </w:tr>
      <w:tr w14:paraId="4213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4E5E7185">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49DD4F43">
            <w:pPr>
              <w:rPr>
                <w:rFonts w:ascii="宋体" w:hAnsi="宋体" w:eastAsia="宋体"/>
                <w:sz w:val="24"/>
                <w:highlight w:val="none"/>
              </w:rPr>
            </w:pPr>
          </w:p>
        </w:tc>
        <w:tc>
          <w:tcPr>
            <w:tcW w:w="773" w:type="pct"/>
            <w:noWrap w:val="0"/>
            <w:vAlign w:val="top"/>
          </w:tcPr>
          <w:p w14:paraId="743D4408">
            <w:pPr>
              <w:rPr>
                <w:rFonts w:ascii="宋体" w:hAnsi="宋体" w:eastAsia="宋体"/>
                <w:sz w:val="24"/>
                <w:highlight w:val="none"/>
              </w:rPr>
            </w:pPr>
          </w:p>
        </w:tc>
        <w:tc>
          <w:tcPr>
            <w:tcW w:w="773" w:type="pct"/>
            <w:noWrap w:val="0"/>
            <w:vAlign w:val="top"/>
          </w:tcPr>
          <w:p w14:paraId="64048113">
            <w:pPr>
              <w:rPr>
                <w:rFonts w:ascii="宋体" w:hAnsi="宋体" w:eastAsia="宋体"/>
                <w:sz w:val="24"/>
                <w:highlight w:val="none"/>
              </w:rPr>
            </w:pPr>
          </w:p>
        </w:tc>
        <w:tc>
          <w:tcPr>
            <w:tcW w:w="394" w:type="pct"/>
            <w:noWrap w:val="0"/>
            <w:vAlign w:val="top"/>
          </w:tcPr>
          <w:p w14:paraId="118AC153">
            <w:pPr>
              <w:rPr>
                <w:rFonts w:ascii="宋体" w:hAnsi="宋体" w:eastAsia="宋体"/>
                <w:sz w:val="24"/>
                <w:highlight w:val="none"/>
              </w:rPr>
            </w:pPr>
          </w:p>
        </w:tc>
        <w:tc>
          <w:tcPr>
            <w:tcW w:w="394" w:type="pct"/>
            <w:noWrap w:val="0"/>
            <w:vAlign w:val="top"/>
          </w:tcPr>
          <w:p w14:paraId="4EF5BC6A">
            <w:pPr>
              <w:rPr>
                <w:rFonts w:ascii="宋体" w:hAnsi="宋体" w:eastAsia="宋体"/>
                <w:sz w:val="24"/>
                <w:highlight w:val="none"/>
              </w:rPr>
            </w:pPr>
          </w:p>
        </w:tc>
        <w:tc>
          <w:tcPr>
            <w:tcW w:w="550" w:type="pct"/>
            <w:noWrap w:val="0"/>
            <w:vAlign w:val="top"/>
          </w:tcPr>
          <w:p w14:paraId="6F441AA2">
            <w:pPr>
              <w:rPr>
                <w:rFonts w:ascii="宋体" w:hAnsi="宋体" w:eastAsia="宋体"/>
                <w:sz w:val="24"/>
                <w:highlight w:val="none"/>
              </w:rPr>
            </w:pPr>
          </w:p>
        </w:tc>
        <w:tc>
          <w:tcPr>
            <w:tcW w:w="550" w:type="pct"/>
            <w:noWrap w:val="0"/>
            <w:vAlign w:val="top"/>
          </w:tcPr>
          <w:p w14:paraId="00FF73D7">
            <w:pPr>
              <w:rPr>
                <w:rFonts w:ascii="宋体" w:hAnsi="宋体" w:eastAsia="宋体"/>
                <w:sz w:val="24"/>
                <w:highlight w:val="none"/>
              </w:rPr>
            </w:pPr>
          </w:p>
        </w:tc>
        <w:tc>
          <w:tcPr>
            <w:tcW w:w="393" w:type="pct"/>
            <w:noWrap w:val="0"/>
            <w:vAlign w:val="top"/>
          </w:tcPr>
          <w:p w14:paraId="359953BF">
            <w:pPr>
              <w:rPr>
                <w:rFonts w:ascii="宋体" w:hAnsi="宋体" w:eastAsia="宋体"/>
                <w:sz w:val="24"/>
                <w:highlight w:val="none"/>
              </w:rPr>
            </w:pPr>
          </w:p>
        </w:tc>
      </w:tr>
      <w:tr w14:paraId="4EE7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52CB1EDE">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0C63CBEF">
            <w:pPr>
              <w:rPr>
                <w:rFonts w:ascii="宋体" w:hAnsi="宋体" w:eastAsia="宋体"/>
                <w:sz w:val="24"/>
                <w:highlight w:val="none"/>
              </w:rPr>
            </w:pPr>
          </w:p>
        </w:tc>
        <w:tc>
          <w:tcPr>
            <w:tcW w:w="773" w:type="pct"/>
            <w:noWrap w:val="0"/>
            <w:vAlign w:val="top"/>
          </w:tcPr>
          <w:p w14:paraId="3A73F6A2">
            <w:pPr>
              <w:rPr>
                <w:rFonts w:ascii="宋体" w:hAnsi="宋体" w:eastAsia="宋体"/>
                <w:sz w:val="24"/>
                <w:highlight w:val="none"/>
              </w:rPr>
            </w:pPr>
          </w:p>
        </w:tc>
        <w:tc>
          <w:tcPr>
            <w:tcW w:w="773" w:type="pct"/>
            <w:noWrap w:val="0"/>
            <w:vAlign w:val="top"/>
          </w:tcPr>
          <w:p w14:paraId="654BAC9A">
            <w:pPr>
              <w:rPr>
                <w:rFonts w:ascii="宋体" w:hAnsi="宋体" w:eastAsia="宋体"/>
                <w:sz w:val="24"/>
                <w:highlight w:val="none"/>
              </w:rPr>
            </w:pPr>
          </w:p>
        </w:tc>
        <w:tc>
          <w:tcPr>
            <w:tcW w:w="394" w:type="pct"/>
            <w:noWrap w:val="0"/>
            <w:vAlign w:val="top"/>
          </w:tcPr>
          <w:p w14:paraId="4CCF5CEB">
            <w:pPr>
              <w:rPr>
                <w:rFonts w:ascii="宋体" w:hAnsi="宋体" w:eastAsia="宋体"/>
                <w:sz w:val="24"/>
                <w:highlight w:val="none"/>
              </w:rPr>
            </w:pPr>
          </w:p>
        </w:tc>
        <w:tc>
          <w:tcPr>
            <w:tcW w:w="394" w:type="pct"/>
            <w:noWrap w:val="0"/>
            <w:vAlign w:val="top"/>
          </w:tcPr>
          <w:p w14:paraId="08F16F79">
            <w:pPr>
              <w:rPr>
                <w:rFonts w:ascii="宋体" w:hAnsi="宋体" w:eastAsia="宋体"/>
                <w:sz w:val="24"/>
                <w:highlight w:val="none"/>
              </w:rPr>
            </w:pPr>
          </w:p>
        </w:tc>
        <w:tc>
          <w:tcPr>
            <w:tcW w:w="550" w:type="pct"/>
            <w:noWrap w:val="0"/>
            <w:vAlign w:val="top"/>
          </w:tcPr>
          <w:p w14:paraId="4C95E421">
            <w:pPr>
              <w:rPr>
                <w:rFonts w:ascii="宋体" w:hAnsi="宋体" w:eastAsia="宋体"/>
                <w:sz w:val="24"/>
                <w:highlight w:val="none"/>
              </w:rPr>
            </w:pPr>
          </w:p>
        </w:tc>
        <w:tc>
          <w:tcPr>
            <w:tcW w:w="550" w:type="pct"/>
            <w:noWrap w:val="0"/>
            <w:vAlign w:val="top"/>
          </w:tcPr>
          <w:p w14:paraId="722C3B5D">
            <w:pPr>
              <w:rPr>
                <w:rFonts w:ascii="宋体" w:hAnsi="宋体" w:eastAsia="宋体"/>
                <w:sz w:val="24"/>
                <w:highlight w:val="none"/>
              </w:rPr>
            </w:pPr>
          </w:p>
        </w:tc>
        <w:tc>
          <w:tcPr>
            <w:tcW w:w="393" w:type="pct"/>
            <w:noWrap w:val="0"/>
            <w:vAlign w:val="top"/>
          </w:tcPr>
          <w:p w14:paraId="4AE967FC">
            <w:pPr>
              <w:rPr>
                <w:rFonts w:ascii="宋体" w:hAnsi="宋体" w:eastAsia="宋体"/>
                <w:sz w:val="24"/>
                <w:highlight w:val="none"/>
              </w:rPr>
            </w:pPr>
          </w:p>
        </w:tc>
      </w:tr>
      <w:tr w14:paraId="4752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4056" w:type="pct"/>
            <w:gridSpan w:val="7"/>
            <w:noWrap w:val="0"/>
            <w:vAlign w:val="center"/>
          </w:tcPr>
          <w:p w14:paraId="0A4342D5">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3" w:type="pct"/>
            <w:gridSpan w:val="2"/>
            <w:noWrap w:val="0"/>
            <w:vAlign w:val="top"/>
          </w:tcPr>
          <w:p w14:paraId="731E722E">
            <w:pPr>
              <w:rPr>
                <w:rFonts w:ascii="宋体" w:hAnsi="宋体" w:eastAsia="宋体"/>
                <w:sz w:val="24"/>
                <w:highlight w:val="none"/>
              </w:rPr>
            </w:pPr>
          </w:p>
        </w:tc>
      </w:tr>
    </w:tbl>
    <w:p w14:paraId="4CEF2AEB">
      <w:pPr>
        <w:pStyle w:val="37"/>
        <w:jc w:val="both"/>
        <w:rPr>
          <w:rFonts w:hint="eastAsia" w:ascii="宋体" w:hAnsi="宋体" w:eastAsia="宋体"/>
          <w:b/>
          <w:bCs/>
          <w:highlight w:val="none"/>
          <w:lang w:val="en-US" w:eastAsia="zh-CN"/>
        </w:rPr>
      </w:pPr>
    </w:p>
    <w:p w14:paraId="4C449600">
      <w:pPr>
        <w:pStyle w:val="37"/>
        <w:ind w:left="-108"/>
        <w:jc w:val="both"/>
        <w:rPr>
          <w:rFonts w:hint="default" w:ascii="宋体" w:hAnsi="宋体" w:eastAsia="宋体"/>
          <w:b/>
          <w:bCs/>
          <w:i/>
          <w:iCs/>
          <w:highlight w:val="none"/>
          <w:lang w:val="en-US" w:eastAsia="zh-CN"/>
        </w:rPr>
      </w:pPr>
      <w:r>
        <w:rPr>
          <w:rFonts w:hint="eastAsia" w:ascii="宋体" w:hAnsi="宋体"/>
          <w:b/>
          <w:bCs/>
          <w:highlight w:val="none"/>
          <w:lang w:val="en-US" w:eastAsia="zh-CN"/>
        </w:rPr>
        <w:t>1-2-2</w:t>
      </w:r>
      <w:r>
        <w:rPr>
          <w:rFonts w:hint="eastAsia" w:ascii="宋体" w:hAnsi="宋体" w:eastAsia="宋体"/>
          <w:b/>
          <w:bCs/>
          <w:highlight w:val="none"/>
          <w:lang w:val="en-US" w:eastAsia="zh-CN"/>
        </w:rPr>
        <w:t>服务部分</w:t>
      </w:r>
      <w:r>
        <w:rPr>
          <w:rFonts w:hint="eastAsia" w:ascii="宋体" w:hAnsi="宋体" w:eastAsia="宋体"/>
          <w:b/>
          <w:bCs/>
          <w:i/>
          <w:iCs/>
          <w:highlight w:val="none"/>
        </w:rPr>
        <w:t>（仅供参考，</w:t>
      </w:r>
      <w:r>
        <w:rPr>
          <w:rFonts w:hint="eastAsia" w:ascii="宋体" w:hAnsi="宋体"/>
          <w:b/>
          <w:bCs/>
          <w:i/>
          <w:iCs/>
          <w:highlight w:val="none"/>
          <w:lang w:val="en-US" w:eastAsia="zh-CN"/>
        </w:rPr>
        <w:t>供应商</w:t>
      </w:r>
      <w:r>
        <w:rPr>
          <w:rFonts w:hint="eastAsia" w:ascii="宋体" w:hAnsi="宋体" w:eastAsia="宋体"/>
          <w:b/>
          <w:bCs/>
          <w:i/>
          <w:iCs/>
          <w:highlight w:val="none"/>
        </w:rPr>
        <w:t>可自行制作格式）</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9"/>
      </w:tblGrid>
      <w:tr w14:paraId="4DDA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05AF21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3" w:type="pct"/>
            <w:noWrap w:val="0"/>
            <w:vAlign w:val="center"/>
          </w:tcPr>
          <w:p w14:paraId="3BDB2F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5868306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7934227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20" w:type="pct"/>
            <w:noWrap w:val="0"/>
            <w:vAlign w:val="center"/>
          </w:tcPr>
          <w:p w14:paraId="639A00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7667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3" w:type="pct"/>
            <w:tcBorders>
              <w:bottom w:val="single" w:color="auto" w:sz="4" w:space="0"/>
            </w:tcBorders>
            <w:noWrap w:val="0"/>
            <w:vAlign w:val="center"/>
          </w:tcPr>
          <w:p w14:paraId="0E2044D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3" w:type="pct"/>
            <w:noWrap w:val="0"/>
            <w:vAlign w:val="center"/>
          </w:tcPr>
          <w:p w14:paraId="7880AC6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7F73F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1EA2F8B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60206FF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2A4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63" w:type="pct"/>
            <w:noWrap w:val="0"/>
            <w:vAlign w:val="center"/>
          </w:tcPr>
          <w:p w14:paraId="552E171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3" w:type="pct"/>
            <w:noWrap w:val="0"/>
            <w:vAlign w:val="center"/>
          </w:tcPr>
          <w:p w14:paraId="3F742D3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B39482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036157F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5AAEBA9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434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63" w:type="pct"/>
            <w:noWrap w:val="0"/>
            <w:vAlign w:val="center"/>
          </w:tcPr>
          <w:p w14:paraId="51DE39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3" w:type="pct"/>
            <w:noWrap w:val="0"/>
            <w:vAlign w:val="center"/>
          </w:tcPr>
          <w:p w14:paraId="129DB36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3101AE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44FF404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307B300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7F7D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463" w:type="pct"/>
            <w:noWrap w:val="0"/>
            <w:vAlign w:val="center"/>
          </w:tcPr>
          <w:p w14:paraId="768FF88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3" w:type="pct"/>
            <w:noWrap w:val="0"/>
            <w:vAlign w:val="center"/>
          </w:tcPr>
          <w:p w14:paraId="53F54BD7">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3093FF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63C901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20" w:type="pct"/>
            <w:noWrap w:val="0"/>
            <w:vAlign w:val="center"/>
          </w:tcPr>
          <w:p w14:paraId="050C455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51A5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079" w:type="pct"/>
            <w:gridSpan w:val="4"/>
            <w:noWrap w:val="0"/>
            <w:vAlign w:val="center"/>
          </w:tcPr>
          <w:p w14:paraId="4C32EF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20" w:type="pct"/>
            <w:noWrap w:val="0"/>
            <w:vAlign w:val="center"/>
          </w:tcPr>
          <w:p w14:paraId="56C4B51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E451B21">
      <w:pPr>
        <w:pStyle w:val="37"/>
        <w:ind w:left="-108"/>
        <w:jc w:val="both"/>
        <w:rPr>
          <w:rFonts w:hint="eastAsia" w:ascii="宋体" w:hAnsi="宋体" w:eastAsia="宋体"/>
          <w:b/>
          <w:bCs/>
          <w:highlight w:val="none"/>
          <w:lang w:val="en-US" w:eastAsia="zh-CN"/>
        </w:rPr>
      </w:pPr>
    </w:p>
    <w:p w14:paraId="6ACAA8D5">
      <w:pPr>
        <w:spacing w:line="360" w:lineRule="auto"/>
        <w:rPr>
          <w:rFonts w:hint="default" w:ascii="宋体" w:hAnsi="宋体" w:eastAsia="宋体"/>
          <w:color w:val="auto"/>
          <w:sz w:val="24"/>
          <w:highlight w:val="none"/>
          <w:lang w:val="en-US" w:eastAsia="zh-CN"/>
        </w:rPr>
      </w:pPr>
    </w:p>
    <w:p w14:paraId="0AB78D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52856">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1DC9F39">
      <w:pPr>
        <w:spacing w:line="360" w:lineRule="auto"/>
        <w:ind w:firstLine="435"/>
        <w:jc w:val="right"/>
        <w:rPr>
          <w:rFonts w:ascii="宋体" w:hAnsi="宋体" w:eastAsia="宋体"/>
          <w:b/>
          <w:bCs/>
          <w:sz w:val="24"/>
          <w:szCs w:val="28"/>
          <w:highlight w:val="none"/>
        </w:rPr>
      </w:pPr>
      <w:r>
        <w:rPr>
          <w:rFonts w:hint="eastAsia" w:ascii="宋体" w:hAnsi="宋体" w:eastAsia="宋体"/>
          <w:bCs/>
          <w:sz w:val="24"/>
          <w:szCs w:val="28"/>
          <w:highlight w:val="none"/>
          <w:u w:val="single"/>
        </w:rPr>
        <w:t xml:space="preserve">       </w:t>
      </w:r>
    </w:p>
    <w:p w14:paraId="052B0EC2">
      <w:pPr>
        <w:spacing w:line="360" w:lineRule="auto"/>
        <w:rPr>
          <w:rFonts w:hint="eastAsia" w:asciiTheme="minorEastAsia" w:hAnsiTheme="minorEastAsia" w:eastAsiaTheme="minorEastAsia"/>
          <w:b/>
          <w:bCs/>
          <w:sz w:val="21"/>
          <w:szCs w:val="21"/>
          <w:highlight w:val="none"/>
          <w:lang w:eastAsia="zh-CN"/>
        </w:rPr>
      </w:pPr>
      <w:r>
        <w:rPr>
          <w:rFonts w:hint="eastAsia" w:asciiTheme="minorEastAsia" w:hAnsiTheme="minorEastAsia" w:eastAsiaTheme="minorEastAsia"/>
          <w:b/>
          <w:bCs/>
          <w:sz w:val="21"/>
          <w:szCs w:val="21"/>
          <w:highlight w:val="none"/>
          <w:lang w:eastAsia="zh-CN"/>
        </w:rPr>
        <w:t>注：</w:t>
      </w:r>
    </w:p>
    <w:p w14:paraId="165D26D6">
      <w:pPr>
        <w:spacing w:line="360" w:lineRule="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1.表1-2-1</w:t>
      </w:r>
      <w:r>
        <w:rPr>
          <w:rFonts w:hint="eastAsia" w:asciiTheme="minorEastAsia" w:hAnsiTheme="minorEastAsia" w:eastAsiaTheme="minorEastAsia"/>
          <w:sz w:val="21"/>
          <w:szCs w:val="21"/>
          <w:highlight w:val="none"/>
        </w:rPr>
        <w:t>中须明确列出所投产品的货物名称、品牌、型号规格、原产地及生产厂商，否则可能导致</w:t>
      </w:r>
      <w:r>
        <w:rPr>
          <w:rFonts w:hint="eastAsia" w:asciiTheme="minorEastAsia" w:hAnsiTheme="minorEastAsia" w:eastAsiaTheme="minorEastAsia"/>
          <w:b/>
          <w:bCs/>
          <w:sz w:val="21"/>
          <w:szCs w:val="21"/>
          <w:highlight w:val="none"/>
          <w:lang w:val="en-US" w:eastAsia="zh-CN"/>
        </w:rPr>
        <w:t>响应</w:t>
      </w:r>
      <w:r>
        <w:rPr>
          <w:rFonts w:hint="eastAsia" w:asciiTheme="minorEastAsia" w:hAnsiTheme="minorEastAsia" w:eastAsiaTheme="minorEastAsia"/>
          <w:b/>
          <w:bCs/>
          <w:sz w:val="21"/>
          <w:szCs w:val="21"/>
          <w:highlight w:val="none"/>
        </w:rPr>
        <w:t>无效</w:t>
      </w:r>
      <w:r>
        <w:rPr>
          <w:rFonts w:hint="eastAsia" w:asciiTheme="minorEastAsia" w:hAnsiTheme="minorEastAsia" w:eastAsiaTheme="minorEastAsia"/>
          <w:b/>
          <w:bCs/>
          <w:sz w:val="21"/>
          <w:szCs w:val="21"/>
          <w:highlight w:val="none"/>
          <w:lang w:eastAsia="zh-CN"/>
        </w:rPr>
        <w:t>。</w:t>
      </w:r>
    </w:p>
    <w:p w14:paraId="3965B980">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2.上述报价为供应商完成本项目内容的全部费用（总报价为表1-2-1和表1-2-2合计金额之和），</w:t>
      </w:r>
      <w:r>
        <w:rPr>
          <w:rFonts w:hint="eastAsia" w:asciiTheme="minorEastAsia" w:hAnsiTheme="minorEastAsia" w:eastAsiaTheme="minorEastAsia"/>
          <w:sz w:val="21"/>
          <w:szCs w:val="21"/>
          <w:highlight w:val="none"/>
        </w:rPr>
        <w:t>如有漏项或缺项，</w:t>
      </w:r>
      <w:r>
        <w:rPr>
          <w:rFonts w:hint="eastAsia" w:asciiTheme="minorEastAsia" w:hAnsiTheme="minorEastAsia" w:eastAsiaTheme="minorEastAsia"/>
          <w:sz w:val="21"/>
          <w:szCs w:val="21"/>
          <w:highlight w:val="none"/>
          <w:lang w:val="en-US" w:eastAsia="zh-CN"/>
        </w:rPr>
        <w:t>自行</w:t>
      </w:r>
      <w:r>
        <w:rPr>
          <w:rFonts w:hint="eastAsia" w:asciiTheme="minorEastAsia" w:hAnsiTheme="minorEastAsia" w:eastAsiaTheme="minorEastAsia"/>
          <w:sz w:val="21"/>
          <w:szCs w:val="21"/>
          <w:highlight w:val="none"/>
        </w:rPr>
        <w:t>承担全部责任。</w:t>
      </w:r>
    </w:p>
    <w:p w14:paraId="7B1D0F1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719B9E0">
      <w:pPr>
        <w:spacing w:line="360" w:lineRule="auto"/>
        <w:jc w:val="center"/>
        <w:outlineLvl w:val="1"/>
        <w:rPr>
          <w:rFonts w:asciiTheme="minorEastAsia" w:hAnsiTheme="minorEastAsia" w:eastAsiaTheme="minorEastAsia"/>
          <w:b/>
          <w:color w:val="auto"/>
          <w:sz w:val="24"/>
          <w:highlight w:val="none"/>
        </w:rPr>
      </w:pPr>
      <w:bookmarkStart w:id="58" w:name="_Toc127"/>
      <w:bookmarkStart w:id="59" w:name="_Toc13918"/>
      <w:r>
        <w:rPr>
          <w:rFonts w:hint="eastAsia" w:asciiTheme="minorEastAsia" w:hAnsiTheme="minorEastAsia" w:eastAsiaTheme="minorEastAsia"/>
          <w:b/>
          <w:color w:val="auto"/>
          <w:sz w:val="24"/>
          <w:highlight w:val="none"/>
        </w:rPr>
        <w:t>二</w:t>
      </w:r>
      <w:bookmarkEnd w:id="55"/>
      <w:bookmarkEnd w:id="56"/>
      <w:r>
        <w:rPr>
          <w:rFonts w:hint="eastAsia" w:asciiTheme="minorEastAsia" w:hAnsiTheme="minorEastAsia" w:eastAsiaTheme="minorEastAsia"/>
          <w:b/>
          <w:color w:val="auto"/>
          <w:sz w:val="24"/>
          <w:highlight w:val="none"/>
        </w:rPr>
        <w:t>、最后承诺报价表</w:t>
      </w:r>
      <w:bookmarkEnd w:id="57"/>
      <w:bookmarkEnd w:id="58"/>
      <w:bookmarkEnd w:id="59"/>
    </w:p>
    <w:p w14:paraId="34BE593C">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60F1B11B">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lang w:val="en-US" w:eastAsia="zh-CN"/>
        </w:rPr>
        <w:t xml:space="preserve">             </w:t>
      </w:r>
    </w:p>
    <w:p w14:paraId="00A73032">
      <w:pPr>
        <w:snapToGrid w:val="0"/>
        <w:spacing w:after="156" w:afterLines="50" w:line="360" w:lineRule="auto"/>
        <w:jc w:val="left"/>
        <w:rPr>
          <w:rFonts w:hint="default" w:ascii="宋体" w:hAnsi="宋体" w:eastAsia="宋体"/>
          <w:b/>
          <w:bCs/>
          <w:color w:val="auto"/>
          <w:sz w:val="24"/>
          <w:szCs w:val="28"/>
          <w:highlight w:val="non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13A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770A3C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3C7EB48">
            <w:pPr>
              <w:spacing w:line="360" w:lineRule="auto"/>
              <w:rPr>
                <w:rFonts w:ascii="宋体" w:hAnsi="宋体" w:eastAsia="宋体"/>
                <w:b/>
                <w:color w:val="auto"/>
                <w:sz w:val="24"/>
                <w:highlight w:val="none"/>
              </w:rPr>
            </w:pPr>
          </w:p>
        </w:tc>
      </w:tr>
      <w:tr w14:paraId="6A1C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4CE87F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060C5A37">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5EA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23808AC">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57EDDC6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807D58E">
            <w:pPr>
              <w:snapToGrid w:val="0"/>
              <w:spacing w:line="360" w:lineRule="auto"/>
              <w:jc w:val="left"/>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25B5F87D">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4890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443" w:type="pct"/>
            <w:vAlign w:val="center"/>
          </w:tcPr>
          <w:p w14:paraId="21DE90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CA26D8">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14:paraId="0E44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48959CF">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14:paraId="4EA3314E">
            <w:pPr>
              <w:spacing w:line="360" w:lineRule="auto"/>
              <w:rPr>
                <w:rFonts w:ascii="宋体" w:hAnsi="宋体" w:eastAsia="宋体"/>
                <w:b/>
                <w:color w:val="auto"/>
                <w:sz w:val="24"/>
                <w:highlight w:val="none"/>
              </w:rPr>
            </w:pPr>
          </w:p>
        </w:tc>
      </w:tr>
    </w:tbl>
    <w:p w14:paraId="39F6FA75">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p>
    <w:p w14:paraId="68C1EE00">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B5ACC65">
      <w:pPr>
        <w:spacing w:line="360" w:lineRule="auto"/>
        <w:ind w:firstLine="4200" w:firstLineChars="1750"/>
        <w:jc w:val="left"/>
        <w:rPr>
          <w:rFonts w:ascii="宋体" w:hAnsi="宋体" w:eastAsia="宋体"/>
          <w:color w:val="auto"/>
          <w:sz w:val="24"/>
          <w:highlight w:val="none"/>
        </w:rPr>
      </w:pPr>
    </w:p>
    <w:p w14:paraId="51BE6A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r>
        <w:rPr>
          <w:rFonts w:hint="eastAsia" w:asciiTheme="minorEastAsia" w:hAnsiTheme="minorEastAsia" w:eastAsiaTheme="minorEastAsia"/>
          <w:color w:val="auto"/>
          <w:sz w:val="24"/>
          <w:highlight w:val="none"/>
        </w:rPr>
        <w:t>考虑谈判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23F5144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2.表中大写金额与小写金额不一致的，以大写金额为准。</w:t>
      </w:r>
    </w:p>
    <w:p w14:paraId="74FC0FE2">
      <w:pPr>
        <w:spacing w:line="360" w:lineRule="auto"/>
        <w:ind w:firstLine="435"/>
        <w:rPr>
          <w:rFonts w:asciiTheme="minorEastAsia" w:hAnsiTheme="minorEastAsia" w:eastAsiaTheme="minorEastAsia"/>
          <w:b/>
          <w:bCs/>
          <w:color w:val="auto"/>
          <w:sz w:val="24"/>
          <w:highlight w:val="none"/>
        </w:rPr>
      </w:pPr>
    </w:p>
    <w:p w14:paraId="5C27C790">
      <w:pPr>
        <w:widowControl/>
        <w:jc w:val="left"/>
        <w:rPr>
          <w:rFonts w:asciiTheme="minorEastAsia" w:hAnsiTheme="minorEastAsia" w:eastAsiaTheme="minorEastAsia"/>
          <w:b/>
          <w:color w:val="auto"/>
          <w:sz w:val="24"/>
          <w:highlight w:val="none"/>
        </w:rPr>
      </w:pPr>
      <w:bookmarkStart w:id="60" w:name="_Toc520983591"/>
      <w:r>
        <w:rPr>
          <w:rFonts w:asciiTheme="minorEastAsia" w:hAnsiTheme="minorEastAsia" w:eastAsiaTheme="minorEastAsia"/>
          <w:b/>
          <w:color w:val="auto"/>
          <w:sz w:val="24"/>
          <w:highlight w:val="none"/>
        </w:rPr>
        <w:br w:type="page"/>
      </w:r>
    </w:p>
    <w:p w14:paraId="1EB022C9">
      <w:pPr>
        <w:spacing w:line="360" w:lineRule="auto"/>
        <w:jc w:val="center"/>
        <w:outlineLvl w:val="1"/>
        <w:rPr>
          <w:rFonts w:asciiTheme="minorEastAsia" w:hAnsiTheme="minorEastAsia" w:eastAsiaTheme="minorEastAsia"/>
          <w:b/>
          <w:color w:val="auto"/>
          <w:sz w:val="24"/>
          <w:highlight w:val="none"/>
        </w:rPr>
      </w:pPr>
      <w:bookmarkStart w:id="61" w:name="_Toc19122"/>
      <w:bookmarkStart w:id="62" w:name="_Toc24283"/>
      <w:r>
        <w:rPr>
          <w:rFonts w:hint="eastAsia" w:asciiTheme="minorEastAsia" w:hAnsiTheme="minorEastAsia" w:eastAsiaTheme="minorEastAsia"/>
          <w:b/>
          <w:color w:val="auto"/>
          <w:sz w:val="24"/>
          <w:highlight w:val="none"/>
        </w:rPr>
        <w:t>三、谈判响应函</w:t>
      </w:r>
      <w:bookmarkEnd w:id="60"/>
      <w:bookmarkEnd w:id="61"/>
      <w:bookmarkEnd w:id="62"/>
    </w:p>
    <w:p w14:paraId="349C4EF4">
      <w:pPr>
        <w:pStyle w:val="12"/>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szCs w:val="24"/>
          <w:highlight w:val="none"/>
          <w:u w:val="none"/>
          <w:lang w:eastAsia="zh-CN"/>
        </w:rPr>
        <w:t>采购人</w:t>
      </w:r>
    </w:p>
    <w:p w14:paraId="5A4C3DF2">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63" w:name="_Hlk44287576"/>
      <w:r>
        <w:rPr>
          <w:rFonts w:hint="eastAsia" w:ascii="宋体" w:hAnsi="宋体" w:eastAsia="宋体"/>
          <w:color w:val="auto"/>
          <w:sz w:val="24"/>
          <w:highlight w:val="none"/>
        </w:rPr>
        <w:t>竞争性谈判公告和谈判邀请</w:t>
      </w:r>
      <w:bookmarkEnd w:id="63"/>
      <w:r>
        <w:rPr>
          <w:rFonts w:hint="eastAsia" w:ascii="宋体" w:hAnsi="宋体" w:eastAsia="宋体"/>
          <w:color w:val="auto"/>
          <w:sz w:val="24"/>
          <w:highlight w:val="none"/>
        </w:rPr>
        <w:t>，我方兹宣布同意如下：</w:t>
      </w:r>
    </w:p>
    <w:p w14:paraId="3DDDE64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59C215E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3BD08BF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7FEC3FD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30806C09">
      <w:pPr>
        <w:spacing w:line="360" w:lineRule="auto"/>
        <w:ind w:firstLine="3600" w:firstLineChars="1500"/>
        <w:rPr>
          <w:rFonts w:hint="eastAsia" w:ascii="宋体" w:hAnsi="宋体" w:eastAsia="宋体"/>
          <w:color w:val="auto"/>
          <w:sz w:val="24"/>
          <w:highlight w:val="none"/>
        </w:rPr>
      </w:pPr>
    </w:p>
    <w:p w14:paraId="1750CD75">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7B242CA5">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825E3F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E1E6CC2">
      <w:pPr>
        <w:spacing w:line="360" w:lineRule="auto"/>
        <w:jc w:val="center"/>
        <w:outlineLvl w:val="1"/>
        <w:rPr>
          <w:rFonts w:hint="eastAsia" w:asciiTheme="minorEastAsia" w:hAnsiTheme="minorEastAsia" w:eastAsiaTheme="minorEastAsia"/>
          <w:b/>
          <w:color w:val="auto"/>
          <w:sz w:val="24"/>
          <w:highlight w:val="none"/>
        </w:rPr>
      </w:pPr>
      <w:bookmarkStart w:id="64" w:name="_Toc25337"/>
      <w:bookmarkStart w:id="65" w:name="_Toc10139"/>
      <w:bookmarkStart w:id="66" w:name="_Toc516969106"/>
      <w:bookmarkStart w:id="67" w:name="_Toc520983594"/>
      <w:bookmarkStart w:id="68" w:name="_Toc204594911"/>
      <w:bookmarkStart w:id="69" w:name="_Toc121626298"/>
      <w:r>
        <w:rPr>
          <w:rFonts w:hint="eastAsia" w:asciiTheme="minorEastAsia" w:hAnsiTheme="minorEastAsia" w:eastAsiaTheme="minorEastAsia"/>
          <w:b/>
          <w:color w:val="auto"/>
          <w:sz w:val="24"/>
          <w:highlight w:val="none"/>
          <w:lang w:val="en-US" w:eastAsia="zh-CN"/>
        </w:rPr>
        <w:t>四、供应商资格声明书</w:t>
      </w:r>
      <w:bookmarkEnd w:id="64"/>
      <w:r>
        <w:rPr>
          <w:rFonts w:hint="eastAsia" w:asciiTheme="minorEastAsia" w:hAnsiTheme="minorEastAsia" w:eastAsiaTheme="minorEastAsia"/>
          <w:b/>
          <w:color w:val="auto"/>
          <w:sz w:val="24"/>
          <w:highlight w:val="none"/>
          <w:lang w:val="en-US" w:eastAsia="zh-CN"/>
        </w:rPr>
        <w:t xml:space="preserve"> </w:t>
      </w:r>
    </w:p>
    <w:p w14:paraId="20B4AF61">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1A3279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7DF241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6DE009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E24DD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2B440D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66C9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683A0E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（六）与我单位存在单位负责人为同一人或者存在直接控股、管理关系的其他法人单位信息如下（如有，不论其是否参加同一合同项下的采购活动均须填写）：</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45"/>
        <w:gridCol w:w="2841"/>
      </w:tblGrid>
      <w:tr w14:paraId="4299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1AA1C5D6">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608" w:type="pct"/>
            <w:vAlign w:val="center"/>
          </w:tcPr>
          <w:p w14:paraId="0DABA545">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1667" w:type="pct"/>
            <w:vAlign w:val="center"/>
          </w:tcPr>
          <w:p w14:paraId="16CB7642">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6BA1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0684862B">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608" w:type="pct"/>
            <w:vAlign w:val="center"/>
          </w:tcPr>
          <w:p w14:paraId="05FC1AC4">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A8592C6">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4132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62D303A4">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608" w:type="pct"/>
            <w:vAlign w:val="center"/>
          </w:tcPr>
          <w:p w14:paraId="538DA7A5">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1667" w:type="pct"/>
            <w:vAlign w:val="center"/>
          </w:tcPr>
          <w:p w14:paraId="16AB6B6B">
            <w:pPr>
              <w:pStyle w:val="8"/>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1CCA69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D4B7268">
      <w:pPr>
        <w:spacing w:line="360" w:lineRule="auto"/>
        <w:ind w:firstLine="4800" w:firstLineChars="2000"/>
        <w:rPr>
          <w:rFonts w:hint="eastAsia" w:ascii="宋体" w:hAnsi="宋体" w:eastAsia="宋体"/>
          <w:color w:val="auto"/>
          <w:sz w:val="24"/>
          <w:highlight w:val="none"/>
          <w:lang w:val="en-US" w:eastAsia="zh-CN"/>
        </w:rPr>
      </w:pPr>
    </w:p>
    <w:p w14:paraId="4F41F7C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652F45A">
      <w:pPr>
        <w:spacing w:line="360" w:lineRule="auto"/>
        <w:ind w:firstLine="4800" w:firstLineChars="2000"/>
        <w:rPr>
          <w:rFonts w:hint="default" w:ascii="宋体" w:hAnsi="宋体" w:eastAsia="宋体"/>
          <w:color w:val="auto"/>
          <w:sz w:val="24"/>
          <w:highlight w:val="none"/>
          <w:lang w:val="en-US" w:eastAsia="zh-CN"/>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p>
    <w:p w14:paraId="6DC91BFF">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8A33834">
      <w:pPr>
        <w:spacing w:line="360" w:lineRule="auto"/>
        <w:jc w:val="center"/>
        <w:outlineLvl w:val="1"/>
        <w:rPr>
          <w:rFonts w:asciiTheme="minorEastAsia" w:hAnsiTheme="minorEastAsia" w:eastAsiaTheme="minorEastAsia"/>
          <w:b/>
          <w:color w:val="auto"/>
          <w:sz w:val="24"/>
          <w:highlight w:val="none"/>
        </w:rPr>
      </w:pPr>
      <w:bookmarkStart w:id="70" w:name="_Toc15728"/>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、授权书</w:t>
      </w:r>
      <w:bookmarkEnd w:id="65"/>
      <w:bookmarkEnd w:id="66"/>
      <w:bookmarkEnd w:id="67"/>
      <w:bookmarkEnd w:id="68"/>
      <w:bookmarkEnd w:id="69"/>
      <w:bookmarkEnd w:id="70"/>
    </w:p>
    <w:p w14:paraId="4F14ACD3">
      <w:pPr>
        <w:pStyle w:val="11"/>
        <w:snapToGrid w:val="0"/>
        <w:spacing w:line="360" w:lineRule="auto"/>
        <w:ind w:firstLine="480" w:firstLineChars="200"/>
        <w:jc w:val="left"/>
        <w:rPr>
          <w:rFonts w:hAnsi="宋体" w:eastAsia="宋体"/>
          <w:color w:val="auto"/>
          <w:sz w:val="24"/>
          <w:szCs w:val="28"/>
          <w:highlight w:val="none"/>
        </w:rPr>
      </w:pPr>
    </w:p>
    <w:p w14:paraId="4ED97A1D">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406C355A">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53EA66A">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0DA5B72F">
      <w:pPr>
        <w:pStyle w:val="11"/>
        <w:snapToGrid w:val="0"/>
        <w:spacing w:line="360" w:lineRule="auto"/>
        <w:ind w:firstLine="480" w:firstLineChars="200"/>
        <w:jc w:val="left"/>
        <w:rPr>
          <w:rFonts w:hAnsi="宋体" w:eastAsia="宋体"/>
          <w:color w:val="auto"/>
          <w:sz w:val="24"/>
          <w:highlight w:val="none"/>
        </w:rPr>
      </w:pPr>
    </w:p>
    <w:p w14:paraId="6BA4092A">
      <w:pPr>
        <w:pStyle w:val="11"/>
        <w:snapToGrid w:val="0"/>
        <w:spacing w:line="360" w:lineRule="auto"/>
        <w:ind w:firstLine="480" w:firstLineChars="200"/>
        <w:jc w:val="left"/>
        <w:rPr>
          <w:rFonts w:hAnsi="宋体" w:eastAsia="宋体"/>
          <w:color w:val="auto"/>
          <w:sz w:val="24"/>
          <w:highlight w:val="none"/>
        </w:rPr>
      </w:pPr>
    </w:p>
    <w:p w14:paraId="6B4F54B0">
      <w:pPr>
        <w:pStyle w:val="11"/>
        <w:snapToGrid w:val="0"/>
        <w:spacing w:line="360" w:lineRule="auto"/>
        <w:ind w:firstLine="480" w:firstLineChars="200"/>
        <w:jc w:val="left"/>
        <w:rPr>
          <w:rFonts w:hAnsi="宋体" w:eastAsia="宋体"/>
          <w:color w:val="auto"/>
          <w:sz w:val="24"/>
          <w:highlight w:val="none"/>
        </w:rPr>
      </w:pPr>
    </w:p>
    <w:p w14:paraId="5B267070">
      <w:pPr>
        <w:pStyle w:val="11"/>
        <w:snapToGrid w:val="0"/>
        <w:spacing w:line="360" w:lineRule="auto"/>
        <w:ind w:firstLine="480" w:firstLineChars="200"/>
        <w:jc w:val="left"/>
        <w:rPr>
          <w:rFonts w:hAnsi="宋体" w:eastAsia="宋体"/>
          <w:color w:val="auto"/>
          <w:sz w:val="24"/>
          <w:highlight w:val="none"/>
        </w:rPr>
      </w:pPr>
    </w:p>
    <w:p w14:paraId="15517265">
      <w:pPr>
        <w:pStyle w:val="1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C2F07F9">
      <w:pPr>
        <w:pStyle w:val="11"/>
        <w:snapToGrid w:val="0"/>
        <w:spacing w:line="360" w:lineRule="auto"/>
        <w:ind w:firstLine="480" w:firstLineChars="200"/>
        <w:jc w:val="left"/>
        <w:rPr>
          <w:rFonts w:hAnsi="宋体" w:eastAsia="宋体"/>
          <w:color w:val="auto"/>
          <w:sz w:val="24"/>
          <w:szCs w:val="28"/>
          <w:highlight w:val="none"/>
        </w:rPr>
      </w:pPr>
    </w:p>
    <w:p w14:paraId="15E1664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6B1D2305">
      <w:pPr>
        <w:spacing w:line="360" w:lineRule="auto"/>
        <w:rPr>
          <w:rFonts w:ascii="宋体" w:hAnsi="宋体" w:eastAsia="宋体"/>
          <w:color w:val="auto"/>
          <w:sz w:val="24"/>
          <w:szCs w:val="28"/>
          <w:highlight w:val="none"/>
        </w:rPr>
      </w:pPr>
    </w:p>
    <w:p w14:paraId="52F3307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B628FD8">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3FC5F5B">
      <w:pPr>
        <w:spacing w:line="360" w:lineRule="auto"/>
        <w:rPr>
          <w:rFonts w:ascii="宋体" w:hAnsi="宋体" w:eastAsia="宋体"/>
          <w:color w:val="auto"/>
          <w:sz w:val="24"/>
          <w:szCs w:val="28"/>
          <w:highlight w:val="none"/>
        </w:rPr>
      </w:pPr>
    </w:p>
    <w:p w14:paraId="24730712">
      <w:pPr>
        <w:spacing w:line="360" w:lineRule="auto"/>
        <w:rPr>
          <w:rFonts w:ascii="宋体" w:hAnsi="宋体" w:eastAsia="宋体"/>
          <w:color w:val="auto"/>
          <w:sz w:val="24"/>
          <w:szCs w:val="28"/>
          <w:highlight w:val="none"/>
        </w:rPr>
      </w:pPr>
    </w:p>
    <w:p w14:paraId="62B29EEE">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600B62F5">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2F2DD3B">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6E4A26D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86D7AF8">
      <w:pPr>
        <w:spacing w:line="360" w:lineRule="auto"/>
        <w:jc w:val="center"/>
        <w:outlineLvl w:val="1"/>
        <w:rPr>
          <w:rFonts w:asciiTheme="minorEastAsia" w:hAnsiTheme="minorEastAsia" w:eastAsiaTheme="minorEastAsia"/>
          <w:b/>
          <w:color w:val="auto"/>
          <w:sz w:val="24"/>
          <w:highlight w:val="none"/>
        </w:rPr>
      </w:pPr>
      <w:bookmarkStart w:id="71" w:name="_Toc15310"/>
      <w:bookmarkStart w:id="72" w:name="_Toc27733"/>
      <w:r>
        <w:rPr>
          <w:rFonts w:hint="eastAsia" w:asciiTheme="minorEastAsia" w:hAnsiTheme="minorEastAsia" w:eastAsiaTheme="minorEastAsia"/>
          <w:b/>
          <w:color w:val="auto"/>
          <w:sz w:val="24"/>
          <w:highlight w:val="none"/>
        </w:rPr>
        <w:t>六、谈判响应表</w:t>
      </w:r>
      <w:bookmarkEnd w:id="71"/>
      <w:bookmarkEnd w:id="72"/>
    </w:p>
    <w:p w14:paraId="5FD070E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4971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3BAE33E6">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77C02F7">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DCD52A0">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谈判文件要求</w:t>
            </w:r>
          </w:p>
        </w:tc>
        <w:tc>
          <w:tcPr>
            <w:tcW w:w="1511" w:type="pct"/>
            <w:vAlign w:val="center"/>
          </w:tcPr>
          <w:p w14:paraId="3CBA2C9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D373D2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D6F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8AE99F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101" w:type="dxa"/>
            <w:vAlign w:val="center"/>
          </w:tcPr>
          <w:p w14:paraId="70991E50">
            <w:pPr>
              <w:pStyle w:val="29"/>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付款方式</w:t>
            </w:r>
          </w:p>
        </w:tc>
        <w:tc>
          <w:tcPr>
            <w:tcW w:w="1465" w:type="pct"/>
            <w:vAlign w:val="center"/>
          </w:tcPr>
          <w:p w14:paraId="14D0FADA">
            <w:pPr>
              <w:jc w:val="center"/>
              <w:rPr>
                <w:rFonts w:asciiTheme="minorEastAsia" w:hAnsiTheme="minorEastAsia" w:eastAsiaTheme="minorEastAsia"/>
                <w:color w:val="auto"/>
                <w:sz w:val="24"/>
                <w:highlight w:val="none"/>
              </w:rPr>
            </w:pPr>
          </w:p>
        </w:tc>
        <w:tc>
          <w:tcPr>
            <w:tcW w:w="1511" w:type="pct"/>
            <w:vAlign w:val="center"/>
          </w:tcPr>
          <w:p w14:paraId="68E8C36C">
            <w:pPr>
              <w:jc w:val="center"/>
              <w:rPr>
                <w:rFonts w:asciiTheme="minorEastAsia" w:hAnsiTheme="minorEastAsia" w:eastAsiaTheme="minorEastAsia"/>
                <w:color w:val="auto"/>
                <w:sz w:val="24"/>
                <w:highlight w:val="none"/>
              </w:rPr>
            </w:pPr>
          </w:p>
        </w:tc>
        <w:tc>
          <w:tcPr>
            <w:tcW w:w="475" w:type="pct"/>
            <w:vAlign w:val="center"/>
          </w:tcPr>
          <w:p w14:paraId="31F24BDA">
            <w:pPr>
              <w:jc w:val="center"/>
              <w:rPr>
                <w:rFonts w:asciiTheme="minorEastAsia" w:hAnsiTheme="minorEastAsia" w:eastAsiaTheme="minorEastAsia"/>
                <w:color w:val="auto"/>
                <w:sz w:val="24"/>
                <w:highlight w:val="none"/>
              </w:rPr>
            </w:pPr>
          </w:p>
        </w:tc>
      </w:tr>
      <w:tr w14:paraId="01FA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95805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01" w:type="dxa"/>
            <w:vAlign w:val="center"/>
          </w:tcPr>
          <w:p w14:paraId="6FA6484A">
            <w:pPr>
              <w:pStyle w:val="29"/>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供货及安装地点</w:t>
            </w:r>
          </w:p>
        </w:tc>
        <w:tc>
          <w:tcPr>
            <w:tcW w:w="1465" w:type="pct"/>
            <w:vAlign w:val="center"/>
          </w:tcPr>
          <w:p w14:paraId="49358685">
            <w:pPr>
              <w:jc w:val="center"/>
              <w:rPr>
                <w:rFonts w:asciiTheme="minorEastAsia" w:hAnsiTheme="minorEastAsia" w:eastAsiaTheme="minorEastAsia"/>
                <w:color w:val="auto"/>
                <w:sz w:val="24"/>
                <w:highlight w:val="none"/>
              </w:rPr>
            </w:pPr>
          </w:p>
        </w:tc>
        <w:tc>
          <w:tcPr>
            <w:tcW w:w="1511" w:type="pct"/>
            <w:vAlign w:val="center"/>
          </w:tcPr>
          <w:p w14:paraId="49723481">
            <w:pPr>
              <w:jc w:val="center"/>
              <w:rPr>
                <w:rFonts w:asciiTheme="minorEastAsia" w:hAnsiTheme="minorEastAsia" w:eastAsiaTheme="minorEastAsia"/>
                <w:color w:val="auto"/>
                <w:sz w:val="24"/>
                <w:highlight w:val="none"/>
              </w:rPr>
            </w:pPr>
          </w:p>
        </w:tc>
        <w:tc>
          <w:tcPr>
            <w:tcW w:w="475" w:type="pct"/>
            <w:vAlign w:val="center"/>
          </w:tcPr>
          <w:p w14:paraId="7F0DC053">
            <w:pPr>
              <w:jc w:val="center"/>
              <w:rPr>
                <w:rFonts w:asciiTheme="minorEastAsia" w:hAnsiTheme="minorEastAsia" w:eastAsiaTheme="minorEastAsia"/>
                <w:color w:val="auto"/>
                <w:sz w:val="24"/>
                <w:highlight w:val="none"/>
              </w:rPr>
            </w:pPr>
          </w:p>
        </w:tc>
      </w:tr>
      <w:tr w14:paraId="6BCE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A8A141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101" w:type="dxa"/>
            <w:vAlign w:val="center"/>
          </w:tcPr>
          <w:p w14:paraId="2053F3E8">
            <w:pPr>
              <w:pStyle w:val="29"/>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供货及安装期限</w:t>
            </w:r>
          </w:p>
        </w:tc>
        <w:tc>
          <w:tcPr>
            <w:tcW w:w="1465" w:type="pct"/>
            <w:vAlign w:val="center"/>
          </w:tcPr>
          <w:p w14:paraId="21D61DCD">
            <w:pPr>
              <w:jc w:val="center"/>
              <w:rPr>
                <w:rFonts w:asciiTheme="minorEastAsia" w:hAnsiTheme="minorEastAsia" w:eastAsiaTheme="minorEastAsia"/>
                <w:color w:val="auto"/>
                <w:sz w:val="24"/>
                <w:highlight w:val="none"/>
              </w:rPr>
            </w:pPr>
          </w:p>
        </w:tc>
        <w:tc>
          <w:tcPr>
            <w:tcW w:w="1511" w:type="pct"/>
            <w:vAlign w:val="center"/>
          </w:tcPr>
          <w:p w14:paraId="4A4C1B3B">
            <w:pPr>
              <w:pStyle w:val="37"/>
              <w:jc w:val="center"/>
              <w:rPr>
                <w:rFonts w:asciiTheme="minorEastAsia" w:hAnsiTheme="minorEastAsia" w:eastAsiaTheme="minorEastAsia"/>
                <w:color w:val="auto"/>
                <w:highlight w:val="none"/>
              </w:rPr>
            </w:pPr>
          </w:p>
        </w:tc>
        <w:tc>
          <w:tcPr>
            <w:tcW w:w="475" w:type="pct"/>
            <w:vAlign w:val="center"/>
          </w:tcPr>
          <w:p w14:paraId="1AA0F8C7">
            <w:pPr>
              <w:jc w:val="center"/>
              <w:rPr>
                <w:rFonts w:asciiTheme="minorEastAsia" w:hAnsiTheme="minorEastAsia" w:eastAsiaTheme="minorEastAsia"/>
                <w:color w:val="auto"/>
                <w:sz w:val="24"/>
                <w:highlight w:val="none"/>
              </w:rPr>
            </w:pPr>
          </w:p>
        </w:tc>
      </w:tr>
      <w:tr w14:paraId="1507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73985D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01" w:type="dxa"/>
            <w:vAlign w:val="center"/>
          </w:tcPr>
          <w:p w14:paraId="474B0F78">
            <w:pPr>
              <w:pStyle w:val="29"/>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rPr>
              <w:t>免费质保期</w:t>
            </w:r>
          </w:p>
        </w:tc>
        <w:tc>
          <w:tcPr>
            <w:tcW w:w="1465" w:type="pct"/>
            <w:vAlign w:val="center"/>
          </w:tcPr>
          <w:p w14:paraId="6196BEF2">
            <w:pPr>
              <w:jc w:val="center"/>
              <w:rPr>
                <w:rFonts w:asciiTheme="minorEastAsia" w:hAnsiTheme="minorEastAsia" w:eastAsiaTheme="minorEastAsia"/>
                <w:color w:val="auto"/>
                <w:sz w:val="24"/>
                <w:highlight w:val="none"/>
              </w:rPr>
            </w:pPr>
          </w:p>
        </w:tc>
        <w:tc>
          <w:tcPr>
            <w:tcW w:w="1511" w:type="pct"/>
            <w:vAlign w:val="center"/>
          </w:tcPr>
          <w:p w14:paraId="7E9F6C24">
            <w:pPr>
              <w:jc w:val="center"/>
              <w:rPr>
                <w:rFonts w:asciiTheme="minorEastAsia" w:hAnsiTheme="minorEastAsia" w:eastAsiaTheme="minorEastAsia"/>
                <w:color w:val="auto"/>
                <w:sz w:val="24"/>
                <w:highlight w:val="none"/>
              </w:rPr>
            </w:pPr>
          </w:p>
        </w:tc>
        <w:tc>
          <w:tcPr>
            <w:tcW w:w="475" w:type="pct"/>
            <w:vAlign w:val="center"/>
          </w:tcPr>
          <w:p w14:paraId="699EFC82">
            <w:pPr>
              <w:jc w:val="center"/>
              <w:rPr>
                <w:rFonts w:asciiTheme="minorEastAsia" w:hAnsiTheme="minorEastAsia" w:eastAsiaTheme="minorEastAsia"/>
                <w:color w:val="auto"/>
                <w:sz w:val="24"/>
                <w:highlight w:val="none"/>
              </w:rPr>
            </w:pPr>
          </w:p>
        </w:tc>
      </w:tr>
      <w:tr w14:paraId="0CD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3BB5119">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2101" w:type="dxa"/>
            <w:vAlign w:val="center"/>
          </w:tcPr>
          <w:p w14:paraId="29FB0A85">
            <w:pPr>
              <w:pStyle w:val="29"/>
              <w:widowControl w:val="0"/>
              <w:spacing w:before="0" w:beforeAutospacing="0" w:after="0" w:afterAutospacing="0" w:line="360" w:lineRule="auto"/>
              <w:rPr>
                <w:rFonts w:ascii="宋体" w:hAnsi="宋体" w:eastAsia="宋体"/>
                <w:color w:val="auto"/>
                <w:sz w:val="24"/>
                <w:highlight w:val="none"/>
              </w:rPr>
            </w:pPr>
            <w:r>
              <w:rPr>
                <w:rFonts w:hint="eastAsia" w:ascii="宋体" w:hAnsi="宋体" w:eastAsia="宋体"/>
                <w:b w:val="0"/>
                <w:color w:val="auto"/>
                <w:sz w:val="24"/>
                <w:highlight w:val="none"/>
                <w:lang w:val="en-US" w:eastAsia="zh-CN"/>
              </w:rPr>
              <w:t>售后服务</w:t>
            </w:r>
          </w:p>
        </w:tc>
        <w:tc>
          <w:tcPr>
            <w:tcW w:w="1465" w:type="pct"/>
            <w:vAlign w:val="center"/>
          </w:tcPr>
          <w:p w14:paraId="26436D78">
            <w:pPr>
              <w:jc w:val="center"/>
              <w:rPr>
                <w:rFonts w:asciiTheme="minorEastAsia" w:hAnsiTheme="minorEastAsia" w:eastAsiaTheme="minorEastAsia"/>
                <w:color w:val="auto"/>
                <w:sz w:val="24"/>
                <w:highlight w:val="none"/>
              </w:rPr>
            </w:pPr>
          </w:p>
        </w:tc>
        <w:tc>
          <w:tcPr>
            <w:tcW w:w="1511" w:type="pct"/>
            <w:vAlign w:val="center"/>
          </w:tcPr>
          <w:p w14:paraId="5CC980E4">
            <w:pPr>
              <w:jc w:val="center"/>
              <w:rPr>
                <w:rFonts w:asciiTheme="minorEastAsia" w:hAnsiTheme="minorEastAsia" w:eastAsiaTheme="minorEastAsia"/>
                <w:color w:val="auto"/>
                <w:sz w:val="24"/>
                <w:highlight w:val="none"/>
              </w:rPr>
            </w:pPr>
          </w:p>
        </w:tc>
        <w:tc>
          <w:tcPr>
            <w:tcW w:w="475" w:type="pct"/>
            <w:vAlign w:val="center"/>
          </w:tcPr>
          <w:p w14:paraId="09B54A94">
            <w:pPr>
              <w:jc w:val="center"/>
              <w:rPr>
                <w:rFonts w:asciiTheme="minorEastAsia" w:hAnsiTheme="minorEastAsia" w:eastAsiaTheme="minorEastAsia"/>
                <w:color w:val="auto"/>
                <w:sz w:val="24"/>
                <w:highlight w:val="none"/>
              </w:rPr>
            </w:pPr>
          </w:p>
        </w:tc>
      </w:tr>
    </w:tbl>
    <w:p w14:paraId="3601942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1"/>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4192"/>
        <w:gridCol w:w="2806"/>
        <w:gridCol w:w="828"/>
      </w:tblGrid>
      <w:tr w14:paraId="054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77" w:type="pct"/>
            <w:vAlign w:val="center"/>
          </w:tcPr>
          <w:p w14:paraId="0909315F">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476" w:type="pct"/>
            <w:vAlign w:val="center"/>
          </w:tcPr>
          <w:p w14:paraId="4A2ACFAA">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谈判文件规定的技术参数要求</w:t>
            </w:r>
          </w:p>
        </w:tc>
        <w:tc>
          <w:tcPr>
            <w:tcW w:w="1657" w:type="pct"/>
            <w:vAlign w:val="center"/>
          </w:tcPr>
          <w:p w14:paraId="1C35872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489" w:type="pct"/>
            <w:vAlign w:val="center"/>
          </w:tcPr>
          <w:p w14:paraId="6F05FF1D">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289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7F961A6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476" w:type="pct"/>
            <w:vAlign w:val="center"/>
          </w:tcPr>
          <w:p w14:paraId="204CC9F3">
            <w:pPr>
              <w:pStyle w:val="61"/>
              <w:spacing w:before="58" w:line="328" w:lineRule="auto"/>
              <w:ind w:right="103" w:rightChars="0"/>
              <w:jc w:val="left"/>
              <w:rPr>
                <w:rFonts w:asciiTheme="minorEastAsia" w:hAnsiTheme="minorEastAsia" w:eastAsiaTheme="minorEastAsia"/>
                <w:color w:val="auto"/>
                <w:sz w:val="22"/>
                <w:szCs w:val="18"/>
                <w:highlight w:val="none"/>
              </w:rPr>
            </w:pPr>
            <w:r>
              <w:rPr>
                <w:sz w:val="22"/>
                <w:szCs w:val="18"/>
              </w:rPr>
              <w:t>1、立式超低温冰箱，有效容积≥</w:t>
            </w:r>
            <w:r>
              <w:rPr>
                <w:rFonts w:hint="eastAsia"/>
                <w:sz w:val="22"/>
                <w:szCs w:val="18"/>
                <w:lang w:val="en-US" w:eastAsia="zh-CN"/>
              </w:rPr>
              <w:t>410</w:t>
            </w:r>
            <w:r>
              <w:rPr>
                <w:sz w:val="22"/>
                <w:szCs w:val="18"/>
              </w:rPr>
              <w:t>L，整机装箱量（2ml 冻存管容量）≥3 万份样本；</w:t>
            </w:r>
          </w:p>
        </w:tc>
        <w:tc>
          <w:tcPr>
            <w:tcW w:w="1657" w:type="pct"/>
            <w:vAlign w:val="center"/>
          </w:tcPr>
          <w:p w14:paraId="65B22140">
            <w:pPr>
              <w:jc w:val="center"/>
              <w:rPr>
                <w:rFonts w:asciiTheme="minorEastAsia" w:hAnsiTheme="minorEastAsia" w:eastAsiaTheme="minorEastAsia"/>
                <w:color w:val="auto"/>
                <w:sz w:val="24"/>
                <w:highlight w:val="none"/>
              </w:rPr>
            </w:pPr>
          </w:p>
        </w:tc>
        <w:tc>
          <w:tcPr>
            <w:tcW w:w="489" w:type="pct"/>
            <w:vAlign w:val="center"/>
          </w:tcPr>
          <w:p w14:paraId="33BE3A42">
            <w:pPr>
              <w:jc w:val="center"/>
              <w:rPr>
                <w:rFonts w:asciiTheme="minorEastAsia" w:hAnsiTheme="minorEastAsia" w:eastAsiaTheme="minorEastAsia"/>
                <w:color w:val="auto"/>
                <w:sz w:val="24"/>
                <w:highlight w:val="none"/>
              </w:rPr>
            </w:pPr>
          </w:p>
        </w:tc>
      </w:tr>
      <w:tr w14:paraId="6EE1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5883500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476" w:type="pct"/>
            <w:vAlign w:val="center"/>
          </w:tcPr>
          <w:p w14:paraId="75D37818">
            <w:pPr>
              <w:pStyle w:val="61"/>
              <w:spacing w:line="305" w:lineRule="exact"/>
              <w:ind w:left="106" w:leftChars="0"/>
              <w:jc w:val="left"/>
              <w:rPr>
                <w:rFonts w:asciiTheme="minorEastAsia" w:hAnsiTheme="minorEastAsia" w:eastAsiaTheme="minorEastAsia"/>
                <w:color w:val="auto"/>
                <w:sz w:val="22"/>
                <w:szCs w:val="18"/>
                <w:highlight w:val="none"/>
              </w:rPr>
            </w:pPr>
            <w:r>
              <w:rPr>
                <w:sz w:val="22"/>
                <w:szCs w:val="18"/>
              </w:rPr>
              <w:t>2、箱内温度 -40℃</w:t>
            </w:r>
            <w:r>
              <w:rPr>
                <w:rFonts w:hint="eastAsia" w:ascii="宋体" w:hAnsi="宋体" w:eastAsia="宋体"/>
                <w:sz w:val="22"/>
                <w:szCs w:val="18"/>
              </w:rPr>
              <w:t>～</w:t>
            </w:r>
            <w:r>
              <w:rPr>
                <w:sz w:val="22"/>
                <w:szCs w:val="18"/>
              </w:rPr>
              <w:t>-86℃可调，微电脑控制；</w:t>
            </w:r>
          </w:p>
        </w:tc>
        <w:tc>
          <w:tcPr>
            <w:tcW w:w="1657" w:type="pct"/>
            <w:vAlign w:val="center"/>
          </w:tcPr>
          <w:p w14:paraId="182DA822">
            <w:pPr>
              <w:jc w:val="center"/>
              <w:rPr>
                <w:rFonts w:asciiTheme="minorEastAsia" w:hAnsiTheme="minorEastAsia" w:eastAsiaTheme="minorEastAsia"/>
                <w:color w:val="auto"/>
                <w:sz w:val="24"/>
                <w:highlight w:val="none"/>
              </w:rPr>
            </w:pPr>
          </w:p>
        </w:tc>
        <w:tc>
          <w:tcPr>
            <w:tcW w:w="489" w:type="pct"/>
            <w:vAlign w:val="center"/>
          </w:tcPr>
          <w:p w14:paraId="30226CCD">
            <w:pPr>
              <w:jc w:val="center"/>
              <w:rPr>
                <w:rFonts w:asciiTheme="minorEastAsia" w:hAnsiTheme="minorEastAsia" w:eastAsiaTheme="minorEastAsia"/>
                <w:color w:val="auto"/>
                <w:sz w:val="24"/>
                <w:highlight w:val="none"/>
              </w:rPr>
            </w:pPr>
          </w:p>
        </w:tc>
      </w:tr>
      <w:tr w14:paraId="1D89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2E8E1A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476" w:type="pct"/>
            <w:vAlign w:val="center"/>
          </w:tcPr>
          <w:p w14:paraId="23ACC471">
            <w:pPr>
              <w:pStyle w:val="61"/>
              <w:spacing w:before="112" w:line="328" w:lineRule="auto"/>
              <w:ind w:left="106" w:leftChars="0" w:right="-29" w:rightChars="0"/>
              <w:jc w:val="left"/>
              <w:rPr>
                <w:rFonts w:asciiTheme="minorEastAsia" w:hAnsiTheme="minorEastAsia" w:eastAsiaTheme="minorEastAsia"/>
                <w:color w:val="auto"/>
                <w:sz w:val="22"/>
                <w:szCs w:val="18"/>
                <w:highlight w:val="none"/>
              </w:rPr>
            </w:pPr>
            <w:r>
              <w:rPr>
                <w:sz w:val="22"/>
                <w:szCs w:val="18"/>
              </w:rPr>
              <w:t>★3、具有≥10</w:t>
            </w:r>
            <w:r>
              <w:rPr>
                <w:spacing w:val="-18"/>
                <w:sz w:val="22"/>
                <w:szCs w:val="18"/>
              </w:rPr>
              <w:t xml:space="preserve"> 英寸高性能 </w:t>
            </w:r>
            <w:r>
              <w:rPr>
                <w:sz w:val="22"/>
                <w:szCs w:val="18"/>
              </w:rPr>
              <w:t>LCD</w:t>
            </w:r>
            <w:r>
              <w:rPr>
                <w:spacing w:val="-14"/>
                <w:sz w:val="22"/>
                <w:szCs w:val="18"/>
              </w:rPr>
              <w:t xml:space="preserve"> 触摸屏，显示精度 </w:t>
            </w:r>
            <w:r>
              <w:rPr>
                <w:sz w:val="22"/>
                <w:szCs w:val="18"/>
              </w:rPr>
              <w:t>0.1℃， 清晰显示，界面友好，可显示箱内温度，设定温度，环境温度，输入电压，灵敏度高，支持戴手套操作。能设定高低温报警和箱内温度，具有故障提示预警功能</w:t>
            </w:r>
            <w:r>
              <w:rPr>
                <w:b/>
                <w:sz w:val="22"/>
                <w:szCs w:val="18"/>
              </w:rPr>
              <w:t>（响应文件中提供产品彩页证明材料，验收时实物核对）</w:t>
            </w:r>
            <w:r>
              <w:rPr>
                <w:sz w:val="22"/>
                <w:szCs w:val="18"/>
              </w:rPr>
              <w:t>；</w:t>
            </w:r>
          </w:p>
        </w:tc>
        <w:tc>
          <w:tcPr>
            <w:tcW w:w="1657" w:type="pct"/>
            <w:vAlign w:val="center"/>
          </w:tcPr>
          <w:p w14:paraId="3AD370F2">
            <w:pPr>
              <w:pStyle w:val="37"/>
              <w:jc w:val="center"/>
              <w:rPr>
                <w:rFonts w:asciiTheme="minorEastAsia" w:hAnsiTheme="minorEastAsia" w:eastAsiaTheme="minorEastAsia"/>
                <w:color w:val="auto"/>
                <w:highlight w:val="none"/>
              </w:rPr>
            </w:pPr>
          </w:p>
        </w:tc>
        <w:tc>
          <w:tcPr>
            <w:tcW w:w="489" w:type="pct"/>
            <w:vAlign w:val="center"/>
          </w:tcPr>
          <w:p w14:paraId="133B7808">
            <w:pPr>
              <w:jc w:val="center"/>
              <w:rPr>
                <w:rFonts w:asciiTheme="minorEastAsia" w:hAnsiTheme="minorEastAsia" w:eastAsiaTheme="minorEastAsia"/>
                <w:color w:val="auto"/>
                <w:sz w:val="24"/>
                <w:highlight w:val="none"/>
              </w:rPr>
            </w:pPr>
          </w:p>
        </w:tc>
      </w:tr>
      <w:tr w14:paraId="318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202B09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476" w:type="pct"/>
            <w:vAlign w:val="center"/>
          </w:tcPr>
          <w:p w14:paraId="4BE5CC14">
            <w:pPr>
              <w:pStyle w:val="61"/>
              <w:numPr>
                <w:ilvl w:val="0"/>
                <w:numId w:val="0"/>
              </w:numPr>
              <w:tabs>
                <w:tab w:val="left" w:pos="348"/>
              </w:tabs>
              <w:spacing w:before="0" w:after="0" w:line="328" w:lineRule="auto"/>
              <w:ind w:left="106" w:leftChars="0" w:right="95" w:rightChars="0" w:firstLine="0" w:firstLineChars="0"/>
              <w:jc w:val="left"/>
              <w:rPr>
                <w:rFonts w:asciiTheme="minorEastAsia" w:hAnsiTheme="minorEastAsia" w:eastAsiaTheme="minorEastAsia"/>
                <w:color w:val="auto"/>
                <w:sz w:val="22"/>
                <w:szCs w:val="18"/>
                <w:highlight w:val="none"/>
              </w:rPr>
            </w:pPr>
            <w:r>
              <w:rPr>
                <w:rFonts w:hint="default" w:ascii="仿宋" w:hAnsi="仿宋" w:eastAsia="仿宋" w:cs="仿宋"/>
                <w:spacing w:val="-39"/>
                <w:w w:val="100"/>
                <w:kern w:val="2"/>
                <w:sz w:val="21"/>
                <w:szCs w:val="21"/>
                <w:lang w:val="zh-CN" w:eastAsia="zh-CN" w:bidi="zh-CN"/>
              </w:rPr>
              <w:t>●</w:t>
            </w:r>
            <w:r>
              <w:rPr>
                <w:sz w:val="22"/>
                <w:szCs w:val="18"/>
              </w:rPr>
              <w:t>4</w:t>
            </w:r>
            <w:r>
              <w:rPr>
                <w:spacing w:val="-10"/>
                <w:sz w:val="22"/>
                <w:szCs w:val="18"/>
              </w:rPr>
              <w:t>、具有完善的声光报警系统</w:t>
            </w:r>
            <w:r>
              <w:rPr>
                <w:sz w:val="22"/>
                <w:szCs w:val="18"/>
              </w:rPr>
              <w:t>（</w:t>
            </w:r>
            <w:r>
              <w:rPr>
                <w:spacing w:val="-7"/>
                <w:sz w:val="22"/>
                <w:szCs w:val="18"/>
              </w:rPr>
              <w:t>高低温报警、传感器故障</w:t>
            </w:r>
            <w:r>
              <w:rPr>
                <w:sz w:val="22"/>
                <w:szCs w:val="18"/>
              </w:rPr>
              <w:t>报警、门开报警、冷凝器脏报警、电池电量低报警）；</w:t>
            </w:r>
          </w:p>
        </w:tc>
        <w:tc>
          <w:tcPr>
            <w:tcW w:w="1657" w:type="pct"/>
            <w:vAlign w:val="center"/>
          </w:tcPr>
          <w:p w14:paraId="5DC6F3AD">
            <w:pPr>
              <w:pStyle w:val="37"/>
              <w:jc w:val="center"/>
              <w:rPr>
                <w:rFonts w:asciiTheme="minorEastAsia" w:hAnsiTheme="minorEastAsia" w:eastAsiaTheme="minorEastAsia"/>
                <w:color w:val="auto"/>
                <w:highlight w:val="none"/>
              </w:rPr>
            </w:pPr>
          </w:p>
        </w:tc>
        <w:tc>
          <w:tcPr>
            <w:tcW w:w="489" w:type="pct"/>
            <w:vAlign w:val="center"/>
          </w:tcPr>
          <w:p w14:paraId="31766E88">
            <w:pPr>
              <w:jc w:val="center"/>
              <w:rPr>
                <w:rFonts w:asciiTheme="minorEastAsia" w:hAnsiTheme="minorEastAsia" w:eastAsiaTheme="minorEastAsia"/>
                <w:color w:val="auto"/>
                <w:sz w:val="24"/>
                <w:highlight w:val="none"/>
              </w:rPr>
            </w:pPr>
          </w:p>
        </w:tc>
      </w:tr>
      <w:tr w14:paraId="463D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4A1A2372">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476" w:type="pct"/>
            <w:vAlign w:val="center"/>
          </w:tcPr>
          <w:p w14:paraId="1CD45AFA">
            <w:pPr>
              <w:pStyle w:val="61"/>
              <w:spacing w:line="305" w:lineRule="exact"/>
              <w:ind w:left="106" w:leftChars="0" w:right="-29" w:rightChars="0"/>
              <w:jc w:val="left"/>
              <w:rPr>
                <w:rFonts w:asciiTheme="minorEastAsia" w:hAnsiTheme="minorEastAsia" w:eastAsiaTheme="minorEastAsia"/>
                <w:color w:val="auto"/>
                <w:sz w:val="22"/>
                <w:szCs w:val="18"/>
                <w:highlight w:val="none"/>
              </w:rPr>
            </w:pPr>
            <w:r>
              <w:rPr>
                <w:spacing w:val="-7"/>
                <w:sz w:val="22"/>
                <w:szCs w:val="18"/>
              </w:rPr>
              <w:t>5、具有屏幕锁定和密码保护功能，防止随意调整运行参数；</w:t>
            </w:r>
          </w:p>
        </w:tc>
        <w:tc>
          <w:tcPr>
            <w:tcW w:w="1657" w:type="pct"/>
            <w:vAlign w:val="center"/>
          </w:tcPr>
          <w:p w14:paraId="2AA880AA">
            <w:pPr>
              <w:pStyle w:val="37"/>
              <w:jc w:val="center"/>
              <w:rPr>
                <w:rFonts w:asciiTheme="minorEastAsia" w:hAnsiTheme="minorEastAsia" w:eastAsiaTheme="minorEastAsia"/>
                <w:color w:val="auto"/>
                <w:highlight w:val="none"/>
              </w:rPr>
            </w:pPr>
          </w:p>
        </w:tc>
        <w:tc>
          <w:tcPr>
            <w:tcW w:w="489" w:type="pct"/>
            <w:vAlign w:val="center"/>
          </w:tcPr>
          <w:p w14:paraId="5F4D9D0C">
            <w:pPr>
              <w:jc w:val="center"/>
              <w:rPr>
                <w:rFonts w:asciiTheme="minorEastAsia" w:hAnsiTheme="minorEastAsia" w:eastAsiaTheme="minorEastAsia"/>
                <w:color w:val="auto"/>
                <w:sz w:val="24"/>
                <w:highlight w:val="none"/>
              </w:rPr>
            </w:pPr>
          </w:p>
        </w:tc>
      </w:tr>
      <w:tr w14:paraId="3BCD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16D219A1">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2476" w:type="pct"/>
            <w:vAlign w:val="center"/>
          </w:tcPr>
          <w:p w14:paraId="192B567E">
            <w:pPr>
              <w:pStyle w:val="61"/>
              <w:spacing w:before="106" w:line="328" w:lineRule="auto"/>
              <w:ind w:left="106" w:leftChars="0" w:right="-44" w:rightChars="0"/>
              <w:jc w:val="left"/>
              <w:rPr>
                <w:rFonts w:asciiTheme="minorEastAsia" w:hAnsiTheme="minorEastAsia" w:eastAsiaTheme="minorEastAsia"/>
                <w:color w:val="auto"/>
                <w:sz w:val="22"/>
                <w:szCs w:val="18"/>
                <w:highlight w:val="none"/>
              </w:rPr>
            </w:pPr>
            <w:r>
              <w:rPr>
                <w:sz w:val="22"/>
                <w:szCs w:val="18"/>
              </w:rPr>
              <w:t>★6</w:t>
            </w:r>
            <w:r>
              <w:rPr>
                <w:spacing w:val="-16"/>
                <w:sz w:val="22"/>
                <w:szCs w:val="18"/>
              </w:rPr>
              <w:t xml:space="preserve">、采用 </w:t>
            </w:r>
            <w:r>
              <w:rPr>
                <w:sz w:val="22"/>
                <w:szCs w:val="18"/>
              </w:rPr>
              <w:t>HC</w:t>
            </w:r>
            <w:r>
              <w:rPr>
                <w:spacing w:val="-8"/>
                <w:sz w:val="22"/>
                <w:szCs w:val="18"/>
              </w:rPr>
              <w:t xml:space="preserve"> 环保制冷剂，制冷效率高，节能环保；</w:t>
            </w:r>
            <w:r>
              <w:rPr>
                <w:b/>
                <w:sz w:val="22"/>
                <w:szCs w:val="18"/>
              </w:rPr>
              <w:t>（响</w:t>
            </w:r>
            <w:r>
              <w:rPr>
                <w:b/>
                <w:w w:val="99"/>
                <w:sz w:val="22"/>
                <w:szCs w:val="18"/>
              </w:rPr>
              <w:t>应文件中提供产品铭牌和相关证明材料证明制冷剂材质</w:t>
            </w:r>
            <w:r>
              <w:rPr>
                <w:b/>
                <w:spacing w:val="-120"/>
                <w:w w:val="99"/>
                <w:sz w:val="22"/>
                <w:szCs w:val="18"/>
              </w:rPr>
              <w:t>）</w:t>
            </w:r>
            <w:r>
              <w:rPr>
                <w:b/>
                <w:w w:val="99"/>
                <w:sz w:val="22"/>
                <w:szCs w:val="18"/>
              </w:rPr>
              <w:t>；</w:t>
            </w:r>
          </w:p>
        </w:tc>
        <w:tc>
          <w:tcPr>
            <w:tcW w:w="1657" w:type="pct"/>
            <w:vAlign w:val="center"/>
          </w:tcPr>
          <w:p w14:paraId="7903A043">
            <w:pPr>
              <w:pStyle w:val="37"/>
              <w:jc w:val="center"/>
              <w:rPr>
                <w:rFonts w:asciiTheme="minorEastAsia" w:hAnsiTheme="minorEastAsia" w:eastAsiaTheme="minorEastAsia"/>
                <w:color w:val="auto"/>
                <w:highlight w:val="none"/>
              </w:rPr>
            </w:pPr>
          </w:p>
        </w:tc>
        <w:tc>
          <w:tcPr>
            <w:tcW w:w="489" w:type="pct"/>
            <w:vAlign w:val="center"/>
          </w:tcPr>
          <w:p w14:paraId="6EA95A37">
            <w:pPr>
              <w:jc w:val="center"/>
              <w:rPr>
                <w:rFonts w:asciiTheme="minorEastAsia" w:hAnsiTheme="minorEastAsia" w:eastAsiaTheme="minorEastAsia"/>
                <w:color w:val="auto"/>
                <w:sz w:val="24"/>
                <w:highlight w:val="none"/>
              </w:rPr>
            </w:pPr>
          </w:p>
        </w:tc>
      </w:tr>
      <w:tr w14:paraId="0776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42B738F9">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2476" w:type="pct"/>
            <w:vAlign w:val="center"/>
          </w:tcPr>
          <w:p w14:paraId="302A08A4">
            <w:pPr>
              <w:pStyle w:val="61"/>
              <w:spacing w:before="106" w:line="328" w:lineRule="auto"/>
              <w:ind w:left="106" w:leftChars="0" w:right="-44" w:rightChars="0"/>
              <w:jc w:val="left"/>
              <w:rPr>
                <w:rFonts w:asciiTheme="minorEastAsia" w:hAnsiTheme="minorEastAsia" w:eastAsiaTheme="minorEastAsia"/>
                <w:color w:val="auto"/>
                <w:sz w:val="22"/>
                <w:szCs w:val="18"/>
                <w:highlight w:val="none"/>
              </w:rPr>
            </w:pPr>
            <w:r>
              <w:rPr>
                <w:b/>
                <w:w w:val="99"/>
                <w:sz w:val="22"/>
                <w:szCs w:val="18"/>
              </w:rPr>
              <w:t xml:space="preserve"> </w:t>
            </w:r>
            <w:r>
              <w:rPr>
                <w:sz w:val="22"/>
                <w:szCs w:val="18"/>
              </w:rPr>
              <w:t>7</w:t>
            </w:r>
            <w:r>
              <w:rPr>
                <w:spacing w:val="-5"/>
                <w:sz w:val="22"/>
                <w:szCs w:val="18"/>
              </w:rPr>
              <w:t xml:space="preserve">、根据低温保存箱国家标准 </w:t>
            </w:r>
            <w:r>
              <w:rPr>
                <w:sz w:val="22"/>
                <w:szCs w:val="18"/>
              </w:rPr>
              <w:t>GB/T 20154</w:t>
            </w:r>
            <w:r>
              <w:rPr>
                <w:spacing w:val="-8"/>
                <w:sz w:val="22"/>
                <w:szCs w:val="18"/>
              </w:rPr>
              <w:t xml:space="preserve"> 要求，低温保存箱铭牌或标签上能标注制冷剂的详细名称及装入量；</w:t>
            </w:r>
          </w:p>
        </w:tc>
        <w:tc>
          <w:tcPr>
            <w:tcW w:w="1657" w:type="pct"/>
            <w:vAlign w:val="center"/>
          </w:tcPr>
          <w:p w14:paraId="66936375">
            <w:pPr>
              <w:pStyle w:val="37"/>
              <w:jc w:val="center"/>
              <w:rPr>
                <w:rFonts w:asciiTheme="minorEastAsia" w:hAnsiTheme="minorEastAsia" w:eastAsiaTheme="minorEastAsia"/>
                <w:color w:val="auto"/>
                <w:highlight w:val="none"/>
              </w:rPr>
            </w:pPr>
          </w:p>
        </w:tc>
        <w:tc>
          <w:tcPr>
            <w:tcW w:w="489" w:type="pct"/>
            <w:vAlign w:val="center"/>
          </w:tcPr>
          <w:p w14:paraId="3154459F">
            <w:pPr>
              <w:jc w:val="center"/>
              <w:rPr>
                <w:rFonts w:asciiTheme="minorEastAsia" w:hAnsiTheme="minorEastAsia" w:eastAsiaTheme="minorEastAsia"/>
                <w:color w:val="auto"/>
                <w:sz w:val="24"/>
                <w:highlight w:val="none"/>
              </w:rPr>
            </w:pPr>
          </w:p>
        </w:tc>
      </w:tr>
      <w:tr w14:paraId="4C02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7504A6E7">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2476" w:type="pct"/>
            <w:vAlign w:val="center"/>
          </w:tcPr>
          <w:p w14:paraId="1A0C8F45">
            <w:pPr>
              <w:pStyle w:val="61"/>
              <w:numPr>
                <w:ilvl w:val="0"/>
                <w:numId w:val="0"/>
              </w:numPr>
              <w:tabs>
                <w:tab w:val="left" w:pos="348"/>
              </w:tabs>
              <w:spacing w:before="0" w:after="0" w:line="328" w:lineRule="auto"/>
              <w:ind w:left="106" w:leftChars="0" w:right="95" w:rightChars="0" w:firstLine="0" w:firstLineChars="0"/>
              <w:jc w:val="left"/>
              <w:rPr>
                <w:rFonts w:asciiTheme="minorEastAsia" w:hAnsiTheme="minorEastAsia" w:eastAsiaTheme="minorEastAsia"/>
                <w:color w:val="auto"/>
                <w:sz w:val="22"/>
                <w:szCs w:val="18"/>
                <w:highlight w:val="none"/>
              </w:rPr>
            </w:pPr>
            <w:r>
              <w:rPr>
                <w:rFonts w:hint="default" w:ascii="仿宋" w:hAnsi="仿宋" w:eastAsia="仿宋" w:cs="仿宋"/>
                <w:spacing w:val="-39"/>
                <w:w w:val="100"/>
                <w:kern w:val="2"/>
                <w:sz w:val="21"/>
                <w:szCs w:val="21"/>
                <w:lang w:val="zh-CN" w:eastAsia="zh-CN" w:bidi="zh-CN"/>
              </w:rPr>
              <w:t>●</w:t>
            </w:r>
            <w:r>
              <w:rPr>
                <w:sz w:val="22"/>
                <w:szCs w:val="18"/>
              </w:rPr>
              <w:t>8</w:t>
            </w:r>
            <w:r>
              <w:rPr>
                <w:spacing w:val="-13"/>
                <w:sz w:val="22"/>
                <w:szCs w:val="18"/>
              </w:rPr>
              <w:t>、制冷剂用量符合国家安全标准，单制冷系统可燃制冷</w:t>
            </w:r>
            <w:r>
              <w:rPr>
                <w:spacing w:val="-7"/>
                <w:sz w:val="22"/>
                <w:szCs w:val="18"/>
              </w:rPr>
              <w:t xml:space="preserve">剂灌注量不能高于 </w:t>
            </w:r>
            <w:r>
              <w:rPr>
                <w:spacing w:val="-14"/>
                <w:sz w:val="22"/>
                <w:szCs w:val="18"/>
              </w:rPr>
              <w:t>150g</w:t>
            </w:r>
            <w:r>
              <w:rPr>
                <w:b/>
                <w:spacing w:val="-14"/>
                <w:sz w:val="22"/>
                <w:szCs w:val="18"/>
              </w:rPr>
              <w:t>（</w:t>
            </w:r>
            <w:r>
              <w:rPr>
                <w:b/>
                <w:spacing w:val="-1"/>
                <w:sz w:val="22"/>
                <w:szCs w:val="18"/>
              </w:rPr>
              <w:t>响应文件中提供产品铭牌和相关</w:t>
            </w:r>
            <w:r>
              <w:rPr>
                <w:b/>
                <w:sz w:val="22"/>
                <w:szCs w:val="18"/>
              </w:rPr>
              <w:t>证明材料）</w:t>
            </w:r>
            <w:r>
              <w:rPr>
                <w:sz w:val="22"/>
                <w:szCs w:val="18"/>
              </w:rPr>
              <w:t>；</w:t>
            </w:r>
          </w:p>
        </w:tc>
        <w:tc>
          <w:tcPr>
            <w:tcW w:w="1657" w:type="pct"/>
            <w:vAlign w:val="center"/>
          </w:tcPr>
          <w:p w14:paraId="5DA79DD2">
            <w:pPr>
              <w:pStyle w:val="37"/>
              <w:jc w:val="center"/>
              <w:rPr>
                <w:rFonts w:asciiTheme="minorEastAsia" w:hAnsiTheme="minorEastAsia" w:eastAsiaTheme="minorEastAsia"/>
                <w:color w:val="auto"/>
                <w:highlight w:val="none"/>
              </w:rPr>
            </w:pPr>
          </w:p>
        </w:tc>
        <w:tc>
          <w:tcPr>
            <w:tcW w:w="489" w:type="pct"/>
            <w:vAlign w:val="center"/>
          </w:tcPr>
          <w:p w14:paraId="63A2E225">
            <w:pPr>
              <w:jc w:val="center"/>
              <w:rPr>
                <w:rFonts w:asciiTheme="minorEastAsia" w:hAnsiTheme="minorEastAsia" w:eastAsiaTheme="minorEastAsia"/>
                <w:color w:val="auto"/>
                <w:sz w:val="24"/>
                <w:highlight w:val="none"/>
              </w:rPr>
            </w:pPr>
          </w:p>
        </w:tc>
      </w:tr>
      <w:tr w14:paraId="6A3C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3488FB21">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2476" w:type="pct"/>
            <w:vAlign w:val="center"/>
          </w:tcPr>
          <w:p w14:paraId="6C7C1B4C">
            <w:pPr>
              <w:pStyle w:val="61"/>
              <w:spacing w:line="328" w:lineRule="auto"/>
              <w:ind w:left="106" w:leftChars="0" w:right="-29" w:rightChars="0"/>
              <w:jc w:val="left"/>
              <w:rPr>
                <w:rFonts w:asciiTheme="minorEastAsia" w:hAnsiTheme="minorEastAsia" w:eastAsiaTheme="minorEastAsia"/>
                <w:color w:val="auto"/>
                <w:sz w:val="22"/>
                <w:szCs w:val="18"/>
                <w:highlight w:val="none"/>
              </w:rPr>
            </w:pPr>
            <w:r>
              <w:rPr>
                <w:sz w:val="22"/>
                <w:szCs w:val="18"/>
              </w:rPr>
              <w:t>★9</w:t>
            </w:r>
            <w:r>
              <w:rPr>
                <w:spacing w:val="-12"/>
                <w:sz w:val="22"/>
                <w:szCs w:val="18"/>
              </w:rPr>
              <w:t>、采用双级复叠制冷系统，高温级压机和低温级压机耦合优化复叠制冷循环，具有级间换热器；高温级提供低温</w:t>
            </w:r>
            <w:r>
              <w:rPr>
                <w:spacing w:val="-15"/>
                <w:sz w:val="22"/>
                <w:szCs w:val="18"/>
              </w:rPr>
              <w:t xml:space="preserve">级的负荷，不单独参与箱内制冷，实现不同工况动态匹配， </w:t>
            </w:r>
            <w:r>
              <w:rPr>
                <w:spacing w:val="-1"/>
                <w:sz w:val="22"/>
                <w:szCs w:val="18"/>
              </w:rPr>
              <w:t>提高系统可靠性并降低噪音</w:t>
            </w:r>
            <w:r>
              <w:rPr>
                <w:b/>
                <w:sz w:val="22"/>
                <w:szCs w:val="18"/>
              </w:rPr>
              <w:t>（响应文件中提供产品彩页和制冷原理图等相关证明材料）；</w:t>
            </w:r>
          </w:p>
        </w:tc>
        <w:tc>
          <w:tcPr>
            <w:tcW w:w="1657" w:type="pct"/>
            <w:vAlign w:val="center"/>
          </w:tcPr>
          <w:p w14:paraId="35528154">
            <w:pPr>
              <w:pStyle w:val="37"/>
              <w:jc w:val="center"/>
              <w:rPr>
                <w:rFonts w:asciiTheme="minorEastAsia" w:hAnsiTheme="minorEastAsia" w:eastAsiaTheme="minorEastAsia"/>
                <w:color w:val="auto"/>
                <w:highlight w:val="none"/>
              </w:rPr>
            </w:pPr>
          </w:p>
        </w:tc>
        <w:tc>
          <w:tcPr>
            <w:tcW w:w="489" w:type="pct"/>
            <w:vAlign w:val="center"/>
          </w:tcPr>
          <w:p w14:paraId="203ABA31">
            <w:pPr>
              <w:jc w:val="center"/>
              <w:rPr>
                <w:rFonts w:asciiTheme="minorEastAsia" w:hAnsiTheme="minorEastAsia" w:eastAsiaTheme="minorEastAsia"/>
                <w:color w:val="auto"/>
                <w:sz w:val="24"/>
                <w:highlight w:val="none"/>
              </w:rPr>
            </w:pPr>
          </w:p>
        </w:tc>
      </w:tr>
      <w:tr w14:paraId="60A6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79107D55">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2476" w:type="pct"/>
            <w:vAlign w:val="center"/>
          </w:tcPr>
          <w:p w14:paraId="32432937">
            <w:pPr>
              <w:pStyle w:val="61"/>
              <w:spacing w:line="328" w:lineRule="auto"/>
              <w:ind w:left="106" w:leftChars="0" w:right="98" w:rightChars="0"/>
              <w:jc w:val="left"/>
              <w:rPr>
                <w:rFonts w:asciiTheme="minorEastAsia" w:hAnsiTheme="minorEastAsia" w:eastAsiaTheme="minorEastAsia"/>
                <w:color w:val="auto"/>
                <w:sz w:val="22"/>
                <w:szCs w:val="18"/>
                <w:highlight w:val="none"/>
              </w:rPr>
            </w:pPr>
            <w:r>
              <w:rPr>
                <w:sz w:val="22"/>
                <w:szCs w:val="18"/>
              </w:rPr>
              <w:t>★10</w:t>
            </w:r>
            <w:r>
              <w:rPr>
                <w:spacing w:val="-1"/>
                <w:sz w:val="22"/>
                <w:szCs w:val="18"/>
              </w:rPr>
              <w:t xml:space="preserve">、符合《低温保存箱节能环保认证技术规范》要求， </w:t>
            </w:r>
            <w:r>
              <w:rPr>
                <w:spacing w:val="-2"/>
                <w:sz w:val="22"/>
                <w:szCs w:val="18"/>
              </w:rPr>
              <w:t>并获取节能、环保报告及证书</w:t>
            </w:r>
            <w:r>
              <w:rPr>
                <w:b/>
                <w:sz w:val="22"/>
                <w:szCs w:val="18"/>
              </w:rPr>
              <w:t>（</w:t>
            </w:r>
            <w:r>
              <w:rPr>
                <w:b/>
                <w:spacing w:val="-2"/>
                <w:sz w:val="22"/>
                <w:szCs w:val="18"/>
              </w:rPr>
              <w:t>响应文件中提供带有中国</w:t>
            </w:r>
            <w:r>
              <w:rPr>
                <w:b/>
                <w:spacing w:val="-4"/>
                <w:sz w:val="22"/>
                <w:szCs w:val="18"/>
              </w:rPr>
              <w:t xml:space="preserve">质量认证中心标识的节能证书和环保证书，并提供 </w:t>
            </w:r>
            <w:r>
              <w:rPr>
                <w:b/>
                <w:sz w:val="22"/>
                <w:szCs w:val="18"/>
              </w:rPr>
              <w:t>CQC</w:t>
            </w:r>
            <w:r>
              <w:rPr>
                <w:b/>
                <w:spacing w:val="-39"/>
                <w:sz w:val="22"/>
                <w:szCs w:val="18"/>
              </w:rPr>
              <w:t xml:space="preserve"> 网</w:t>
            </w:r>
            <w:r>
              <w:rPr>
                <w:b/>
                <w:sz w:val="22"/>
                <w:szCs w:val="18"/>
              </w:rPr>
              <w:t>站截图及网址；合同签订前提供原件备查）;</w:t>
            </w:r>
          </w:p>
        </w:tc>
        <w:tc>
          <w:tcPr>
            <w:tcW w:w="1657" w:type="pct"/>
            <w:vAlign w:val="center"/>
          </w:tcPr>
          <w:p w14:paraId="1C1A822B">
            <w:pPr>
              <w:pStyle w:val="37"/>
              <w:jc w:val="center"/>
              <w:rPr>
                <w:rFonts w:asciiTheme="minorEastAsia" w:hAnsiTheme="minorEastAsia" w:eastAsiaTheme="minorEastAsia"/>
                <w:color w:val="auto"/>
                <w:highlight w:val="none"/>
              </w:rPr>
            </w:pPr>
          </w:p>
        </w:tc>
        <w:tc>
          <w:tcPr>
            <w:tcW w:w="489" w:type="pct"/>
            <w:vAlign w:val="center"/>
          </w:tcPr>
          <w:p w14:paraId="48C31D35">
            <w:pPr>
              <w:jc w:val="center"/>
              <w:rPr>
                <w:rFonts w:asciiTheme="minorEastAsia" w:hAnsiTheme="minorEastAsia" w:eastAsiaTheme="minorEastAsia"/>
                <w:color w:val="auto"/>
                <w:sz w:val="24"/>
                <w:highlight w:val="none"/>
              </w:rPr>
            </w:pPr>
          </w:p>
        </w:tc>
      </w:tr>
      <w:tr w14:paraId="09DF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55367FC6">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2476" w:type="pct"/>
            <w:vAlign w:val="center"/>
          </w:tcPr>
          <w:p w14:paraId="35BE6FEF">
            <w:pPr>
              <w:pStyle w:val="61"/>
              <w:spacing w:line="302" w:lineRule="exact"/>
              <w:ind w:left="106" w:leftChars="0"/>
              <w:jc w:val="left"/>
              <w:rPr>
                <w:rFonts w:asciiTheme="minorEastAsia" w:hAnsiTheme="minorEastAsia" w:eastAsiaTheme="minorEastAsia"/>
                <w:color w:val="auto"/>
                <w:sz w:val="22"/>
                <w:szCs w:val="18"/>
                <w:highlight w:val="none"/>
              </w:rPr>
            </w:pPr>
            <w:r>
              <w:rPr>
                <w:sz w:val="22"/>
                <w:szCs w:val="18"/>
              </w:rPr>
              <w:t>11、一体式把手门锁设计，配置外挂锁孔，可加双挂锁，可后期升级配置电磁锁、刷卡、指纹；</w:t>
            </w:r>
          </w:p>
        </w:tc>
        <w:tc>
          <w:tcPr>
            <w:tcW w:w="1657" w:type="pct"/>
            <w:vAlign w:val="center"/>
          </w:tcPr>
          <w:p w14:paraId="37CD9984">
            <w:pPr>
              <w:pStyle w:val="37"/>
              <w:jc w:val="center"/>
              <w:rPr>
                <w:rFonts w:asciiTheme="minorEastAsia" w:hAnsiTheme="minorEastAsia" w:eastAsiaTheme="minorEastAsia"/>
                <w:color w:val="auto"/>
                <w:highlight w:val="none"/>
              </w:rPr>
            </w:pPr>
          </w:p>
        </w:tc>
        <w:tc>
          <w:tcPr>
            <w:tcW w:w="489" w:type="pct"/>
            <w:vAlign w:val="center"/>
          </w:tcPr>
          <w:p w14:paraId="6A5D3926">
            <w:pPr>
              <w:jc w:val="center"/>
              <w:rPr>
                <w:rFonts w:asciiTheme="minorEastAsia" w:hAnsiTheme="minorEastAsia" w:eastAsiaTheme="minorEastAsia"/>
                <w:color w:val="auto"/>
                <w:sz w:val="24"/>
                <w:highlight w:val="none"/>
              </w:rPr>
            </w:pPr>
          </w:p>
        </w:tc>
      </w:tr>
      <w:tr w14:paraId="5086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36AD0B42">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p>
        </w:tc>
        <w:tc>
          <w:tcPr>
            <w:tcW w:w="2476" w:type="pct"/>
            <w:vAlign w:val="center"/>
          </w:tcPr>
          <w:p w14:paraId="519F3A55">
            <w:pPr>
              <w:pStyle w:val="61"/>
              <w:spacing w:before="56"/>
              <w:ind w:left="106" w:leftChars="0" w:right="-29" w:rightChars="0"/>
              <w:jc w:val="left"/>
              <w:rPr>
                <w:rFonts w:asciiTheme="minorEastAsia" w:hAnsiTheme="minorEastAsia" w:eastAsiaTheme="minorEastAsia"/>
                <w:color w:val="auto"/>
                <w:sz w:val="22"/>
                <w:szCs w:val="18"/>
                <w:highlight w:val="none"/>
              </w:rPr>
            </w:pPr>
            <w:r>
              <w:rPr>
                <w:sz w:val="22"/>
                <w:szCs w:val="18"/>
              </w:rPr>
              <w:t>12</w:t>
            </w:r>
            <w:r>
              <w:rPr>
                <w:spacing w:val="-31"/>
                <w:sz w:val="22"/>
                <w:szCs w:val="18"/>
              </w:rPr>
              <w:t xml:space="preserve">、具有 </w:t>
            </w:r>
            <w:r>
              <w:rPr>
                <w:sz w:val="22"/>
                <w:szCs w:val="18"/>
              </w:rPr>
              <w:t>2</w:t>
            </w:r>
            <w:r>
              <w:rPr>
                <w:spacing w:val="-12"/>
                <w:sz w:val="22"/>
                <w:szCs w:val="18"/>
              </w:rPr>
              <w:t xml:space="preserve"> 个国际品牌压缩机，整机稳定运行功率</w:t>
            </w:r>
            <w:r>
              <w:rPr>
                <w:sz w:val="22"/>
                <w:szCs w:val="18"/>
              </w:rPr>
              <w:t>≤800W；</w:t>
            </w:r>
          </w:p>
        </w:tc>
        <w:tc>
          <w:tcPr>
            <w:tcW w:w="1657" w:type="pct"/>
            <w:vAlign w:val="center"/>
          </w:tcPr>
          <w:p w14:paraId="708AA37B">
            <w:pPr>
              <w:pStyle w:val="37"/>
              <w:jc w:val="center"/>
              <w:rPr>
                <w:rFonts w:asciiTheme="minorEastAsia" w:hAnsiTheme="minorEastAsia" w:eastAsiaTheme="minorEastAsia"/>
                <w:color w:val="auto"/>
                <w:highlight w:val="none"/>
              </w:rPr>
            </w:pPr>
          </w:p>
        </w:tc>
        <w:tc>
          <w:tcPr>
            <w:tcW w:w="489" w:type="pct"/>
            <w:vAlign w:val="center"/>
          </w:tcPr>
          <w:p w14:paraId="73886342">
            <w:pPr>
              <w:jc w:val="center"/>
              <w:rPr>
                <w:rFonts w:asciiTheme="minorEastAsia" w:hAnsiTheme="minorEastAsia" w:eastAsiaTheme="minorEastAsia"/>
                <w:color w:val="auto"/>
                <w:sz w:val="24"/>
                <w:highlight w:val="none"/>
              </w:rPr>
            </w:pPr>
          </w:p>
        </w:tc>
      </w:tr>
      <w:tr w14:paraId="47BF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7B386451">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13</w:t>
            </w:r>
          </w:p>
        </w:tc>
        <w:tc>
          <w:tcPr>
            <w:tcW w:w="2476" w:type="pct"/>
            <w:vAlign w:val="center"/>
          </w:tcPr>
          <w:p w14:paraId="61137835">
            <w:pPr>
              <w:pStyle w:val="61"/>
              <w:spacing w:before="112"/>
              <w:ind w:left="106" w:leftChars="0"/>
              <w:jc w:val="left"/>
              <w:rPr>
                <w:rFonts w:asciiTheme="minorEastAsia" w:hAnsiTheme="minorEastAsia" w:eastAsiaTheme="minorEastAsia"/>
                <w:color w:val="auto"/>
                <w:sz w:val="22"/>
                <w:szCs w:val="18"/>
                <w:highlight w:val="none"/>
              </w:rPr>
            </w:pPr>
            <w:r>
              <w:rPr>
                <w:sz w:val="22"/>
                <w:szCs w:val="18"/>
              </w:rPr>
              <w:t>13、保温材料具有≥2 个发泡内门并带密封条设计，外门≥4</w:t>
            </w:r>
            <w:r>
              <w:rPr>
                <w:spacing w:val="-14"/>
                <w:sz w:val="22"/>
                <w:szCs w:val="18"/>
              </w:rPr>
              <w:t xml:space="preserve"> 层密封；使用航空真空隔热材料 </w:t>
            </w:r>
            <w:r>
              <w:rPr>
                <w:sz w:val="22"/>
                <w:szCs w:val="18"/>
              </w:rPr>
              <w:t>VIP+PU</w:t>
            </w:r>
            <w:r>
              <w:rPr>
                <w:spacing w:val="-18"/>
                <w:sz w:val="22"/>
                <w:szCs w:val="18"/>
              </w:rPr>
              <w:t xml:space="preserve"> 整体发泡</w:t>
            </w:r>
            <w:r>
              <w:rPr>
                <w:spacing w:val="-8"/>
                <w:sz w:val="22"/>
                <w:szCs w:val="18"/>
              </w:rPr>
              <w:t xml:space="preserve">（≥ </w:t>
            </w:r>
            <w:r>
              <w:rPr>
                <w:sz w:val="22"/>
                <w:szCs w:val="18"/>
              </w:rPr>
              <w:t>130mm），VIP</w:t>
            </w:r>
            <w:r>
              <w:rPr>
                <w:spacing w:val="-20"/>
                <w:sz w:val="22"/>
                <w:szCs w:val="18"/>
              </w:rPr>
              <w:t xml:space="preserve"> 厚度</w:t>
            </w:r>
            <w:r>
              <w:rPr>
                <w:sz w:val="22"/>
                <w:szCs w:val="18"/>
              </w:rPr>
              <w:t>≥15mm，有效阻止冷量流失；</w:t>
            </w:r>
          </w:p>
        </w:tc>
        <w:tc>
          <w:tcPr>
            <w:tcW w:w="1657" w:type="pct"/>
            <w:vAlign w:val="center"/>
          </w:tcPr>
          <w:p w14:paraId="224EABA0">
            <w:pPr>
              <w:pStyle w:val="37"/>
              <w:jc w:val="center"/>
              <w:rPr>
                <w:rFonts w:asciiTheme="minorEastAsia" w:hAnsiTheme="minorEastAsia" w:eastAsiaTheme="minorEastAsia"/>
                <w:color w:val="auto"/>
                <w:highlight w:val="none"/>
              </w:rPr>
            </w:pPr>
          </w:p>
        </w:tc>
        <w:tc>
          <w:tcPr>
            <w:tcW w:w="489" w:type="pct"/>
            <w:vAlign w:val="center"/>
          </w:tcPr>
          <w:p w14:paraId="452DD600">
            <w:pPr>
              <w:jc w:val="center"/>
              <w:rPr>
                <w:rFonts w:asciiTheme="minorEastAsia" w:hAnsiTheme="minorEastAsia" w:eastAsiaTheme="minorEastAsia"/>
                <w:color w:val="auto"/>
                <w:sz w:val="24"/>
                <w:highlight w:val="none"/>
              </w:rPr>
            </w:pPr>
          </w:p>
        </w:tc>
      </w:tr>
      <w:tr w14:paraId="4138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064E003A">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14</w:t>
            </w:r>
          </w:p>
        </w:tc>
        <w:tc>
          <w:tcPr>
            <w:tcW w:w="2476" w:type="pct"/>
            <w:vAlign w:val="center"/>
          </w:tcPr>
          <w:p w14:paraId="1F8FAB45">
            <w:pPr>
              <w:pStyle w:val="61"/>
              <w:spacing w:line="328" w:lineRule="auto"/>
              <w:ind w:left="106" w:leftChars="0" w:right="95" w:rightChars="0"/>
              <w:jc w:val="left"/>
              <w:rPr>
                <w:rFonts w:asciiTheme="minorEastAsia" w:hAnsiTheme="minorEastAsia" w:eastAsiaTheme="minorEastAsia"/>
                <w:color w:val="auto"/>
                <w:sz w:val="22"/>
                <w:szCs w:val="18"/>
                <w:highlight w:val="none"/>
              </w:rPr>
            </w:pPr>
            <w:r>
              <w:rPr>
                <w:sz w:val="22"/>
                <w:szCs w:val="18"/>
              </w:rPr>
              <w:t>★14、耗电量应≤7.6</w:t>
            </w:r>
            <w:r>
              <w:rPr>
                <w:spacing w:val="-6"/>
                <w:sz w:val="22"/>
                <w:szCs w:val="18"/>
              </w:rPr>
              <w:t xml:space="preserve"> </w:t>
            </w:r>
            <w:r>
              <w:rPr>
                <w:sz w:val="22"/>
                <w:szCs w:val="18"/>
              </w:rPr>
              <w:t>Kw.h/24h</w:t>
            </w:r>
            <w:r>
              <w:rPr>
                <w:b/>
                <w:sz w:val="22"/>
                <w:szCs w:val="18"/>
              </w:rPr>
              <w:t>（</w:t>
            </w:r>
            <w:r>
              <w:rPr>
                <w:b/>
                <w:spacing w:val="-2"/>
                <w:sz w:val="22"/>
                <w:szCs w:val="18"/>
              </w:rPr>
              <w:t>响应文件中提供第三方</w:t>
            </w:r>
            <w:r>
              <w:rPr>
                <w:b/>
                <w:spacing w:val="-4"/>
                <w:sz w:val="22"/>
                <w:szCs w:val="18"/>
              </w:rPr>
              <w:t xml:space="preserve">有权机构出具的具有 </w:t>
            </w:r>
            <w:r>
              <w:rPr>
                <w:b/>
                <w:sz w:val="22"/>
                <w:szCs w:val="18"/>
              </w:rPr>
              <w:t>CNAS</w:t>
            </w:r>
            <w:r>
              <w:rPr>
                <w:b/>
                <w:spacing w:val="-23"/>
                <w:sz w:val="22"/>
                <w:szCs w:val="18"/>
              </w:rPr>
              <w:t xml:space="preserve"> 或 </w:t>
            </w:r>
            <w:r>
              <w:rPr>
                <w:b/>
                <w:sz w:val="22"/>
                <w:szCs w:val="18"/>
              </w:rPr>
              <w:t>CMA</w:t>
            </w:r>
            <w:r>
              <w:rPr>
                <w:b/>
                <w:spacing w:val="-6"/>
                <w:sz w:val="22"/>
                <w:szCs w:val="18"/>
              </w:rPr>
              <w:t xml:space="preserve"> 标识的检测报告</w:t>
            </w:r>
            <w:r>
              <w:rPr>
                <w:b/>
                <w:sz w:val="22"/>
                <w:szCs w:val="18"/>
              </w:rPr>
              <w:t>）</w:t>
            </w:r>
            <w:r>
              <w:rPr>
                <w:sz w:val="22"/>
                <w:szCs w:val="18"/>
              </w:rPr>
              <w:t xml:space="preserve">； </w:t>
            </w:r>
          </w:p>
        </w:tc>
        <w:tc>
          <w:tcPr>
            <w:tcW w:w="1657" w:type="pct"/>
            <w:vAlign w:val="center"/>
          </w:tcPr>
          <w:p w14:paraId="17A2AEA1">
            <w:pPr>
              <w:pStyle w:val="37"/>
              <w:jc w:val="center"/>
              <w:rPr>
                <w:rFonts w:asciiTheme="minorEastAsia" w:hAnsiTheme="minorEastAsia" w:eastAsiaTheme="minorEastAsia"/>
                <w:color w:val="auto"/>
                <w:highlight w:val="none"/>
              </w:rPr>
            </w:pPr>
          </w:p>
        </w:tc>
        <w:tc>
          <w:tcPr>
            <w:tcW w:w="489" w:type="pct"/>
            <w:vAlign w:val="center"/>
          </w:tcPr>
          <w:p w14:paraId="5D1B623E">
            <w:pPr>
              <w:jc w:val="center"/>
              <w:rPr>
                <w:rFonts w:asciiTheme="minorEastAsia" w:hAnsiTheme="minorEastAsia" w:eastAsiaTheme="minorEastAsia"/>
                <w:color w:val="auto"/>
                <w:sz w:val="24"/>
                <w:highlight w:val="none"/>
              </w:rPr>
            </w:pPr>
          </w:p>
        </w:tc>
      </w:tr>
      <w:tr w14:paraId="3213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1C3EDEDE">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w:t>
            </w:r>
          </w:p>
        </w:tc>
        <w:tc>
          <w:tcPr>
            <w:tcW w:w="2476" w:type="pct"/>
            <w:vAlign w:val="center"/>
          </w:tcPr>
          <w:p w14:paraId="1518203D">
            <w:pPr>
              <w:pStyle w:val="61"/>
              <w:spacing w:line="328" w:lineRule="auto"/>
              <w:ind w:left="106" w:leftChars="0" w:right="95" w:rightChars="0"/>
              <w:jc w:val="left"/>
              <w:rPr>
                <w:rFonts w:asciiTheme="minorEastAsia" w:hAnsiTheme="minorEastAsia" w:eastAsiaTheme="minorEastAsia"/>
                <w:color w:val="auto"/>
                <w:sz w:val="22"/>
                <w:szCs w:val="18"/>
                <w:highlight w:val="none"/>
              </w:rPr>
            </w:pPr>
            <w:r>
              <w:rPr>
                <w:sz w:val="22"/>
                <w:szCs w:val="18"/>
              </w:rPr>
              <w:t>15、内胆为电锌板喷粉，防腐蚀，导热快；</w:t>
            </w:r>
          </w:p>
        </w:tc>
        <w:tc>
          <w:tcPr>
            <w:tcW w:w="1657" w:type="pct"/>
            <w:vAlign w:val="center"/>
          </w:tcPr>
          <w:p w14:paraId="21040892">
            <w:pPr>
              <w:pStyle w:val="37"/>
              <w:jc w:val="center"/>
              <w:rPr>
                <w:rFonts w:asciiTheme="minorEastAsia" w:hAnsiTheme="minorEastAsia" w:eastAsiaTheme="minorEastAsia"/>
                <w:color w:val="auto"/>
                <w:highlight w:val="none"/>
              </w:rPr>
            </w:pPr>
          </w:p>
        </w:tc>
        <w:tc>
          <w:tcPr>
            <w:tcW w:w="489" w:type="pct"/>
            <w:vAlign w:val="center"/>
          </w:tcPr>
          <w:p w14:paraId="0C7CC07C">
            <w:pPr>
              <w:jc w:val="center"/>
              <w:rPr>
                <w:rFonts w:asciiTheme="minorEastAsia" w:hAnsiTheme="minorEastAsia" w:eastAsiaTheme="minorEastAsia"/>
                <w:color w:val="auto"/>
                <w:sz w:val="24"/>
                <w:highlight w:val="none"/>
              </w:rPr>
            </w:pPr>
          </w:p>
        </w:tc>
      </w:tr>
      <w:tr w14:paraId="60A5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0B193F38">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16</w:t>
            </w:r>
          </w:p>
        </w:tc>
        <w:tc>
          <w:tcPr>
            <w:tcW w:w="2476" w:type="pct"/>
            <w:vAlign w:val="center"/>
          </w:tcPr>
          <w:p w14:paraId="3BB3A8AC">
            <w:pPr>
              <w:pStyle w:val="61"/>
              <w:spacing w:line="304" w:lineRule="exact"/>
              <w:ind w:left="106" w:leftChars="0"/>
              <w:jc w:val="left"/>
              <w:rPr>
                <w:rFonts w:asciiTheme="minorEastAsia" w:hAnsiTheme="minorEastAsia" w:eastAsiaTheme="minorEastAsia"/>
                <w:color w:val="auto"/>
                <w:sz w:val="22"/>
                <w:szCs w:val="18"/>
                <w:highlight w:val="none"/>
              </w:rPr>
            </w:pPr>
            <w:r>
              <w:rPr>
                <w:sz w:val="22"/>
                <w:szCs w:val="18"/>
              </w:rPr>
              <w:t>16、≥2 个温度测试孔，方便测试箱内温度及穿孔实验；</w:t>
            </w:r>
          </w:p>
        </w:tc>
        <w:tc>
          <w:tcPr>
            <w:tcW w:w="1657" w:type="pct"/>
            <w:vAlign w:val="center"/>
          </w:tcPr>
          <w:p w14:paraId="2945EA0D">
            <w:pPr>
              <w:pStyle w:val="37"/>
              <w:jc w:val="center"/>
              <w:rPr>
                <w:rFonts w:asciiTheme="minorEastAsia" w:hAnsiTheme="minorEastAsia" w:eastAsiaTheme="minorEastAsia"/>
                <w:color w:val="auto"/>
                <w:highlight w:val="none"/>
              </w:rPr>
            </w:pPr>
          </w:p>
        </w:tc>
        <w:tc>
          <w:tcPr>
            <w:tcW w:w="489" w:type="pct"/>
            <w:vAlign w:val="center"/>
          </w:tcPr>
          <w:p w14:paraId="6D4FB0DC">
            <w:pPr>
              <w:jc w:val="center"/>
              <w:rPr>
                <w:rFonts w:asciiTheme="minorEastAsia" w:hAnsiTheme="minorEastAsia" w:eastAsiaTheme="minorEastAsia"/>
                <w:color w:val="auto"/>
                <w:sz w:val="24"/>
                <w:highlight w:val="none"/>
              </w:rPr>
            </w:pPr>
          </w:p>
        </w:tc>
      </w:tr>
      <w:tr w14:paraId="7980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70E5D028">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17</w:t>
            </w:r>
          </w:p>
        </w:tc>
        <w:tc>
          <w:tcPr>
            <w:tcW w:w="2476" w:type="pct"/>
            <w:vAlign w:val="center"/>
          </w:tcPr>
          <w:p w14:paraId="5C17C6EA">
            <w:pPr>
              <w:pStyle w:val="61"/>
              <w:spacing w:before="110" w:line="328" w:lineRule="auto"/>
              <w:ind w:left="106" w:leftChars="0" w:right="103" w:rightChars="0"/>
              <w:jc w:val="left"/>
              <w:rPr>
                <w:rFonts w:asciiTheme="minorEastAsia" w:hAnsiTheme="minorEastAsia" w:eastAsiaTheme="minorEastAsia"/>
                <w:color w:val="auto"/>
                <w:sz w:val="22"/>
                <w:szCs w:val="18"/>
                <w:highlight w:val="none"/>
              </w:rPr>
            </w:pPr>
            <w:r>
              <w:rPr>
                <w:sz w:val="22"/>
                <w:szCs w:val="18"/>
              </w:rPr>
              <w:t>17</w:t>
            </w:r>
            <w:r>
              <w:rPr>
                <w:spacing w:val="-1"/>
                <w:sz w:val="22"/>
                <w:szCs w:val="18"/>
              </w:rPr>
              <w:t xml:space="preserve">、配置大容量数据存储空间，实时保存箱内设定温度、实际温度、高、低温报警温度、输入电压、环温等数据， </w:t>
            </w:r>
            <w:r>
              <w:rPr>
                <w:spacing w:val="-12"/>
                <w:sz w:val="22"/>
                <w:szCs w:val="18"/>
              </w:rPr>
              <w:t xml:space="preserve">且可通过 </w:t>
            </w:r>
            <w:r>
              <w:rPr>
                <w:sz w:val="22"/>
                <w:szCs w:val="18"/>
              </w:rPr>
              <w:t>USB</w:t>
            </w:r>
            <w:r>
              <w:rPr>
                <w:spacing w:val="-9"/>
                <w:sz w:val="22"/>
                <w:szCs w:val="18"/>
              </w:rPr>
              <w:t xml:space="preserve"> 数据接口端口导出全部数据，实现数据的可</w:t>
            </w:r>
            <w:r>
              <w:rPr>
                <w:sz w:val="22"/>
                <w:szCs w:val="18"/>
              </w:rPr>
              <w:t>追溯性；</w:t>
            </w:r>
          </w:p>
        </w:tc>
        <w:tc>
          <w:tcPr>
            <w:tcW w:w="1657" w:type="pct"/>
            <w:vAlign w:val="center"/>
          </w:tcPr>
          <w:p w14:paraId="17AC5181">
            <w:pPr>
              <w:pStyle w:val="37"/>
              <w:jc w:val="center"/>
              <w:rPr>
                <w:rFonts w:asciiTheme="minorEastAsia" w:hAnsiTheme="minorEastAsia" w:eastAsiaTheme="minorEastAsia"/>
                <w:color w:val="auto"/>
                <w:highlight w:val="none"/>
              </w:rPr>
            </w:pPr>
          </w:p>
        </w:tc>
        <w:tc>
          <w:tcPr>
            <w:tcW w:w="489" w:type="pct"/>
            <w:vAlign w:val="center"/>
          </w:tcPr>
          <w:p w14:paraId="3D2E5495">
            <w:pPr>
              <w:jc w:val="center"/>
              <w:rPr>
                <w:rFonts w:asciiTheme="minorEastAsia" w:hAnsiTheme="minorEastAsia" w:eastAsiaTheme="minorEastAsia"/>
                <w:color w:val="auto"/>
                <w:sz w:val="24"/>
                <w:highlight w:val="none"/>
              </w:rPr>
            </w:pPr>
          </w:p>
        </w:tc>
      </w:tr>
      <w:tr w14:paraId="2F05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396ED621">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18</w:t>
            </w:r>
          </w:p>
        </w:tc>
        <w:tc>
          <w:tcPr>
            <w:tcW w:w="2476" w:type="pct"/>
            <w:vAlign w:val="center"/>
          </w:tcPr>
          <w:p w14:paraId="07E60389">
            <w:pPr>
              <w:pStyle w:val="61"/>
              <w:spacing w:line="302" w:lineRule="exact"/>
              <w:ind w:left="106" w:leftChars="0"/>
              <w:jc w:val="left"/>
              <w:rPr>
                <w:rFonts w:asciiTheme="minorEastAsia" w:hAnsiTheme="minorEastAsia" w:eastAsiaTheme="minorEastAsia"/>
                <w:color w:val="auto"/>
                <w:sz w:val="22"/>
                <w:szCs w:val="18"/>
                <w:highlight w:val="none"/>
              </w:rPr>
            </w:pPr>
            <w:r>
              <w:rPr>
                <w:sz w:val="22"/>
                <w:szCs w:val="18"/>
              </w:rPr>
              <w:t>18、标配蓄电池，断电状态可持续为温度报警；</w:t>
            </w:r>
          </w:p>
        </w:tc>
        <w:tc>
          <w:tcPr>
            <w:tcW w:w="1657" w:type="pct"/>
            <w:vAlign w:val="center"/>
          </w:tcPr>
          <w:p w14:paraId="2A789B15">
            <w:pPr>
              <w:pStyle w:val="37"/>
              <w:jc w:val="center"/>
              <w:rPr>
                <w:rFonts w:asciiTheme="minorEastAsia" w:hAnsiTheme="minorEastAsia" w:eastAsiaTheme="minorEastAsia"/>
                <w:color w:val="auto"/>
                <w:highlight w:val="none"/>
              </w:rPr>
            </w:pPr>
          </w:p>
        </w:tc>
        <w:tc>
          <w:tcPr>
            <w:tcW w:w="489" w:type="pct"/>
            <w:vAlign w:val="center"/>
          </w:tcPr>
          <w:p w14:paraId="7E4974EE">
            <w:pPr>
              <w:jc w:val="center"/>
              <w:rPr>
                <w:rFonts w:asciiTheme="minorEastAsia" w:hAnsiTheme="minorEastAsia" w:eastAsiaTheme="minorEastAsia"/>
                <w:color w:val="auto"/>
                <w:sz w:val="24"/>
                <w:highlight w:val="none"/>
              </w:rPr>
            </w:pPr>
          </w:p>
        </w:tc>
      </w:tr>
      <w:tr w14:paraId="6A7E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2E0133AF">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19</w:t>
            </w:r>
          </w:p>
        </w:tc>
        <w:tc>
          <w:tcPr>
            <w:tcW w:w="2476" w:type="pct"/>
            <w:vAlign w:val="center"/>
          </w:tcPr>
          <w:p w14:paraId="1EAC5A15">
            <w:pPr>
              <w:pStyle w:val="61"/>
              <w:spacing w:before="112" w:line="328" w:lineRule="auto"/>
              <w:ind w:left="106" w:leftChars="0" w:right="95" w:rightChars="0"/>
              <w:jc w:val="left"/>
              <w:rPr>
                <w:rFonts w:asciiTheme="minorEastAsia" w:hAnsiTheme="minorEastAsia" w:eastAsiaTheme="minorEastAsia"/>
                <w:color w:val="auto"/>
                <w:sz w:val="22"/>
                <w:szCs w:val="18"/>
                <w:highlight w:val="none"/>
              </w:rPr>
            </w:pPr>
            <w:r>
              <w:rPr>
                <w:sz w:val="22"/>
                <w:szCs w:val="18"/>
              </w:rPr>
              <w:t>19</w:t>
            </w:r>
            <w:r>
              <w:rPr>
                <w:spacing w:val="-18"/>
                <w:sz w:val="22"/>
                <w:szCs w:val="18"/>
              </w:rPr>
              <w:t xml:space="preserve">、具有内置 </w:t>
            </w:r>
            <w:r>
              <w:rPr>
                <w:sz w:val="22"/>
                <w:szCs w:val="18"/>
              </w:rPr>
              <w:t>5V</w:t>
            </w:r>
            <w:r>
              <w:rPr>
                <w:spacing w:val="-13"/>
                <w:sz w:val="22"/>
                <w:szCs w:val="18"/>
              </w:rPr>
              <w:t xml:space="preserve"> 冷链供电系统，确保用电安全，减少外部</w:t>
            </w:r>
            <w:r>
              <w:rPr>
                <w:sz w:val="22"/>
                <w:szCs w:val="18"/>
              </w:rPr>
              <w:t>布线，降低故障风险；</w:t>
            </w:r>
          </w:p>
        </w:tc>
        <w:tc>
          <w:tcPr>
            <w:tcW w:w="1657" w:type="pct"/>
            <w:vAlign w:val="center"/>
          </w:tcPr>
          <w:p w14:paraId="2518E765">
            <w:pPr>
              <w:pStyle w:val="37"/>
              <w:jc w:val="center"/>
              <w:rPr>
                <w:rFonts w:asciiTheme="minorEastAsia" w:hAnsiTheme="minorEastAsia" w:eastAsiaTheme="minorEastAsia"/>
                <w:color w:val="auto"/>
                <w:highlight w:val="none"/>
              </w:rPr>
            </w:pPr>
          </w:p>
        </w:tc>
        <w:tc>
          <w:tcPr>
            <w:tcW w:w="489" w:type="pct"/>
            <w:vAlign w:val="center"/>
          </w:tcPr>
          <w:p w14:paraId="53F32BC1">
            <w:pPr>
              <w:jc w:val="center"/>
              <w:rPr>
                <w:rFonts w:asciiTheme="minorEastAsia" w:hAnsiTheme="minorEastAsia" w:eastAsiaTheme="minorEastAsia"/>
                <w:color w:val="auto"/>
                <w:sz w:val="24"/>
                <w:highlight w:val="none"/>
              </w:rPr>
            </w:pPr>
          </w:p>
        </w:tc>
      </w:tr>
      <w:tr w14:paraId="04D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1D00DD83">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20</w:t>
            </w:r>
          </w:p>
        </w:tc>
        <w:tc>
          <w:tcPr>
            <w:tcW w:w="2476" w:type="pct"/>
            <w:vAlign w:val="center"/>
          </w:tcPr>
          <w:p w14:paraId="25F245D7">
            <w:pPr>
              <w:pStyle w:val="61"/>
              <w:spacing w:line="328" w:lineRule="auto"/>
              <w:ind w:left="106" w:leftChars="0" w:right="103" w:rightChars="0"/>
              <w:jc w:val="left"/>
              <w:rPr>
                <w:rFonts w:asciiTheme="minorEastAsia" w:hAnsiTheme="minorEastAsia" w:eastAsiaTheme="minorEastAsia"/>
                <w:color w:val="auto"/>
                <w:sz w:val="22"/>
                <w:szCs w:val="18"/>
                <w:highlight w:val="none"/>
              </w:rPr>
            </w:pPr>
            <w:r>
              <w:rPr>
                <w:sz w:val="22"/>
                <w:szCs w:val="18"/>
              </w:rPr>
              <w:t>20</w:t>
            </w:r>
            <w:r>
              <w:rPr>
                <w:spacing w:val="-15"/>
                <w:sz w:val="22"/>
                <w:szCs w:val="18"/>
              </w:rPr>
              <w:t xml:space="preserve">、标配 </w:t>
            </w:r>
            <w:r>
              <w:rPr>
                <w:sz w:val="22"/>
                <w:szCs w:val="18"/>
              </w:rPr>
              <w:t>RS485</w:t>
            </w:r>
            <w:r>
              <w:rPr>
                <w:spacing w:val="-9"/>
                <w:sz w:val="22"/>
                <w:szCs w:val="18"/>
              </w:rPr>
              <w:t xml:space="preserve"> 数据接口，远程报警接口，可同计算机网</w:t>
            </w:r>
            <w:r>
              <w:rPr>
                <w:sz w:val="22"/>
                <w:szCs w:val="18"/>
              </w:rPr>
              <w:t>线连接，实现数据通讯；</w:t>
            </w:r>
          </w:p>
        </w:tc>
        <w:tc>
          <w:tcPr>
            <w:tcW w:w="1657" w:type="pct"/>
            <w:vAlign w:val="center"/>
          </w:tcPr>
          <w:p w14:paraId="501243D6">
            <w:pPr>
              <w:pStyle w:val="37"/>
              <w:jc w:val="center"/>
              <w:rPr>
                <w:rFonts w:asciiTheme="minorEastAsia" w:hAnsiTheme="minorEastAsia" w:eastAsiaTheme="minorEastAsia"/>
                <w:color w:val="auto"/>
                <w:highlight w:val="none"/>
              </w:rPr>
            </w:pPr>
          </w:p>
        </w:tc>
        <w:tc>
          <w:tcPr>
            <w:tcW w:w="489" w:type="pct"/>
            <w:vAlign w:val="center"/>
          </w:tcPr>
          <w:p w14:paraId="0355D738">
            <w:pPr>
              <w:jc w:val="center"/>
              <w:rPr>
                <w:rFonts w:asciiTheme="minorEastAsia" w:hAnsiTheme="minorEastAsia" w:eastAsiaTheme="minorEastAsia"/>
                <w:color w:val="auto"/>
                <w:sz w:val="24"/>
                <w:highlight w:val="none"/>
              </w:rPr>
            </w:pPr>
          </w:p>
        </w:tc>
      </w:tr>
      <w:tr w14:paraId="10CD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0228D9AE">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w:t>
            </w:r>
          </w:p>
        </w:tc>
        <w:tc>
          <w:tcPr>
            <w:tcW w:w="2476" w:type="pct"/>
            <w:vAlign w:val="center"/>
          </w:tcPr>
          <w:p w14:paraId="6E7F456C">
            <w:pPr>
              <w:pStyle w:val="61"/>
              <w:spacing w:line="328" w:lineRule="auto"/>
              <w:ind w:left="106" w:leftChars="0" w:right="103" w:rightChars="0"/>
              <w:jc w:val="left"/>
              <w:rPr>
                <w:rFonts w:asciiTheme="minorEastAsia" w:hAnsiTheme="minorEastAsia" w:eastAsiaTheme="minorEastAsia"/>
                <w:color w:val="auto"/>
                <w:sz w:val="22"/>
                <w:szCs w:val="18"/>
                <w:highlight w:val="none"/>
              </w:rPr>
            </w:pPr>
            <w:r>
              <w:rPr>
                <w:sz w:val="22"/>
                <w:szCs w:val="18"/>
              </w:rPr>
              <w:t>★21</w:t>
            </w:r>
            <w:r>
              <w:rPr>
                <w:spacing w:val="-5"/>
                <w:sz w:val="22"/>
                <w:szCs w:val="18"/>
              </w:rPr>
              <w:t>、</w:t>
            </w:r>
            <w:r>
              <w:rPr>
                <w:rFonts w:hint="eastAsia"/>
                <w:spacing w:val="-5"/>
                <w:sz w:val="22"/>
                <w:szCs w:val="18"/>
                <w:lang w:val="en-US" w:eastAsia="zh-CN"/>
              </w:rPr>
              <w:t>配置</w:t>
            </w:r>
            <w:r>
              <w:rPr>
                <w:rFonts w:hint="eastAsia"/>
                <w:spacing w:val="-1"/>
                <w:sz w:val="22"/>
                <w:szCs w:val="18"/>
                <w:lang w:val="en-US" w:eastAsia="zh-CN"/>
              </w:rPr>
              <w:t>冷链模块</w:t>
            </w:r>
            <w:r>
              <w:rPr>
                <w:spacing w:val="-5"/>
                <w:sz w:val="22"/>
                <w:szCs w:val="18"/>
              </w:rPr>
              <w:t xml:space="preserve">，能够在手机 </w:t>
            </w:r>
            <w:r>
              <w:rPr>
                <w:sz w:val="22"/>
                <w:szCs w:val="18"/>
              </w:rPr>
              <w:t>app</w:t>
            </w:r>
            <w:r>
              <w:rPr>
                <w:spacing w:val="-9"/>
                <w:sz w:val="22"/>
                <w:szCs w:val="18"/>
              </w:rPr>
              <w:t xml:space="preserve"> 上实时的查看箱内</w:t>
            </w:r>
            <w:r>
              <w:rPr>
                <w:spacing w:val="-1"/>
                <w:sz w:val="22"/>
                <w:szCs w:val="18"/>
              </w:rPr>
              <w:t>温度、设定温度、高低温报警温度、各种报警记录</w:t>
            </w:r>
            <w:r>
              <w:rPr>
                <w:rFonts w:hint="eastAsia"/>
                <w:spacing w:val="-1"/>
                <w:sz w:val="22"/>
                <w:szCs w:val="18"/>
                <w:lang w:eastAsia="zh-CN"/>
              </w:rPr>
              <w:t>，</w:t>
            </w:r>
            <w:r>
              <w:rPr>
                <w:rFonts w:hint="eastAsia"/>
                <w:spacing w:val="-1"/>
                <w:sz w:val="22"/>
                <w:szCs w:val="18"/>
                <w:lang w:val="en-US" w:eastAsia="zh-CN"/>
              </w:rPr>
              <w:t>并承诺五年内免费使用</w:t>
            </w:r>
            <w:r>
              <w:rPr>
                <w:rFonts w:hint="eastAsia"/>
                <w:spacing w:val="-1"/>
                <w:sz w:val="22"/>
                <w:szCs w:val="18"/>
                <w:lang w:eastAsia="zh-CN"/>
              </w:rPr>
              <w:t>。</w:t>
            </w:r>
          </w:p>
        </w:tc>
        <w:tc>
          <w:tcPr>
            <w:tcW w:w="1657" w:type="pct"/>
            <w:vAlign w:val="center"/>
          </w:tcPr>
          <w:p w14:paraId="3FC8D891">
            <w:pPr>
              <w:pStyle w:val="37"/>
              <w:jc w:val="center"/>
              <w:rPr>
                <w:rFonts w:asciiTheme="minorEastAsia" w:hAnsiTheme="minorEastAsia" w:eastAsiaTheme="minorEastAsia"/>
                <w:color w:val="auto"/>
                <w:highlight w:val="none"/>
              </w:rPr>
            </w:pPr>
          </w:p>
        </w:tc>
        <w:tc>
          <w:tcPr>
            <w:tcW w:w="489" w:type="pct"/>
            <w:vAlign w:val="center"/>
          </w:tcPr>
          <w:p w14:paraId="5C764A02">
            <w:pPr>
              <w:jc w:val="center"/>
              <w:rPr>
                <w:rFonts w:asciiTheme="minorEastAsia" w:hAnsiTheme="minorEastAsia" w:eastAsiaTheme="minorEastAsia"/>
                <w:color w:val="auto"/>
                <w:sz w:val="24"/>
                <w:highlight w:val="none"/>
              </w:rPr>
            </w:pPr>
          </w:p>
        </w:tc>
      </w:tr>
      <w:tr w14:paraId="2AC7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29AF21E5">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22</w:t>
            </w:r>
          </w:p>
        </w:tc>
        <w:tc>
          <w:tcPr>
            <w:tcW w:w="2476" w:type="pct"/>
            <w:vAlign w:val="center"/>
          </w:tcPr>
          <w:p w14:paraId="6DE730D6">
            <w:pPr>
              <w:pStyle w:val="61"/>
              <w:spacing w:line="328" w:lineRule="auto"/>
              <w:ind w:left="106" w:leftChars="0" w:right="103" w:rightChars="0"/>
              <w:jc w:val="left"/>
              <w:rPr>
                <w:rFonts w:asciiTheme="minorEastAsia" w:hAnsiTheme="minorEastAsia" w:eastAsiaTheme="minorEastAsia"/>
                <w:color w:val="auto"/>
                <w:sz w:val="22"/>
                <w:szCs w:val="18"/>
                <w:highlight w:val="none"/>
              </w:rPr>
            </w:pPr>
            <w:r>
              <w:rPr>
                <w:sz w:val="22"/>
                <w:szCs w:val="18"/>
              </w:rPr>
              <w:t>22、可后期无缝衔接样本库管理系统，实现样本容量、位置等信息的精确管理；</w:t>
            </w:r>
          </w:p>
        </w:tc>
        <w:tc>
          <w:tcPr>
            <w:tcW w:w="1657" w:type="pct"/>
            <w:vAlign w:val="center"/>
          </w:tcPr>
          <w:p w14:paraId="2DE3BB84">
            <w:pPr>
              <w:pStyle w:val="37"/>
              <w:jc w:val="center"/>
              <w:rPr>
                <w:rFonts w:asciiTheme="minorEastAsia" w:hAnsiTheme="minorEastAsia" w:eastAsiaTheme="minorEastAsia"/>
                <w:color w:val="auto"/>
                <w:highlight w:val="none"/>
              </w:rPr>
            </w:pPr>
          </w:p>
        </w:tc>
        <w:tc>
          <w:tcPr>
            <w:tcW w:w="489" w:type="pct"/>
            <w:vAlign w:val="center"/>
          </w:tcPr>
          <w:p w14:paraId="268AB023">
            <w:pPr>
              <w:jc w:val="center"/>
              <w:rPr>
                <w:rFonts w:asciiTheme="minorEastAsia" w:hAnsiTheme="minorEastAsia" w:eastAsiaTheme="minorEastAsia"/>
                <w:color w:val="auto"/>
                <w:sz w:val="24"/>
                <w:highlight w:val="none"/>
              </w:rPr>
            </w:pPr>
          </w:p>
        </w:tc>
      </w:tr>
      <w:tr w14:paraId="6946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7" w:type="pct"/>
            <w:vAlign w:val="center"/>
          </w:tcPr>
          <w:p w14:paraId="250FD8DD">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23</w:t>
            </w:r>
          </w:p>
        </w:tc>
        <w:tc>
          <w:tcPr>
            <w:tcW w:w="2476" w:type="pct"/>
            <w:vAlign w:val="center"/>
          </w:tcPr>
          <w:p w14:paraId="6ED69A14">
            <w:pPr>
              <w:pStyle w:val="61"/>
              <w:spacing w:line="328" w:lineRule="auto"/>
              <w:ind w:left="106" w:leftChars="0" w:right="-29" w:rightChars="0"/>
              <w:jc w:val="left"/>
              <w:rPr>
                <w:rFonts w:asciiTheme="minorEastAsia" w:hAnsiTheme="minorEastAsia" w:eastAsiaTheme="minorEastAsia"/>
                <w:color w:val="auto"/>
                <w:sz w:val="22"/>
                <w:szCs w:val="18"/>
                <w:highlight w:val="none"/>
              </w:rPr>
            </w:pPr>
            <w:r>
              <w:rPr>
                <w:sz w:val="22"/>
                <w:szCs w:val="18"/>
              </w:rPr>
              <w:t>★23</w:t>
            </w:r>
            <w:r>
              <w:rPr>
                <w:spacing w:val="-22"/>
                <w:sz w:val="22"/>
                <w:szCs w:val="18"/>
              </w:rPr>
              <w:t>、超低温冰箱生产厂家具备</w:t>
            </w:r>
            <w:r>
              <w:rPr>
                <w:sz w:val="22"/>
                <w:szCs w:val="18"/>
              </w:rPr>
              <w:t>“-80℃</w:t>
            </w:r>
            <w:r>
              <w:rPr>
                <w:spacing w:val="-2"/>
                <w:sz w:val="22"/>
                <w:szCs w:val="18"/>
              </w:rPr>
              <w:t xml:space="preserve">自动化生物样本库” </w:t>
            </w:r>
            <w:r>
              <w:rPr>
                <w:sz w:val="22"/>
                <w:szCs w:val="18"/>
              </w:rPr>
              <w:t>的生产能力和经验，方便用户后期进行高效率的统一化的样本管理</w:t>
            </w:r>
            <w:r>
              <w:rPr>
                <w:b/>
                <w:sz w:val="22"/>
                <w:szCs w:val="18"/>
              </w:rPr>
              <w:t>（响应文件中提供该设备在国内已经完成的</w:t>
            </w:r>
            <w:r>
              <w:rPr>
                <w:rFonts w:ascii="仿宋" w:hAnsi="仿宋" w:eastAsia="仿宋" w:cs="仿宋"/>
                <w:b/>
                <w:snapToGrid w:val="0"/>
                <w:color w:val="000000"/>
                <w:kern w:val="0"/>
                <w:sz w:val="22"/>
                <w:szCs w:val="20"/>
                <w:lang w:val="zh-CN" w:eastAsia="zh-CN" w:bidi="zh-CN"/>
              </w:rPr>
              <w:t>“-80℃自动化生物样本库”的至少一个案例信息终端客户合同，不限制合同签订主体，但是该单位需要是真实的可查询的，方便用户后期核实真伪</w:t>
            </w:r>
            <w:r>
              <w:rPr>
                <w:rFonts w:hint="eastAsia"/>
                <w:b/>
                <w:sz w:val="22"/>
                <w:szCs w:val="18"/>
                <w:lang w:eastAsia="zh-CN"/>
              </w:rPr>
              <w:t>）</w:t>
            </w:r>
          </w:p>
        </w:tc>
        <w:tc>
          <w:tcPr>
            <w:tcW w:w="1657" w:type="pct"/>
            <w:vAlign w:val="center"/>
          </w:tcPr>
          <w:p w14:paraId="67AC32F9">
            <w:pPr>
              <w:pStyle w:val="37"/>
              <w:jc w:val="center"/>
              <w:rPr>
                <w:rFonts w:asciiTheme="minorEastAsia" w:hAnsiTheme="minorEastAsia" w:eastAsiaTheme="minorEastAsia"/>
                <w:color w:val="auto"/>
                <w:highlight w:val="none"/>
              </w:rPr>
            </w:pPr>
          </w:p>
        </w:tc>
        <w:tc>
          <w:tcPr>
            <w:tcW w:w="489" w:type="pct"/>
            <w:vAlign w:val="center"/>
          </w:tcPr>
          <w:p w14:paraId="3DA6E232">
            <w:pPr>
              <w:jc w:val="center"/>
              <w:rPr>
                <w:rFonts w:asciiTheme="minorEastAsia" w:hAnsiTheme="minorEastAsia" w:eastAsiaTheme="minorEastAsia"/>
                <w:color w:val="auto"/>
                <w:sz w:val="24"/>
                <w:highlight w:val="none"/>
              </w:rPr>
            </w:pPr>
          </w:p>
        </w:tc>
      </w:tr>
    </w:tbl>
    <w:p w14:paraId="0F6DCE0D">
      <w:pPr>
        <w:spacing w:line="360" w:lineRule="auto"/>
        <w:ind w:firstLine="4800" w:firstLineChars="2000"/>
        <w:rPr>
          <w:rFonts w:hint="eastAsia" w:ascii="宋体" w:hAnsi="宋体" w:eastAsia="宋体"/>
          <w:color w:val="auto"/>
          <w:sz w:val="24"/>
          <w:highlight w:val="none"/>
          <w:lang w:val="en-US" w:eastAsia="zh-CN"/>
        </w:rPr>
      </w:pPr>
    </w:p>
    <w:p w14:paraId="545CF7A0">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13E0982">
      <w:pPr>
        <w:spacing w:line="360" w:lineRule="auto"/>
        <w:ind w:firstLine="4800" w:firstLineChars="2000"/>
        <w:jc w:val="center"/>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F6E839C">
      <w:pP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br w:type="page"/>
      </w:r>
    </w:p>
    <w:p w14:paraId="1FAB0055">
      <w:pPr>
        <w:pStyle w:val="12"/>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“货物需求”要求提供对应的证明材料如下：</w:t>
      </w:r>
    </w:p>
    <w:p w14:paraId="7659C5C6">
      <w:pPr>
        <w:pStyle w:val="12"/>
        <w:spacing w:line="360" w:lineRule="auto"/>
        <w:rPr>
          <w:rFonts w:asciiTheme="minorEastAsia" w:hAnsiTheme="minorEastAsia" w:eastAsiaTheme="minorEastAsia"/>
          <w:color w:val="auto"/>
          <w:sz w:val="24"/>
          <w:highlight w:val="none"/>
        </w:rPr>
      </w:pPr>
    </w:p>
    <w:p w14:paraId="2208F737">
      <w:pPr>
        <w:pStyle w:val="12"/>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273AE16">
      <w:pPr>
        <w:spacing w:line="360" w:lineRule="auto"/>
        <w:jc w:val="center"/>
        <w:outlineLvl w:val="1"/>
        <w:rPr>
          <w:rFonts w:asciiTheme="minorEastAsia" w:hAnsiTheme="minorEastAsia" w:eastAsiaTheme="minorEastAsia"/>
          <w:b/>
          <w:color w:val="auto"/>
          <w:sz w:val="24"/>
          <w:highlight w:val="none"/>
        </w:rPr>
      </w:pPr>
      <w:bookmarkStart w:id="73" w:name="_Toc8563"/>
      <w:bookmarkStart w:id="74" w:name="_Toc2117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73"/>
      <w:bookmarkEnd w:id="74"/>
    </w:p>
    <w:p w14:paraId="514299F6">
      <w:pPr>
        <w:spacing w:line="360" w:lineRule="auto"/>
        <w:rPr>
          <w:rFonts w:asciiTheme="minorEastAsia" w:hAnsiTheme="minorEastAsia" w:eastAsiaTheme="minorEastAsia"/>
          <w:b/>
          <w:bCs/>
          <w:color w:val="auto"/>
          <w:sz w:val="24"/>
          <w:highlight w:val="none"/>
        </w:rPr>
      </w:pPr>
    </w:p>
    <w:p w14:paraId="514FE3D6">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79B8C35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w:t>
      </w:r>
      <w:r>
        <w:rPr>
          <w:rFonts w:hint="eastAsia" w:asciiTheme="minorEastAsia" w:hAnsiTheme="minorEastAsia" w:eastAsiaTheme="minorEastAsia"/>
          <w:bCs/>
          <w:color w:val="auto"/>
          <w:sz w:val="24"/>
          <w:highlight w:val="none"/>
          <w:lang w:val="en-US" w:eastAsia="zh-CN"/>
        </w:rPr>
        <w:t>相关法律法规</w:t>
      </w:r>
      <w:r>
        <w:rPr>
          <w:rFonts w:hint="eastAsia" w:asciiTheme="minorEastAsia" w:hAnsiTheme="minorEastAsia" w:eastAsiaTheme="minorEastAsia"/>
          <w:bCs/>
          <w:color w:val="auto"/>
          <w:sz w:val="24"/>
          <w:highlight w:val="none"/>
        </w:rPr>
        <w:t>及本项目采购文件中关于合同签订及履约的相关规定，不出现以下情形：</w:t>
      </w:r>
    </w:p>
    <w:p w14:paraId="7117FE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（1）中标或者成交后无正当理由拒不与采购人签订采购合同；</w:t>
      </w:r>
    </w:p>
    <w:p w14:paraId="7CE697F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（2）未按照采购文件确定的事项签订采购合同；</w:t>
      </w:r>
    </w:p>
    <w:p w14:paraId="4BBF986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（3）将采购合同转包；</w:t>
      </w:r>
    </w:p>
    <w:p w14:paraId="5A21CD1E">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2BF17E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（5）擅自变更、中止或者终止采购合同。</w:t>
      </w:r>
    </w:p>
    <w:p w14:paraId="369C05C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7020AFF">
      <w:pPr>
        <w:spacing w:line="360" w:lineRule="auto"/>
        <w:rPr>
          <w:rFonts w:asciiTheme="minorEastAsia" w:hAnsiTheme="minorEastAsia" w:eastAsiaTheme="minorEastAsia"/>
          <w:bCs/>
          <w:color w:val="auto"/>
          <w:sz w:val="24"/>
          <w:highlight w:val="none"/>
        </w:rPr>
      </w:pPr>
    </w:p>
    <w:p w14:paraId="5B20DCA8">
      <w:pPr>
        <w:spacing w:line="360" w:lineRule="auto"/>
        <w:rPr>
          <w:rFonts w:asciiTheme="minorEastAsia" w:hAnsiTheme="minorEastAsia" w:eastAsiaTheme="minorEastAsia"/>
          <w:bCs/>
          <w:color w:val="auto"/>
          <w:sz w:val="24"/>
          <w:highlight w:val="none"/>
        </w:rPr>
      </w:pPr>
    </w:p>
    <w:p w14:paraId="4D0E9EB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E90B1C4">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E58A13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2D3A43DA">
      <w:pPr>
        <w:spacing w:line="360" w:lineRule="auto"/>
        <w:jc w:val="center"/>
        <w:outlineLvl w:val="1"/>
        <w:rPr>
          <w:rFonts w:asciiTheme="minorEastAsia" w:hAnsiTheme="minorEastAsia" w:eastAsiaTheme="minorEastAsia"/>
          <w:b/>
          <w:color w:val="auto"/>
          <w:sz w:val="24"/>
          <w:highlight w:val="none"/>
        </w:rPr>
      </w:pPr>
      <w:bookmarkStart w:id="75" w:name="_Toc29042"/>
      <w:bookmarkStart w:id="76" w:name="_Toc28661"/>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75"/>
      <w:bookmarkEnd w:id="76"/>
    </w:p>
    <w:p w14:paraId="2C264593">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46D87CC1">
      <w:pPr>
        <w:spacing w:line="360" w:lineRule="auto"/>
        <w:ind w:firstLine="435"/>
        <w:rPr>
          <w:rFonts w:asciiTheme="minorEastAsia" w:hAnsiTheme="minorEastAsia" w:eastAsiaTheme="minorEastAsia"/>
          <w:color w:val="auto"/>
          <w:sz w:val="24"/>
          <w:highlight w:val="none"/>
        </w:rPr>
      </w:pPr>
    </w:p>
    <w:p w14:paraId="6FE8AC61">
      <w:pPr>
        <w:spacing w:line="360" w:lineRule="auto"/>
        <w:ind w:firstLine="480" w:firstLineChars="200"/>
        <w:rPr>
          <w:rFonts w:asciiTheme="minorEastAsia" w:hAnsiTheme="minorEastAsia" w:eastAsiaTheme="minorEastAsia"/>
          <w:color w:val="auto"/>
          <w:sz w:val="24"/>
          <w:highlight w:val="none"/>
        </w:rPr>
      </w:pPr>
    </w:p>
    <w:p w14:paraId="2EF1AB3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74680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供应商在响应文件制作时可在此栏内上传谈判文件要求上传的证明资料，如营业执照、证书</w:t>
      </w:r>
      <w:r>
        <w:rPr>
          <w:rFonts w:asciiTheme="minorEastAsia" w:hAnsiTheme="minorEastAsia" w:eastAsiaTheme="minorEastAsia"/>
          <w:color w:val="auto"/>
          <w:sz w:val="24"/>
          <w:highlight w:val="none"/>
        </w:rPr>
        <w:t>等，应将上述证明材料制作成扫描件上传。</w:t>
      </w:r>
    </w:p>
    <w:p w14:paraId="5E368AA1">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1813F29B">
      <w:pPr>
        <w:spacing w:line="360" w:lineRule="auto"/>
        <w:jc w:val="center"/>
        <w:outlineLvl w:val="0"/>
        <w:rPr>
          <w:rFonts w:ascii="宋体" w:hAnsi="宋体" w:eastAsia="宋体"/>
          <w:b/>
          <w:bCs/>
          <w:color w:val="auto"/>
          <w:sz w:val="28"/>
          <w:highlight w:val="none"/>
        </w:rPr>
      </w:pPr>
      <w:bookmarkStart w:id="77" w:name="_Toc60608832"/>
      <w:bookmarkStart w:id="78" w:name="_Toc10319"/>
      <w:bookmarkStart w:id="79" w:name="_Toc11034"/>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w:t>
      </w:r>
      <w:r>
        <w:rPr>
          <w:rFonts w:hint="eastAsia"/>
          <w:b/>
          <w:bCs/>
          <w:color w:val="auto"/>
          <w:sz w:val="28"/>
          <w:highlight w:val="none"/>
        </w:rPr>
        <w:t xml:space="preserve">  </w:t>
      </w:r>
      <w:bookmarkEnd w:id="77"/>
      <w:r>
        <w:rPr>
          <w:rFonts w:hint="eastAsia" w:ascii="宋体" w:hAnsi="宋体" w:eastAsia="宋体"/>
          <w:b/>
          <w:bCs/>
          <w:color w:val="auto"/>
          <w:sz w:val="28"/>
          <w:highlight w:val="none"/>
        </w:rPr>
        <w:t>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8"/>
      <w:bookmarkEnd w:id="79"/>
    </w:p>
    <w:p w14:paraId="52C2F990">
      <w:pPr>
        <w:spacing w:line="360" w:lineRule="auto"/>
        <w:jc w:val="center"/>
        <w:outlineLvl w:val="1"/>
        <w:rPr>
          <w:rFonts w:ascii="仿宋" w:hAnsi="仿宋" w:eastAsia="仿宋" w:cs="仿宋"/>
          <w:b/>
          <w:bCs/>
          <w:color w:val="auto"/>
          <w:sz w:val="32"/>
          <w:szCs w:val="44"/>
          <w:highlight w:val="none"/>
        </w:rPr>
      </w:pPr>
      <w:bookmarkStart w:id="80" w:name="_Toc28375"/>
      <w:bookmarkStart w:id="81" w:name="_Toc12954"/>
      <w:r>
        <w:rPr>
          <w:rFonts w:hint="eastAsia" w:ascii="仿宋" w:hAnsi="仿宋" w:eastAsia="仿宋" w:cs="仿宋"/>
          <w:b/>
          <w:bCs/>
          <w:color w:val="auto"/>
          <w:sz w:val="32"/>
          <w:szCs w:val="44"/>
          <w:highlight w:val="none"/>
        </w:rPr>
        <w:t>询问函范本</w:t>
      </w:r>
      <w:bookmarkEnd w:id="80"/>
      <w:bookmarkEnd w:id="81"/>
    </w:p>
    <w:p w14:paraId="7B2BEF5B">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4C84209">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3CC1BCB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0E169F4">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2" w:name="_Toc29009"/>
      <w:bookmarkStart w:id="83" w:name="_Toc23584"/>
      <w:r>
        <w:rPr>
          <w:rFonts w:hint="eastAsia" w:cs="仿宋" w:asciiTheme="minorEastAsia" w:hAnsiTheme="minorEastAsia" w:eastAsiaTheme="minorEastAsia"/>
          <w:color w:val="auto"/>
          <w:sz w:val="24"/>
          <w:szCs w:val="24"/>
          <w:highlight w:val="none"/>
        </w:rPr>
        <w:t>一、(事项一)</w:t>
      </w:r>
      <w:bookmarkEnd w:id="82"/>
      <w:bookmarkEnd w:id="83"/>
    </w:p>
    <w:p w14:paraId="1206791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622C8F9">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398E78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12683B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4" w:name="_Toc16254"/>
      <w:bookmarkStart w:id="85" w:name="_Toc18220"/>
      <w:r>
        <w:rPr>
          <w:rFonts w:hint="eastAsia" w:cs="仿宋" w:asciiTheme="minorEastAsia" w:hAnsiTheme="minorEastAsia" w:eastAsiaTheme="minorEastAsia"/>
          <w:color w:val="auto"/>
          <w:sz w:val="24"/>
          <w:szCs w:val="24"/>
          <w:highlight w:val="none"/>
        </w:rPr>
        <w:t>二、(事项二)</w:t>
      </w:r>
      <w:bookmarkEnd w:id="84"/>
      <w:bookmarkEnd w:id="85"/>
    </w:p>
    <w:p w14:paraId="2A8946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6A2789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6D8D8A9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336C1B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185F72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F9D099C">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A80391F">
      <w:pPr>
        <w:jc w:val="center"/>
        <w:outlineLvl w:val="1"/>
        <w:rPr>
          <w:rFonts w:ascii="仿宋" w:hAnsi="仿宋" w:eastAsia="仿宋" w:cs="仿宋"/>
          <w:b/>
          <w:bCs/>
          <w:color w:val="auto"/>
          <w:sz w:val="32"/>
          <w:szCs w:val="44"/>
          <w:highlight w:val="none"/>
        </w:rPr>
      </w:pPr>
      <w:bookmarkStart w:id="86" w:name="_Toc18073"/>
      <w:bookmarkStart w:id="87" w:name="_Toc6176"/>
      <w:r>
        <w:rPr>
          <w:rFonts w:hint="eastAsia" w:ascii="仿宋" w:hAnsi="仿宋" w:eastAsia="仿宋" w:cs="仿宋"/>
          <w:b/>
          <w:bCs/>
          <w:color w:val="auto"/>
          <w:sz w:val="32"/>
          <w:szCs w:val="44"/>
          <w:highlight w:val="none"/>
        </w:rPr>
        <w:t>质疑函范本</w:t>
      </w:r>
      <w:bookmarkEnd w:id="86"/>
      <w:bookmarkEnd w:id="87"/>
    </w:p>
    <w:p w14:paraId="61F0E2E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88" w:name="_Toc21548"/>
      <w:bookmarkStart w:id="89" w:name="_Toc17682"/>
      <w:r>
        <w:rPr>
          <w:rFonts w:hint="eastAsia" w:cs="仿宋" w:asciiTheme="minorEastAsia" w:hAnsiTheme="minorEastAsia" w:eastAsiaTheme="minorEastAsia"/>
          <w:b/>
          <w:bCs/>
          <w:color w:val="auto"/>
          <w:sz w:val="24"/>
          <w:szCs w:val="24"/>
          <w:highlight w:val="none"/>
        </w:rPr>
        <w:t>一、质疑供应商基本信息</w:t>
      </w:r>
      <w:bookmarkEnd w:id="88"/>
      <w:bookmarkEnd w:id="89"/>
    </w:p>
    <w:p w14:paraId="2AF0DBA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6FAFC7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D963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6C6871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0DCAE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0B7C2E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AE9B0A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0" w:name="_Toc5180"/>
      <w:bookmarkStart w:id="91" w:name="_Toc9149"/>
      <w:r>
        <w:rPr>
          <w:rFonts w:hint="eastAsia" w:cs="仿宋" w:asciiTheme="minorEastAsia" w:hAnsiTheme="minorEastAsia" w:eastAsiaTheme="minorEastAsia"/>
          <w:b/>
          <w:bCs/>
          <w:color w:val="auto"/>
          <w:sz w:val="24"/>
          <w:szCs w:val="24"/>
          <w:highlight w:val="none"/>
        </w:rPr>
        <w:t>二、质疑项目基本情况</w:t>
      </w:r>
      <w:bookmarkEnd w:id="90"/>
      <w:bookmarkEnd w:id="91"/>
    </w:p>
    <w:p w14:paraId="1FB9750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BDA0A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18043D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6A10C5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8B7566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2" w:name="_Toc14494"/>
      <w:bookmarkStart w:id="93" w:name="_Toc29996"/>
      <w:r>
        <w:rPr>
          <w:rFonts w:hint="eastAsia" w:cs="仿宋" w:asciiTheme="minorEastAsia" w:hAnsiTheme="minorEastAsia" w:eastAsiaTheme="minorEastAsia"/>
          <w:b/>
          <w:bCs/>
          <w:color w:val="auto"/>
          <w:sz w:val="24"/>
          <w:szCs w:val="24"/>
          <w:highlight w:val="none"/>
        </w:rPr>
        <w:t>三、质疑事项具体内容</w:t>
      </w:r>
      <w:bookmarkEnd w:id="92"/>
      <w:bookmarkEnd w:id="93"/>
    </w:p>
    <w:p w14:paraId="474E60C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0A7D2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1AA0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179BF0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E76952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1F7C1F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EFF7F0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CEBB41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4" w:name="_Toc7296"/>
      <w:bookmarkStart w:id="95" w:name="_Toc814"/>
      <w:r>
        <w:rPr>
          <w:rFonts w:hint="eastAsia" w:cs="仿宋" w:asciiTheme="minorEastAsia" w:hAnsiTheme="minorEastAsia" w:eastAsiaTheme="minorEastAsia"/>
          <w:b/>
          <w:bCs/>
          <w:color w:val="auto"/>
          <w:sz w:val="24"/>
          <w:szCs w:val="24"/>
          <w:highlight w:val="none"/>
        </w:rPr>
        <w:t>四、与质疑事项相关的质疑请求</w:t>
      </w:r>
      <w:bookmarkEnd w:id="94"/>
      <w:bookmarkEnd w:id="95"/>
    </w:p>
    <w:p w14:paraId="1919D2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7867F5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5F5DFE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5BDEF8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21544C37">
      <w:pPr>
        <w:outlineLvl w:val="0"/>
        <w:rPr>
          <w:rFonts w:asciiTheme="minorEastAsia" w:hAnsiTheme="minorEastAsia" w:eastAsiaTheme="minorEastAsia"/>
          <w:b/>
          <w:color w:val="auto"/>
          <w:sz w:val="28"/>
          <w:szCs w:val="32"/>
          <w:highlight w:val="none"/>
        </w:rPr>
      </w:pPr>
      <w:bookmarkStart w:id="96" w:name="_Toc3093"/>
      <w:bookmarkStart w:id="97" w:name="_Toc26567"/>
      <w:r>
        <w:rPr>
          <w:rFonts w:hint="eastAsia" w:asciiTheme="minorEastAsia" w:hAnsiTheme="minorEastAsia" w:eastAsiaTheme="minorEastAsia"/>
          <w:b/>
          <w:color w:val="auto"/>
          <w:sz w:val="28"/>
          <w:szCs w:val="32"/>
          <w:highlight w:val="none"/>
        </w:rPr>
        <w:t>质疑函制作说明：</w:t>
      </w:r>
      <w:bookmarkEnd w:id="96"/>
      <w:bookmarkEnd w:id="97"/>
    </w:p>
    <w:p w14:paraId="3B9146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2A09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D58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D4234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50E2E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53EC3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AA5C">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0D6F">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584DA">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4584DA">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FC2B86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50</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62</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60</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40AA">
    <w:pPr>
      <w:pStyle w:val="1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161">
    <w:pPr>
      <w:pStyle w:val="15"/>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D840">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8EA3B4D"/>
    <w:multiLevelType w:val="singleLevel"/>
    <w:tmpl w:val="F8EA3B4D"/>
    <w:lvl w:ilvl="0" w:tentative="0">
      <w:start w:val="3"/>
      <w:numFmt w:val="decimal"/>
      <w:suff w:val="nothing"/>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5"/>
  </w:num>
  <w:num w:numId="2">
    <w:abstractNumId w:val="7"/>
  </w:num>
  <w:num w:numId="3">
    <w:abstractNumId w:val="1"/>
  </w:num>
  <w:num w:numId="4">
    <w:abstractNumId w:val="6"/>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2247"/>
    <w:rsid w:val="000037F9"/>
    <w:rsid w:val="000049DA"/>
    <w:rsid w:val="000056B7"/>
    <w:rsid w:val="00005C24"/>
    <w:rsid w:val="0000779C"/>
    <w:rsid w:val="000131F7"/>
    <w:rsid w:val="00013DD9"/>
    <w:rsid w:val="00014039"/>
    <w:rsid w:val="00014DDD"/>
    <w:rsid w:val="00016B6C"/>
    <w:rsid w:val="000201D0"/>
    <w:rsid w:val="00020B57"/>
    <w:rsid w:val="00020DA0"/>
    <w:rsid w:val="00021D80"/>
    <w:rsid w:val="000227B2"/>
    <w:rsid w:val="000356BE"/>
    <w:rsid w:val="00040C25"/>
    <w:rsid w:val="00042139"/>
    <w:rsid w:val="000421D1"/>
    <w:rsid w:val="00042B14"/>
    <w:rsid w:val="000444B3"/>
    <w:rsid w:val="00044F49"/>
    <w:rsid w:val="000450C3"/>
    <w:rsid w:val="00046FC4"/>
    <w:rsid w:val="00050A3F"/>
    <w:rsid w:val="00050F5E"/>
    <w:rsid w:val="00062C99"/>
    <w:rsid w:val="000641C6"/>
    <w:rsid w:val="000648D2"/>
    <w:rsid w:val="00066B5B"/>
    <w:rsid w:val="00070075"/>
    <w:rsid w:val="00070E0E"/>
    <w:rsid w:val="0007146E"/>
    <w:rsid w:val="00072F85"/>
    <w:rsid w:val="00076456"/>
    <w:rsid w:val="00076DB7"/>
    <w:rsid w:val="00080FEB"/>
    <w:rsid w:val="000870E6"/>
    <w:rsid w:val="00093150"/>
    <w:rsid w:val="00093E05"/>
    <w:rsid w:val="00094D41"/>
    <w:rsid w:val="0009531E"/>
    <w:rsid w:val="00096426"/>
    <w:rsid w:val="000970FA"/>
    <w:rsid w:val="00097CB9"/>
    <w:rsid w:val="000A10A9"/>
    <w:rsid w:val="000A32F3"/>
    <w:rsid w:val="000A6693"/>
    <w:rsid w:val="000A7970"/>
    <w:rsid w:val="000A7D94"/>
    <w:rsid w:val="000B118D"/>
    <w:rsid w:val="000B120A"/>
    <w:rsid w:val="000B1511"/>
    <w:rsid w:val="000C0507"/>
    <w:rsid w:val="000C0B4B"/>
    <w:rsid w:val="000C14C3"/>
    <w:rsid w:val="000C1DB1"/>
    <w:rsid w:val="000C2092"/>
    <w:rsid w:val="000C407C"/>
    <w:rsid w:val="000C512D"/>
    <w:rsid w:val="000C6D28"/>
    <w:rsid w:val="000D2411"/>
    <w:rsid w:val="000D3A8D"/>
    <w:rsid w:val="000D3F37"/>
    <w:rsid w:val="000E2BA5"/>
    <w:rsid w:val="000E3C74"/>
    <w:rsid w:val="000E3F9B"/>
    <w:rsid w:val="000E478E"/>
    <w:rsid w:val="000E4B7C"/>
    <w:rsid w:val="000E6689"/>
    <w:rsid w:val="000F172B"/>
    <w:rsid w:val="000F2198"/>
    <w:rsid w:val="000F29A8"/>
    <w:rsid w:val="000F39B6"/>
    <w:rsid w:val="000F3D25"/>
    <w:rsid w:val="000F5488"/>
    <w:rsid w:val="000F6B7B"/>
    <w:rsid w:val="00100B0F"/>
    <w:rsid w:val="0010187C"/>
    <w:rsid w:val="00101DDB"/>
    <w:rsid w:val="0010219C"/>
    <w:rsid w:val="001026B4"/>
    <w:rsid w:val="001037E3"/>
    <w:rsid w:val="00104C6C"/>
    <w:rsid w:val="00106C08"/>
    <w:rsid w:val="0011036B"/>
    <w:rsid w:val="00111B6F"/>
    <w:rsid w:val="0011660B"/>
    <w:rsid w:val="00120E4A"/>
    <w:rsid w:val="0012143A"/>
    <w:rsid w:val="001258BA"/>
    <w:rsid w:val="001273BC"/>
    <w:rsid w:val="001301E2"/>
    <w:rsid w:val="00132DDC"/>
    <w:rsid w:val="00134C6F"/>
    <w:rsid w:val="0013744A"/>
    <w:rsid w:val="00140687"/>
    <w:rsid w:val="00146421"/>
    <w:rsid w:val="00151E19"/>
    <w:rsid w:val="00153B20"/>
    <w:rsid w:val="00155F64"/>
    <w:rsid w:val="00156F8B"/>
    <w:rsid w:val="00157856"/>
    <w:rsid w:val="00160729"/>
    <w:rsid w:val="00161B13"/>
    <w:rsid w:val="001651ED"/>
    <w:rsid w:val="00166794"/>
    <w:rsid w:val="00166ED8"/>
    <w:rsid w:val="001714C9"/>
    <w:rsid w:val="00172ACA"/>
    <w:rsid w:val="0017704F"/>
    <w:rsid w:val="0018119B"/>
    <w:rsid w:val="00183995"/>
    <w:rsid w:val="001844AB"/>
    <w:rsid w:val="001853C7"/>
    <w:rsid w:val="001866DC"/>
    <w:rsid w:val="001907B0"/>
    <w:rsid w:val="00190839"/>
    <w:rsid w:val="00192879"/>
    <w:rsid w:val="001938E5"/>
    <w:rsid w:val="001944B8"/>
    <w:rsid w:val="0019616A"/>
    <w:rsid w:val="00196DA3"/>
    <w:rsid w:val="001A526C"/>
    <w:rsid w:val="001A5B1F"/>
    <w:rsid w:val="001A68E5"/>
    <w:rsid w:val="001B2A54"/>
    <w:rsid w:val="001B2BA4"/>
    <w:rsid w:val="001B5014"/>
    <w:rsid w:val="001B544A"/>
    <w:rsid w:val="001B62A6"/>
    <w:rsid w:val="001B7327"/>
    <w:rsid w:val="001C03D4"/>
    <w:rsid w:val="001C54BE"/>
    <w:rsid w:val="001C6047"/>
    <w:rsid w:val="001D22EA"/>
    <w:rsid w:val="001D2634"/>
    <w:rsid w:val="001D3B4C"/>
    <w:rsid w:val="001D53B4"/>
    <w:rsid w:val="001E15FE"/>
    <w:rsid w:val="001E1835"/>
    <w:rsid w:val="001E42BC"/>
    <w:rsid w:val="001F19A3"/>
    <w:rsid w:val="001F28D2"/>
    <w:rsid w:val="001F2F45"/>
    <w:rsid w:val="001F3023"/>
    <w:rsid w:val="001F35F6"/>
    <w:rsid w:val="001F4308"/>
    <w:rsid w:val="001F74CA"/>
    <w:rsid w:val="001F7590"/>
    <w:rsid w:val="002003B6"/>
    <w:rsid w:val="0020244A"/>
    <w:rsid w:val="00204609"/>
    <w:rsid w:val="002049B4"/>
    <w:rsid w:val="0020520B"/>
    <w:rsid w:val="0020529E"/>
    <w:rsid w:val="002056D4"/>
    <w:rsid w:val="002076AD"/>
    <w:rsid w:val="00213C55"/>
    <w:rsid w:val="002156EA"/>
    <w:rsid w:val="00221256"/>
    <w:rsid w:val="00223CF4"/>
    <w:rsid w:val="00224C4A"/>
    <w:rsid w:val="00231187"/>
    <w:rsid w:val="0023407E"/>
    <w:rsid w:val="00240B40"/>
    <w:rsid w:val="00241874"/>
    <w:rsid w:val="002427C1"/>
    <w:rsid w:val="002439FE"/>
    <w:rsid w:val="00244182"/>
    <w:rsid w:val="00246F20"/>
    <w:rsid w:val="00250EE3"/>
    <w:rsid w:val="00253517"/>
    <w:rsid w:val="002544A1"/>
    <w:rsid w:val="00257ECE"/>
    <w:rsid w:val="00260B94"/>
    <w:rsid w:val="00261798"/>
    <w:rsid w:val="002626F5"/>
    <w:rsid w:val="00262AFC"/>
    <w:rsid w:val="00264EAD"/>
    <w:rsid w:val="00264F2E"/>
    <w:rsid w:val="00271245"/>
    <w:rsid w:val="00271B93"/>
    <w:rsid w:val="002720A9"/>
    <w:rsid w:val="00274A9E"/>
    <w:rsid w:val="00275C66"/>
    <w:rsid w:val="00276BA1"/>
    <w:rsid w:val="00280984"/>
    <w:rsid w:val="00281A59"/>
    <w:rsid w:val="002835E3"/>
    <w:rsid w:val="00284542"/>
    <w:rsid w:val="0028537B"/>
    <w:rsid w:val="002929E1"/>
    <w:rsid w:val="00292D2A"/>
    <w:rsid w:val="002A14D1"/>
    <w:rsid w:val="002A1A1D"/>
    <w:rsid w:val="002A28AD"/>
    <w:rsid w:val="002A3879"/>
    <w:rsid w:val="002B04FD"/>
    <w:rsid w:val="002B2BC9"/>
    <w:rsid w:val="002B5318"/>
    <w:rsid w:val="002B6D27"/>
    <w:rsid w:val="002B7A09"/>
    <w:rsid w:val="002C060C"/>
    <w:rsid w:val="002C3BA6"/>
    <w:rsid w:val="002C6F1B"/>
    <w:rsid w:val="002C72CD"/>
    <w:rsid w:val="002C76BA"/>
    <w:rsid w:val="002D041D"/>
    <w:rsid w:val="002D05DD"/>
    <w:rsid w:val="002D24AD"/>
    <w:rsid w:val="002D2965"/>
    <w:rsid w:val="002D3301"/>
    <w:rsid w:val="002D3D02"/>
    <w:rsid w:val="002D4CB5"/>
    <w:rsid w:val="002D684B"/>
    <w:rsid w:val="002E16E9"/>
    <w:rsid w:val="002E1C8F"/>
    <w:rsid w:val="002E2D3A"/>
    <w:rsid w:val="002E3B26"/>
    <w:rsid w:val="002E3CF3"/>
    <w:rsid w:val="002E411D"/>
    <w:rsid w:val="002E4AB8"/>
    <w:rsid w:val="002E7FC4"/>
    <w:rsid w:val="002F1132"/>
    <w:rsid w:val="002F2D4E"/>
    <w:rsid w:val="0030413C"/>
    <w:rsid w:val="003043FC"/>
    <w:rsid w:val="00310070"/>
    <w:rsid w:val="0031081B"/>
    <w:rsid w:val="00310F86"/>
    <w:rsid w:val="003110EC"/>
    <w:rsid w:val="003166D8"/>
    <w:rsid w:val="003206A6"/>
    <w:rsid w:val="003213B4"/>
    <w:rsid w:val="0032560D"/>
    <w:rsid w:val="0032598E"/>
    <w:rsid w:val="00327C92"/>
    <w:rsid w:val="00330431"/>
    <w:rsid w:val="00331DEB"/>
    <w:rsid w:val="00331F10"/>
    <w:rsid w:val="00333292"/>
    <w:rsid w:val="0033392E"/>
    <w:rsid w:val="003344E7"/>
    <w:rsid w:val="0033460E"/>
    <w:rsid w:val="0033580B"/>
    <w:rsid w:val="003365E7"/>
    <w:rsid w:val="00336983"/>
    <w:rsid w:val="003378D5"/>
    <w:rsid w:val="00340CA3"/>
    <w:rsid w:val="00342B62"/>
    <w:rsid w:val="00344BF7"/>
    <w:rsid w:val="003473D7"/>
    <w:rsid w:val="003510A4"/>
    <w:rsid w:val="00351AC8"/>
    <w:rsid w:val="00353075"/>
    <w:rsid w:val="003550A7"/>
    <w:rsid w:val="00360384"/>
    <w:rsid w:val="00360697"/>
    <w:rsid w:val="00362110"/>
    <w:rsid w:val="0036339C"/>
    <w:rsid w:val="00363E02"/>
    <w:rsid w:val="00370F58"/>
    <w:rsid w:val="00373A96"/>
    <w:rsid w:val="00374BA2"/>
    <w:rsid w:val="00381681"/>
    <w:rsid w:val="003826C2"/>
    <w:rsid w:val="00382B87"/>
    <w:rsid w:val="00383728"/>
    <w:rsid w:val="00385435"/>
    <w:rsid w:val="00385772"/>
    <w:rsid w:val="003903BB"/>
    <w:rsid w:val="003921ED"/>
    <w:rsid w:val="00392627"/>
    <w:rsid w:val="00393E2B"/>
    <w:rsid w:val="00394128"/>
    <w:rsid w:val="00394ADC"/>
    <w:rsid w:val="00395235"/>
    <w:rsid w:val="0039561A"/>
    <w:rsid w:val="00397C7D"/>
    <w:rsid w:val="003A004F"/>
    <w:rsid w:val="003A092F"/>
    <w:rsid w:val="003A33CD"/>
    <w:rsid w:val="003A4DF1"/>
    <w:rsid w:val="003B4130"/>
    <w:rsid w:val="003B715B"/>
    <w:rsid w:val="003B7FCE"/>
    <w:rsid w:val="003C002C"/>
    <w:rsid w:val="003C0B36"/>
    <w:rsid w:val="003C2C62"/>
    <w:rsid w:val="003C717B"/>
    <w:rsid w:val="003D1D14"/>
    <w:rsid w:val="003D551F"/>
    <w:rsid w:val="003D6C7C"/>
    <w:rsid w:val="003D6EFB"/>
    <w:rsid w:val="003D7E52"/>
    <w:rsid w:val="003E0BE0"/>
    <w:rsid w:val="003E0F14"/>
    <w:rsid w:val="003E25C6"/>
    <w:rsid w:val="003E4183"/>
    <w:rsid w:val="003E4C91"/>
    <w:rsid w:val="003E6A52"/>
    <w:rsid w:val="003F7528"/>
    <w:rsid w:val="00400910"/>
    <w:rsid w:val="004011AA"/>
    <w:rsid w:val="0040202C"/>
    <w:rsid w:val="00405503"/>
    <w:rsid w:val="00406508"/>
    <w:rsid w:val="00407843"/>
    <w:rsid w:val="0041456E"/>
    <w:rsid w:val="004145A1"/>
    <w:rsid w:val="00414903"/>
    <w:rsid w:val="00414F7E"/>
    <w:rsid w:val="0041564E"/>
    <w:rsid w:val="004164F8"/>
    <w:rsid w:val="00417FE4"/>
    <w:rsid w:val="004201EC"/>
    <w:rsid w:val="00420AD7"/>
    <w:rsid w:val="00426F05"/>
    <w:rsid w:val="004328E1"/>
    <w:rsid w:val="0044030A"/>
    <w:rsid w:val="00441EF6"/>
    <w:rsid w:val="004427B7"/>
    <w:rsid w:val="0044349F"/>
    <w:rsid w:val="00445E5D"/>
    <w:rsid w:val="00445F1F"/>
    <w:rsid w:val="00451B9C"/>
    <w:rsid w:val="00451F60"/>
    <w:rsid w:val="00452BB2"/>
    <w:rsid w:val="004541F2"/>
    <w:rsid w:val="00456054"/>
    <w:rsid w:val="0045656D"/>
    <w:rsid w:val="00462D98"/>
    <w:rsid w:val="00463E7D"/>
    <w:rsid w:val="004660C8"/>
    <w:rsid w:val="004723BE"/>
    <w:rsid w:val="00472A44"/>
    <w:rsid w:val="00473A89"/>
    <w:rsid w:val="00475899"/>
    <w:rsid w:val="00482C78"/>
    <w:rsid w:val="00483BC8"/>
    <w:rsid w:val="0048634A"/>
    <w:rsid w:val="004874AE"/>
    <w:rsid w:val="00491830"/>
    <w:rsid w:val="00494D24"/>
    <w:rsid w:val="004951D1"/>
    <w:rsid w:val="004960BB"/>
    <w:rsid w:val="00497173"/>
    <w:rsid w:val="004A27D0"/>
    <w:rsid w:val="004A2E6C"/>
    <w:rsid w:val="004A4A18"/>
    <w:rsid w:val="004A4D67"/>
    <w:rsid w:val="004A5B89"/>
    <w:rsid w:val="004B24DD"/>
    <w:rsid w:val="004C13CB"/>
    <w:rsid w:val="004C6766"/>
    <w:rsid w:val="004D19B1"/>
    <w:rsid w:val="004D1B4F"/>
    <w:rsid w:val="004D1E11"/>
    <w:rsid w:val="004D3D4B"/>
    <w:rsid w:val="004D5498"/>
    <w:rsid w:val="004D66A5"/>
    <w:rsid w:val="004D6B00"/>
    <w:rsid w:val="004D6B8C"/>
    <w:rsid w:val="004E0D39"/>
    <w:rsid w:val="004E1D50"/>
    <w:rsid w:val="004E357B"/>
    <w:rsid w:val="004F1A35"/>
    <w:rsid w:val="004F27A0"/>
    <w:rsid w:val="004F2E5D"/>
    <w:rsid w:val="004F3C35"/>
    <w:rsid w:val="00501382"/>
    <w:rsid w:val="0050350D"/>
    <w:rsid w:val="00510798"/>
    <w:rsid w:val="005125F1"/>
    <w:rsid w:val="00515814"/>
    <w:rsid w:val="00524A11"/>
    <w:rsid w:val="00527768"/>
    <w:rsid w:val="00530EA4"/>
    <w:rsid w:val="005327FB"/>
    <w:rsid w:val="00533FCA"/>
    <w:rsid w:val="00536422"/>
    <w:rsid w:val="00537583"/>
    <w:rsid w:val="005411A7"/>
    <w:rsid w:val="005470D4"/>
    <w:rsid w:val="0055066A"/>
    <w:rsid w:val="0055291E"/>
    <w:rsid w:val="00555E64"/>
    <w:rsid w:val="005565D3"/>
    <w:rsid w:val="005616B5"/>
    <w:rsid w:val="005641E3"/>
    <w:rsid w:val="005679A4"/>
    <w:rsid w:val="005716A1"/>
    <w:rsid w:val="00573723"/>
    <w:rsid w:val="00577E74"/>
    <w:rsid w:val="00584744"/>
    <w:rsid w:val="00584DA0"/>
    <w:rsid w:val="00591DC8"/>
    <w:rsid w:val="0059223D"/>
    <w:rsid w:val="0059727C"/>
    <w:rsid w:val="00597B15"/>
    <w:rsid w:val="00597B96"/>
    <w:rsid w:val="005A044C"/>
    <w:rsid w:val="005A11F7"/>
    <w:rsid w:val="005A149F"/>
    <w:rsid w:val="005A56A6"/>
    <w:rsid w:val="005A56B3"/>
    <w:rsid w:val="005B0963"/>
    <w:rsid w:val="005B34C9"/>
    <w:rsid w:val="005B7CC6"/>
    <w:rsid w:val="005C34E8"/>
    <w:rsid w:val="005C3F52"/>
    <w:rsid w:val="005C4164"/>
    <w:rsid w:val="005C70E5"/>
    <w:rsid w:val="005D0200"/>
    <w:rsid w:val="005D3FA5"/>
    <w:rsid w:val="005D44EF"/>
    <w:rsid w:val="005D5112"/>
    <w:rsid w:val="005D5D67"/>
    <w:rsid w:val="005E4A2E"/>
    <w:rsid w:val="005E773F"/>
    <w:rsid w:val="005E781C"/>
    <w:rsid w:val="005F34CC"/>
    <w:rsid w:val="005F3914"/>
    <w:rsid w:val="005F3B5A"/>
    <w:rsid w:val="005F6AB4"/>
    <w:rsid w:val="005F7A80"/>
    <w:rsid w:val="00604792"/>
    <w:rsid w:val="0060721F"/>
    <w:rsid w:val="00607471"/>
    <w:rsid w:val="00610A66"/>
    <w:rsid w:val="00613177"/>
    <w:rsid w:val="00613F7C"/>
    <w:rsid w:val="00614BF2"/>
    <w:rsid w:val="0061557C"/>
    <w:rsid w:val="00620D1B"/>
    <w:rsid w:val="00623DE2"/>
    <w:rsid w:val="00627601"/>
    <w:rsid w:val="006300D0"/>
    <w:rsid w:val="00632012"/>
    <w:rsid w:val="006331E3"/>
    <w:rsid w:val="00634694"/>
    <w:rsid w:val="00635424"/>
    <w:rsid w:val="00636517"/>
    <w:rsid w:val="00637690"/>
    <w:rsid w:val="00640E1E"/>
    <w:rsid w:val="00641721"/>
    <w:rsid w:val="0064389A"/>
    <w:rsid w:val="0064468C"/>
    <w:rsid w:val="00644F02"/>
    <w:rsid w:val="00645168"/>
    <w:rsid w:val="00645442"/>
    <w:rsid w:val="00645469"/>
    <w:rsid w:val="006525CD"/>
    <w:rsid w:val="00653F7F"/>
    <w:rsid w:val="00660A71"/>
    <w:rsid w:val="00662EE8"/>
    <w:rsid w:val="00663813"/>
    <w:rsid w:val="00664AFD"/>
    <w:rsid w:val="00665031"/>
    <w:rsid w:val="006650B8"/>
    <w:rsid w:val="0066694D"/>
    <w:rsid w:val="00667567"/>
    <w:rsid w:val="0067391A"/>
    <w:rsid w:val="00674173"/>
    <w:rsid w:val="00676B59"/>
    <w:rsid w:val="00677D87"/>
    <w:rsid w:val="0068373C"/>
    <w:rsid w:val="00684CF7"/>
    <w:rsid w:val="00690DB1"/>
    <w:rsid w:val="00691D45"/>
    <w:rsid w:val="00693404"/>
    <w:rsid w:val="006953D9"/>
    <w:rsid w:val="006A1269"/>
    <w:rsid w:val="006A5803"/>
    <w:rsid w:val="006A69C3"/>
    <w:rsid w:val="006A702A"/>
    <w:rsid w:val="006A7C15"/>
    <w:rsid w:val="006B1242"/>
    <w:rsid w:val="006B1DBC"/>
    <w:rsid w:val="006B3E24"/>
    <w:rsid w:val="006B7C1C"/>
    <w:rsid w:val="006B7D9A"/>
    <w:rsid w:val="006C06D9"/>
    <w:rsid w:val="006C171E"/>
    <w:rsid w:val="006C3E22"/>
    <w:rsid w:val="006C5716"/>
    <w:rsid w:val="006C64B2"/>
    <w:rsid w:val="006C74A9"/>
    <w:rsid w:val="006D07DE"/>
    <w:rsid w:val="006D361A"/>
    <w:rsid w:val="006D424C"/>
    <w:rsid w:val="006D7D6A"/>
    <w:rsid w:val="006E06D9"/>
    <w:rsid w:val="006E1D40"/>
    <w:rsid w:val="006E2E1F"/>
    <w:rsid w:val="006E5059"/>
    <w:rsid w:val="006F0856"/>
    <w:rsid w:val="006F4B48"/>
    <w:rsid w:val="006F5F03"/>
    <w:rsid w:val="006F5FFF"/>
    <w:rsid w:val="006F7978"/>
    <w:rsid w:val="00700C16"/>
    <w:rsid w:val="00700F1D"/>
    <w:rsid w:val="00702237"/>
    <w:rsid w:val="00710804"/>
    <w:rsid w:val="00710877"/>
    <w:rsid w:val="00711FC6"/>
    <w:rsid w:val="007130B1"/>
    <w:rsid w:val="00715071"/>
    <w:rsid w:val="00720B60"/>
    <w:rsid w:val="00720D0D"/>
    <w:rsid w:val="007231E9"/>
    <w:rsid w:val="00724F0E"/>
    <w:rsid w:val="00725DA2"/>
    <w:rsid w:val="00727C59"/>
    <w:rsid w:val="00732C6B"/>
    <w:rsid w:val="00733730"/>
    <w:rsid w:val="00734D34"/>
    <w:rsid w:val="00734E5D"/>
    <w:rsid w:val="00736013"/>
    <w:rsid w:val="00737BF8"/>
    <w:rsid w:val="0074339B"/>
    <w:rsid w:val="00751B38"/>
    <w:rsid w:val="0075264F"/>
    <w:rsid w:val="00756245"/>
    <w:rsid w:val="00756B40"/>
    <w:rsid w:val="00761662"/>
    <w:rsid w:val="00763E37"/>
    <w:rsid w:val="00764043"/>
    <w:rsid w:val="00765C94"/>
    <w:rsid w:val="007667A4"/>
    <w:rsid w:val="007754AA"/>
    <w:rsid w:val="007757CF"/>
    <w:rsid w:val="0078128F"/>
    <w:rsid w:val="007819D9"/>
    <w:rsid w:val="0078683C"/>
    <w:rsid w:val="007868E8"/>
    <w:rsid w:val="00790EDB"/>
    <w:rsid w:val="00791538"/>
    <w:rsid w:val="0079326E"/>
    <w:rsid w:val="00796EDE"/>
    <w:rsid w:val="007A0BFB"/>
    <w:rsid w:val="007A4FC7"/>
    <w:rsid w:val="007A5A58"/>
    <w:rsid w:val="007A79CA"/>
    <w:rsid w:val="007B1071"/>
    <w:rsid w:val="007B1C56"/>
    <w:rsid w:val="007B5842"/>
    <w:rsid w:val="007B6E33"/>
    <w:rsid w:val="007B7D40"/>
    <w:rsid w:val="007C1DD7"/>
    <w:rsid w:val="007C24E3"/>
    <w:rsid w:val="007C3CD5"/>
    <w:rsid w:val="007C5E88"/>
    <w:rsid w:val="007C5F1F"/>
    <w:rsid w:val="007C61EF"/>
    <w:rsid w:val="007D1A73"/>
    <w:rsid w:val="007D1C0D"/>
    <w:rsid w:val="007D2D23"/>
    <w:rsid w:val="007D4A71"/>
    <w:rsid w:val="007D67A3"/>
    <w:rsid w:val="007D6C28"/>
    <w:rsid w:val="007E0BAF"/>
    <w:rsid w:val="007E27D6"/>
    <w:rsid w:val="007E3921"/>
    <w:rsid w:val="007E525F"/>
    <w:rsid w:val="00801028"/>
    <w:rsid w:val="00802F1D"/>
    <w:rsid w:val="00803793"/>
    <w:rsid w:val="00804000"/>
    <w:rsid w:val="0080412D"/>
    <w:rsid w:val="00817A01"/>
    <w:rsid w:val="00820E1F"/>
    <w:rsid w:val="00821639"/>
    <w:rsid w:val="00824BE1"/>
    <w:rsid w:val="00825E35"/>
    <w:rsid w:val="0082734F"/>
    <w:rsid w:val="00827435"/>
    <w:rsid w:val="00830792"/>
    <w:rsid w:val="00830A4E"/>
    <w:rsid w:val="008319C8"/>
    <w:rsid w:val="008322FF"/>
    <w:rsid w:val="00833305"/>
    <w:rsid w:val="008334F8"/>
    <w:rsid w:val="0083586A"/>
    <w:rsid w:val="00835FFD"/>
    <w:rsid w:val="00845D94"/>
    <w:rsid w:val="008504BF"/>
    <w:rsid w:val="008524CE"/>
    <w:rsid w:val="00854E85"/>
    <w:rsid w:val="008575E9"/>
    <w:rsid w:val="0086440C"/>
    <w:rsid w:val="008678A4"/>
    <w:rsid w:val="00876659"/>
    <w:rsid w:val="0087734C"/>
    <w:rsid w:val="00882141"/>
    <w:rsid w:val="008876EC"/>
    <w:rsid w:val="008922A8"/>
    <w:rsid w:val="00894916"/>
    <w:rsid w:val="00895BD5"/>
    <w:rsid w:val="008A16C4"/>
    <w:rsid w:val="008A20A9"/>
    <w:rsid w:val="008A3609"/>
    <w:rsid w:val="008A6FED"/>
    <w:rsid w:val="008B1F5C"/>
    <w:rsid w:val="008B1F73"/>
    <w:rsid w:val="008B39C5"/>
    <w:rsid w:val="008B51AA"/>
    <w:rsid w:val="008B7382"/>
    <w:rsid w:val="008C5A7A"/>
    <w:rsid w:val="008C67F2"/>
    <w:rsid w:val="008C73D8"/>
    <w:rsid w:val="008D0533"/>
    <w:rsid w:val="008D064A"/>
    <w:rsid w:val="008D14F8"/>
    <w:rsid w:val="008D1634"/>
    <w:rsid w:val="008D1E91"/>
    <w:rsid w:val="008D2B0F"/>
    <w:rsid w:val="008D2CDB"/>
    <w:rsid w:val="008D31EF"/>
    <w:rsid w:val="008D4699"/>
    <w:rsid w:val="008E0F44"/>
    <w:rsid w:val="008E230D"/>
    <w:rsid w:val="008E449E"/>
    <w:rsid w:val="008E4BDD"/>
    <w:rsid w:val="008E52FB"/>
    <w:rsid w:val="008E721B"/>
    <w:rsid w:val="008E770C"/>
    <w:rsid w:val="008F187F"/>
    <w:rsid w:val="008F190B"/>
    <w:rsid w:val="008F39F1"/>
    <w:rsid w:val="008F402F"/>
    <w:rsid w:val="008F76E8"/>
    <w:rsid w:val="00906D34"/>
    <w:rsid w:val="009078A1"/>
    <w:rsid w:val="00910021"/>
    <w:rsid w:val="00911E9C"/>
    <w:rsid w:val="0091318E"/>
    <w:rsid w:val="00915928"/>
    <w:rsid w:val="00917405"/>
    <w:rsid w:val="00920F7C"/>
    <w:rsid w:val="00922BEE"/>
    <w:rsid w:val="00924743"/>
    <w:rsid w:val="00930CAC"/>
    <w:rsid w:val="00932CCC"/>
    <w:rsid w:val="00933174"/>
    <w:rsid w:val="009331C0"/>
    <w:rsid w:val="00934CAE"/>
    <w:rsid w:val="00940C9A"/>
    <w:rsid w:val="0094257D"/>
    <w:rsid w:val="00945B58"/>
    <w:rsid w:val="009515C6"/>
    <w:rsid w:val="00953383"/>
    <w:rsid w:val="0095467C"/>
    <w:rsid w:val="00954A61"/>
    <w:rsid w:val="00955C6F"/>
    <w:rsid w:val="00962F79"/>
    <w:rsid w:val="00966C7B"/>
    <w:rsid w:val="009701DC"/>
    <w:rsid w:val="009715D8"/>
    <w:rsid w:val="00976129"/>
    <w:rsid w:val="0097738C"/>
    <w:rsid w:val="009775B8"/>
    <w:rsid w:val="009811A8"/>
    <w:rsid w:val="00982001"/>
    <w:rsid w:val="00985686"/>
    <w:rsid w:val="00985A4E"/>
    <w:rsid w:val="0098659E"/>
    <w:rsid w:val="00992894"/>
    <w:rsid w:val="00995BF9"/>
    <w:rsid w:val="009A0CAF"/>
    <w:rsid w:val="009A0E49"/>
    <w:rsid w:val="009A1328"/>
    <w:rsid w:val="009A2207"/>
    <w:rsid w:val="009A30F2"/>
    <w:rsid w:val="009A5974"/>
    <w:rsid w:val="009A6FC2"/>
    <w:rsid w:val="009B0C21"/>
    <w:rsid w:val="009B0EDA"/>
    <w:rsid w:val="009B36A8"/>
    <w:rsid w:val="009B41AC"/>
    <w:rsid w:val="009B6C42"/>
    <w:rsid w:val="009D04E8"/>
    <w:rsid w:val="009D2998"/>
    <w:rsid w:val="009D31F7"/>
    <w:rsid w:val="009D32C2"/>
    <w:rsid w:val="009D50DB"/>
    <w:rsid w:val="009D67C5"/>
    <w:rsid w:val="009E0B5F"/>
    <w:rsid w:val="009E2932"/>
    <w:rsid w:val="009E3A0A"/>
    <w:rsid w:val="009E52E6"/>
    <w:rsid w:val="009E69E5"/>
    <w:rsid w:val="009F3E91"/>
    <w:rsid w:val="009F512C"/>
    <w:rsid w:val="00A008DA"/>
    <w:rsid w:val="00A0571E"/>
    <w:rsid w:val="00A07B0C"/>
    <w:rsid w:val="00A11EA9"/>
    <w:rsid w:val="00A1499B"/>
    <w:rsid w:val="00A1779A"/>
    <w:rsid w:val="00A17CCF"/>
    <w:rsid w:val="00A20CD3"/>
    <w:rsid w:val="00A23490"/>
    <w:rsid w:val="00A2524E"/>
    <w:rsid w:val="00A30A1B"/>
    <w:rsid w:val="00A314C2"/>
    <w:rsid w:val="00A376BE"/>
    <w:rsid w:val="00A44323"/>
    <w:rsid w:val="00A44B4E"/>
    <w:rsid w:val="00A44E82"/>
    <w:rsid w:val="00A450E8"/>
    <w:rsid w:val="00A519A0"/>
    <w:rsid w:val="00A519E3"/>
    <w:rsid w:val="00A52191"/>
    <w:rsid w:val="00A5489C"/>
    <w:rsid w:val="00A55310"/>
    <w:rsid w:val="00A5552E"/>
    <w:rsid w:val="00A6109F"/>
    <w:rsid w:val="00A62A2E"/>
    <w:rsid w:val="00A63E86"/>
    <w:rsid w:val="00A71C73"/>
    <w:rsid w:val="00A7308E"/>
    <w:rsid w:val="00A738D0"/>
    <w:rsid w:val="00A757C3"/>
    <w:rsid w:val="00A75E5B"/>
    <w:rsid w:val="00A7684A"/>
    <w:rsid w:val="00A82316"/>
    <w:rsid w:val="00A82369"/>
    <w:rsid w:val="00A8325F"/>
    <w:rsid w:val="00A83527"/>
    <w:rsid w:val="00A83B69"/>
    <w:rsid w:val="00A86533"/>
    <w:rsid w:val="00A90C1C"/>
    <w:rsid w:val="00A91CA2"/>
    <w:rsid w:val="00A92FB8"/>
    <w:rsid w:val="00A932EE"/>
    <w:rsid w:val="00A93A70"/>
    <w:rsid w:val="00A948F1"/>
    <w:rsid w:val="00A94CFC"/>
    <w:rsid w:val="00AA18F9"/>
    <w:rsid w:val="00AA1D7D"/>
    <w:rsid w:val="00AA2790"/>
    <w:rsid w:val="00AA3806"/>
    <w:rsid w:val="00AA7414"/>
    <w:rsid w:val="00AB139D"/>
    <w:rsid w:val="00AB2D05"/>
    <w:rsid w:val="00AB30E6"/>
    <w:rsid w:val="00AB3EFB"/>
    <w:rsid w:val="00AB4025"/>
    <w:rsid w:val="00AB4086"/>
    <w:rsid w:val="00AB67F5"/>
    <w:rsid w:val="00AC0B05"/>
    <w:rsid w:val="00AC113A"/>
    <w:rsid w:val="00AC7F9D"/>
    <w:rsid w:val="00AD079A"/>
    <w:rsid w:val="00AD1890"/>
    <w:rsid w:val="00AD19AC"/>
    <w:rsid w:val="00AD30C3"/>
    <w:rsid w:val="00AD4A6B"/>
    <w:rsid w:val="00AD702A"/>
    <w:rsid w:val="00AE2149"/>
    <w:rsid w:val="00AE33AE"/>
    <w:rsid w:val="00AE3F91"/>
    <w:rsid w:val="00AE7A8E"/>
    <w:rsid w:val="00AF2024"/>
    <w:rsid w:val="00B0053D"/>
    <w:rsid w:val="00B039E3"/>
    <w:rsid w:val="00B05D44"/>
    <w:rsid w:val="00B067B4"/>
    <w:rsid w:val="00B06D36"/>
    <w:rsid w:val="00B12BC4"/>
    <w:rsid w:val="00B14DBC"/>
    <w:rsid w:val="00B16839"/>
    <w:rsid w:val="00B21E65"/>
    <w:rsid w:val="00B22838"/>
    <w:rsid w:val="00B23B5C"/>
    <w:rsid w:val="00B30961"/>
    <w:rsid w:val="00B311CE"/>
    <w:rsid w:val="00B32B8B"/>
    <w:rsid w:val="00B33E95"/>
    <w:rsid w:val="00B35388"/>
    <w:rsid w:val="00B3720B"/>
    <w:rsid w:val="00B4325A"/>
    <w:rsid w:val="00B440E8"/>
    <w:rsid w:val="00B4477D"/>
    <w:rsid w:val="00B45D0B"/>
    <w:rsid w:val="00B53CE3"/>
    <w:rsid w:val="00B5558A"/>
    <w:rsid w:val="00B56513"/>
    <w:rsid w:val="00B64376"/>
    <w:rsid w:val="00B6570C"/>
    <w:rsid w:val="00B7401F"/>
    <w:rsid w:val="00B769CF"/>
    <w:rsid w:val="00B806C3"/>
    <w:rsid w:val="00B80D6F"/>
    <w:rsid w:val="00B84FCA"/>
    <w:rsid w:val="00B85693"/>
    <w:rsid w:val="00B9089F"/>
    <w:rsid w:val="00B91826"/>
    <w:rsid w:val="00B91AEE"/>
    <w:rsid w:val="00B93AA1"/>
    <w:rsid w:val="00B9533F"/>
    <w:rsid w:val="00B95744"/>
    <w:rsid w:val="00B95F5A"/>
    <w:rsid w:val="00B96EAD"/>
    <w:rsid w:val="00BA57FF"/>
    <w:rsid w:val="00BA5A03"/>
    <w:rsid w:val="00BA79F5"/>
    <w:rsid w:val="00BB1747"/>
    <w:rsid w:val="00BB276E"/>
    <w:rsid w:val="00BB3AB6"/>
    <w:rsid w:val="00BB766D"/>
    <w:rsid w:val="00BC007B"/>
    <w:rsid w:val="00BC0E52"/>
    <w:rsid w:val="00BC26BA"/>
    <w:rsid w:val="00BC35F8"/>
    <w:rsid w:val="00BC481B"/>
    <w:rsid w:val="00BC5A58"/>
    <w:rsid w:val="00BC77BE"/>
    <w:rsid w:val="00BD1191"/>
    <w:rsid w:val="00BD2771"/>
    <w:rsid w:val="00BD4CC5"/>
    <w:rsid w:val="00BD617C"/>
    <w:rsid w:val="00BE2F3F"/>
    <w:rsid w:val="00BF0D93"/>
    <w:rsid w:val="00BF376F"/>
    <w:rsid w:val="00BF46A6"/>
    <w:rsid w:val="00BF5454"/>
    <w:rsid w:val="00BF68CC"/>
    <w:rsid w:val="00BF71FB"/>
    <w:rsid w:val="00C0130E"/>
    <w:rsid w:val="00C04CFF"/>
    <w:rsid w:val="00C06545"/>
    <w:rsid w:val="00C10D50"/>
    <w:rsid w:val="00C134AF"/>
    <w:rsid w:val="00C158C1"/>
    <w:rsid w:val="00C168C3"/>
    <w:rsid w:val="00C220FC"/>
    <w:rsid w:val="00C23458"/>
    <w:rsid w:val="00C2374F"/>
    <w:rsid w:val="00C24DFA"/>
    <w:rsid w:val="00C24F9D"/>
    <w:rsid w:val="00C26845"/>
    <w:rsid w:val="00C30182"/>
    <w:rsid w:val="00C31B8E"/>
    <w:rsid w:val="00C31FC9"/>
    <w:rsid w:val="00C37A63"/>
    <w:rsid w:val="00C44411"/>
    <w:rsid w:val="00C46A36"/>
    <w:rsid w:val="00C47037"/>
    <w:rsid w:val="00C533B3"/>
    <w:rsid w:val="00C53625"/>
    <w:rsid w:val="00C53E9F"/>
    <w:rsid w:val="00C548BA"/>
    <w:rsid w:val="00C57784"/>
    <w:rsid w:val="00C602C1"/>
    <w:rsid w:val="00C60F5F"/>
    <w:rsid w:val="00C612FA"/>
    <w:rsid w:val="00C62CC7"/>
    <w:rsid w:val="00C63FC0"/>
    <w:rsid w:val="00C66392"/>
    <w:rsid w:val="00C67780"/>
    <w:rsid w:val="00C73D09"/>
    <w:rsid w:val="00C744F8"/>
    <w:rsid w:val="00C74C5E"/>
    <w:rsid w:val="00C75ECA"/>
    <w:rsid w:val="00C76CB5"/>
    <w:rsid w:val="00C82558"/>
    <w:rsid w:val="00C827A2"/>
    <w:rsid w:val="00C82B69"/>
    <w:rsid w:val="00C82CB3"/>
    <w:rsid w:val="00C86ACC"/>
    <w:rsid w:val="00C86E29"/>
    <w:rsid w:val="00C91B28"/>
    <w:rsid w:val="00C91F3A"/>
    <w:rsid w:val="00C93590"/>
    <w:rsid w:val="00C97021"/>
    <w:rsid w:val="00C971F8"/>
    <w:rsid w:val="00CA5446"/>
    <w:rsid w:val="00CB12E8"/>
    <w:rsid w:val="00CB1AC7"/>
    <w:rsid w:val="00CB218D"/>
    <w:rsid w:val="00CB3C63"/>
    <w:rsid w:val="00CB5625"/>
    <w:rsid w:val="00CB5797"/>
    <w:rsid w:val="00CC018F"/>
    <w:rsid w:val="00CC10FE"/>
    <w:rsid w:val="00CC1C17"/>
    <w:rsid w:val="00CC4F7F"/>
    <w:rsid w:val="00CD09E1"/>
    <w:rsid w:val="00CD1BB8"/>
    <w:rsid w:val="00CD4881"/>
    <w:rsid w:val="00CD74CC"/>
    <w:rsid w:val="00CE0F30"/>
    <w:rsid w:val="00CE1780"/>
    <w:rsid w:val="00CE4913"/>
    <w:rsid w:val="00CE66BD"/>
    <w:rsid w:val="00CF0671"/>
    <w:rsid w:val="00CF1033"/>
    <w:rsid w:val="00CF247A"/>
    <w:rsid w:val="00CF3997"/>
    <w:rsid w:val="00CF44AD"/>
    <w:rsid w:val="00CF4FC0"/>
    <w:rsid w:val="00CF7265"/>
    <w:rsid w:val="00D00ABE"/>
    <w:rsid w:val="00D03050"/>
    <w:rsid w:val="00D1072F"/>
    <w:rsid w:val="00D108A5"/>
    <w:rsid w:val="00D10BC8"/>
    <w:rsid w:val="00D10F57"/>
    <w:rsid w:val="00D14585"/>
    <w:rsid w:val="00D20EFF"/>
    <w:rsid w:val="00D215C3"/>
    <w:rsid w:val="00D24DE1"/>
    <w:rsid w:val="00D2551E"/>
    <w:rsid w:val="00D31324"/>
    <w:rsid w:val="00D36A05"/>
    <w:rsid w:val="00D36A58"/>
    <w:rsid w:val="00D42B44"/>
    <w:rsid w:val="00D53ED8"/>
    <w:rsid w:val="00D56A4E"/>
    <w:rsid w:val="00D604AC"/>
    <w:rsid w:val="00D612E3"/>
    <w:rsid w:val="00D6132D"/>
    <w:rsid w:val="00D64857"/>
    <w:rsid w:val="00D6493A"/>
    <w:rsid w:val="00D649A5"/>
    <w:rsid w:val="00D64E6E"/>
    <w:rsid w:val="00D650FA"/>
    <w:rsid w:val="00D66AEE"/>
    <w:rsid w:val="00D67875"/>
    <w:rsid w:val="00D719B9"/>
    <w:rsid w:val="00D71A2E"/>
    <w:rsid w:val="00D71E86"/>
    <w:rsid w:val="00D731C6"/>
    <w:rsid w:val="00D73F61"/>
    <w:rsid w:val="00D745C5"/>
    <w:rsid w:val="00D75327"/>
    <w:rsid w:val="00D76831"/>
    <w:rsid w:val="00D77CD1"/>
    <w:rsid w:val="00D80BD1"/>
    <w:rsid w:val="00D80C36"/>
    <w:rsid w:val="00D81A32"/>
    <w:rsid w:val="00D86EE1"/>
    <w:rsid w:val="00D95205"/>
    <w:rsid w:val="00D95E90"/>
    <w:rsid w:val="00D96126"/>
    <w:rsid w:val="00D9667B"/>
    <w:rsid w:val="00DA2AC4"/>
    <w:rsid w:val="00DA2FD5"/>
    <w:rsid w:val="00DA74C2"/>
    <w:rsid w:val="00DB4B1C"/>
    <w:rsid w:val="00DB5085"/>
    <w:rsid w:val="00DB619F"/>
    <w:rsid w:val="00DC1062"/>
    <w:rsid w:val="00DC132C"/>
    <w:rsid w:val="00DC2A70"/>
    <w:rsid w:val="00DC2B3A"/>
    <w:rsid w:val="00DD1523"/>
    <w:rsid w:val="00DD4191"/>
    <w:rsid w:val="00DD43F0"/>
    <w:rsid w:val="00DD44DE"/>
    <w:rsid w:val="00DE09AB"/>
    <w:rsid w:val="00DE4A3F"/>
    <w:rsid w:val="00DE5A99"/>
    <w:rsid w:val="00DF3881"/>
    <w:rsid w:val="00DF4367"/>
    <w:rsid w:val="00DF7291"/>
    <w:rsid w:val="00DF74E5"/>
    <w:rsid w:val="00E0574A"/>
    <w:rsid w:val="00E05D9D"/>
    <w:rsid w:val="00E1243D"/>
    <w:rsid w:val="00E12742"/>
    <w:rsid w:val="00E146D4"/>
    <w:rsid w:val="00E21D37"/>
    <w:rsid w:val="00E220ED"/>
    <w:rsid w:val="00E22B44"/>
    <w:rsid w:val="00E24F20"/>
    <w:rsid w:val="00E253AA"/>
    <w:rsid w:val="00E3073F"/>
    <w:rsid w:val="00E30ACD"/>
    <w:rsid w:val="00E32735"/>
    <w:rsid w:val="00E36122"/>
    <w:rsid w:val="00E44431"/>
    <w:rsid w:val="00E44B88"/>
    <w:rsid w:val="00E44F84"/>
    <w:rsid w:val="00E45809"/>
    <w:rsid w:val="00E65096"/>
    <w:rsid w:val="00E66E36"/>
    <w:rsid w:val="00E702ED"/>
    <w:rsid w:val="00E709A4"/>
    <w:rsid w:val="00E712FE"/>
    <w:rsid w:val="00E772DB"/>
    <w:rsid w:val="00E81367"/>
    <w:rsid w:val="00E8185F"/>
    <w:rsid w:val="00E82A45"/>
    <w:rsid w:val="00E86012"/>
    <w:rsid w:val="00E86BAB"/>
    <w:rsid w:val="00E94E10"/>
    <w:rsid w:val="00E95140"/>
    <w:rsid w:val="00E96743"/>
    <w:rsid w:val="00E96A42"/>
    <w:rsid w:val="00EA49C5"/>
    <w:rsid w:val="00EA4DC8"/>
    <w:rsid w:val="00EA5820"/>
    <w:rsid w:val="00EA6279"/>
    <w:rsid w:val="00EA6C41"/>
    <w:rsid w:val="00EA6D75"/>
    <w:rsid w:val="00EB3574"/>
    <w:rsid w:val="00EB3D66"/>
    <w:rsid w:val="00EB5027"/>
    <w:rsid w:val="00EB75F6"/>
    <w:rsid w:val="00EC1836"/>
    <w:rsid w:val="00EC38F9"/>
    <w:rsid w:val="00EC3990"/>
    <w:rsid w:val="00EC484B"/>
    <w:rsid w:val="00EC7E58"/>
    <w:rsid w:val="00ED0A58"/>
    <w:rsid w:val="00ED15FA"/>
    <w:rsid w:val="00ED27E8"/>
    <w:rsid w:val="00ED5C9F"/>
    <w:rsid w:val="00EE3AFB"/>
    <w:rsid w:val="00EE6E9A"/>
    <w:rsid w:val="00EE7DA5"/>
    <w:rsid w:val="00EF2AC4"/>
    <w:rsid w:val="00EF397E"/>
    <w:rsid w:val="00EF41CD"/>
    <w:rsid w:val="00EF51CE"/>
    <w:rsid w:val="00F05AE9"/>
    <w:rsid w:val="00F05D6D"/>
    <w:rsid w:val="00F06F68"/>
    <w:rsid w:val="00F12EF5"/>
    <w:rsid w:val="00F14C5F"/>
    <w:rsid w:val="00F15E9D"/>
    <w:rsid w:val="00F24C2D"/>
    <w:rsid w:val="00F252C3"/>
    <w:rsid w:val="00F25584"/>
    <w:rsid w:val="00F27D59"/>
    <w:rsid w:val="00F27F7F"/>
    <w:rsid w:val="00F302B9"/>
    <w:rsid w:val="00F30421"/>
    <w:rsid w:val="00F329BF"/>
    <w:rsid w:val="00F32A81"/>
    <w:rsid w:val="00F35583"/>
    <w:rsid w:val="00F362C3"/>
    <w:rsid w:val="00F37E20"/>
    <w:rsid w:val="00F40C82"/>
    <w:rsid w:val="00F4197F"/>
    <w:rsid w:val="00F45DFF"/>
    <w:rsid w:val="00F46998"/>
    <w:rsid w:val="00F5382D"/>
    <w:rsid w:val="00F53D9C"/>
    <w:rsid w:val="00F5462B"/>
    <w:rsid w:val="00F57205"/>
    <w:rsid w:val="00F61386"/>
    <w:rsid w:val="00F634AD"/>
    <w:rsid w:val="00F63677"/>
    <w:rsid w:val="00F66396"/>
    <w:rsid w:val="00F757A7"/>
    <w:rsid w:val="00F75B81"/>
    <w:rsid w:val="00F77CF8"/>
    <w:rsid w:val="00F804C4"/>
    <w:rsid w:val="00F80C7E"/>
    <w:rsid w:val="00F82F83"/>
    <w:rsid w:val="00F835AE"/>
    <w:rsid w:val="00F836A4"/>
    <w:rsid w:val="00F84506"/>
    <w:rsid w:val="00F873AC"/>
    <w:rsid w:val="00F90C64"/>
    <w:rsid w:val="00F92B30"/>
    <w:rsid w:val="00F933B9"/>
    <w:rsid w:val="00F94674"/>
    <w:rsid w:val="00F94919"/>
    <w:rsid w:val="00F94A59"/>
    <w:rsid w:val="00FA25B6"/>
    <w:rsid w:val="00FA2FAF"/>
    <w:rsid w:val="00FA54F6"/>
    <w:rsid w:val="00FA5E94"/>
    <w:rsid w:val="00FA64B1"/>
    <w:rsid w:val="00FA70F3"/>
    <w:rsid w:val="00FA71CD"/>
    <w:rsid w:val="00FB0453"/>
    <w:rsid w:val="00FB0C07"/>
    <w:rsid w:val="00FB298D"/>
    <w:rsid w:val="00FC1439"/>
    <w:rsid w:val="00FC3F65"/>
    <w:rsid w:val="00FC71DA"/>
    <w:rsid w:val="00FC724B"/>
    <w:rsid w:val="00FC7668"/>
    <w:rsid w:val="00FC7910"/>
    <w:rsid w:val="00FD01E0"/>
    <w:rsid w:val="00FE1627"/>
    <w:rsid w:val="00FE1DF9"/>
    <w:rsid w:val="00FE6770"/>
    <w:rsid w:val="00FE7E42"/>
    <w:rsid w:val="00FF092F"/>
    <w:rsid w:val="00FF0DA7"/>
    <w:rsid w:val="00FF44E0"/>
    <w:rsid w:val="00FF5928"/>
    <w:rsid w:val="00FF6C72"/>
    <w:rsid w:val="02A353E1"/>
    <w:rsid w:val="03241601"/>
    <w:rsid w:val="038E5244"/>
    <w:rsid w:val="04561A95"/>
    <w:rsid w:val="072715B4"/>
    <w:rsid w:val="07ED44BE"/>
    <w:rsid w:val="08C365DE"/>
    <w:rsid w:val="09B71227"/>
    <w:rsid w:val="0C126BE9"/>
    <w:rsid w:val="0DCC56A5"/>
    <w:rsid w:val="0E42322F"/>
    <w:rsid w:val="0E536488"/>
    <w:rsid w:val="0F16254C"/>
    <w:rsid w:val="0F843E73"/>
    <w:rsid w:val="0F8E4F6C"/>
    <w:rsid w:val="12E143BF"/>
    <w:rsid w:val="132228E6"/>
    <w:rsid w:val="132C5AE5"/>
    <w:rsid w:val="153E6DFE"/>
    <w:rsid w:val="16BA2357"/>
    <w:rsid w:val="17C67924"/>
    <w:rsid w:val="17DF37C1"/>
    <w:rsid w:val="18194E5B"/>
    <w:rsid w:val="186E164B"/>
    <w:rsid w:val="198F4621"/>
    <w:rsid w:val="1A0C526C"/>
    <w:rsid w:val="1B5A57C5"/>
    <w:rsid w:val="1B88138D"/>
    <w:rsid w:val="1C235CFC"/>
    <w:rsid w:val="1C393474"/>
    <w:rsid w:val="1C626D9C"/>
    <w:rsid w:val="1D8921BF"/>
    <w:rsid w:val="1E9F63B6"/>
    <w:rsid w:val="1EAC20AB"/>
    <w:rsid w:val="1F8F0033"/>
    <w:rsid w:val="20270F45"/>
    <w:rsid w:val="20C41A43"/>
    <w:rsid w:val="21464D54"/>
    <w:rsid w:val="21492215"/>
    <w:rsid w:val="2186466B"/>
    <w:rsid w:val="21893DCC"/>
    <w:rsid w:val="21BA6BDA"/>
    <w:rsid w:val="23751ADF"/>
    <w:rsid w:val="245F19BC"/>
    <w:rsid w:val="246F29D3"/>
    <w:rsid w:val="2483647E"/>
    <w:rsid w:val="25856C36"/>
    <w:rsid w:val="26AD38E3"/>
    <w:rsid w:val="278C1EB7"/>
    <w:rsid w:val="27D02908"/>
    <w:rsid w:val="27D556DF"/>
    <w:rsid w:val="281278AA"/>
    <w:rsid w:val="289A6ADC"/>
    <w:rsid w:val="28A300A0"/>
    <w:rsid w:val="2A954815"/>
    <w:rsid w:val="2B386221"/>
    <w:rsid w:val="2B4754FB"/>
    <w:rsid w:val="2BA518E1"/>
    <w:rsid w:val="2BB04FEA"/>
    <w:rsid w:val="2D7E65A2"/>
    <w:rsid w:val="2D8F7C42"/>
    <w:rsid w:val="2F083808"/>
    <w:rsid w:val="2F4763D4"/>
    <w:rsid w:val="2F552AC2"/>
    <w:rsid w:val="2F84180C"/>
    <w:rsid w:val="2FA26A13"/>
    <w:rsid w:val="2FC54BC7"/>
    <w:rsid w:val="30F074D3"/>
    <w:rsid w:val="31B30944"/>
    <w:rsid w:val="3249090A"/>
    <w:rsid w:val="325C38F6"/>
    <w:rsid w:val="33F079B3"/>
    <w:rsid w:val="3421711A"/>
    <w:rsid w:val="34CE54F3"/>
    <w:rsid w:val="34E4777F"/>
    <w:rsid w:val="35305AF0"/>
    <w:rsid w:val="358402B9"/>
    <w:rsid w:val="35B93273"/>
    <w:rsid w:val="35C65D6C"/>
    <w:rsid w:val="36872565"/>
    <w:rsid w:val="36B203D9"/>
    <w:rsid w:val="36C2526A"/>
    <w:rsid w:val="372238D5"/>
    <w:rsid w:val="378C6481"/>
    <w:rsid w:val="37BF1123"/>
    <w:rsid w:val="37DE2CC7"/>
    <w:rsid w:val="38572D0C"/>
    <w:rsid w:val="39196525"/>
    <w:rsid w:val="3A1424A1"/>
    <w:rsid w:val="3AC968B1"/>
    <w:rsid w:val="3ADE7B13"/>
    <w:rsid w:val="3B394AEE"/>
    <w:rsid w:val="3B6D0F4A"/>
    <w:rsid w:val="3BC93ECF"/>
    <w:rsid w:val="3C0019A1"/>
    <w:rsid w:val="3C7056CD"/>
    <w:rsid w:val="3C9F5583"/>
    <w:rsid w:val="3CE11160"/>
    <w:rsid w:val="3D406863"/>
    <w:rsid w:val="3E23240C"/>
    <w:rsid w:val="3E243139"/>
    <w:rsid w:val="3EDC7871"/>
    <w:rsid w:val="3F766971"/>
    <w:rsid w:val="400C02B7"/>
    <w:rsid w:val="41EE4ADF"/>
    <w:rsid w:val="44AA183B"/>
    <w:rsid w:val="44E3011D"/>
    <w:rsid w:val="45B921BC"/>
    <w:rsid w:val="46D85CF7"/>
    <w:rsid w:val="4759349C"/>
    <w:rsid w:val="49FD5D9F"/>
    <w:rsid w:val="4A176DCD"/>
    <w:rsid w:val="4BC468B1"/>
    <w:rsid w:val="4C6729B1"/>
    <w:rsid w:val="4CAB268B"/>
    <w:rsid w:val="4D7673A4"/>
    <w:rsid w:val="4E0062C6"/>
    <w:rsid w:val="4E611CEC"/>
    <w:rsid w:val="4F2C259D"/>
    <w:rsid w:val="50D61560"/>
    <w:rsid w:val="522E6293"/>
    <w:rsid w:val="53057EDB"/>
    <w:rsid w:val="535B5A45"/>
    <w:rsid w:val="542C1497"/>
    <w:rsid w:val="547075D6"/>
    <w:rsid w:val="55380614"/>
    <w:rsid w:val="55A96E65"/>
    <w:rsid w:val="55F85209"/>
    <w:rsid w:val="566D0271"/>
    <w:rsid w:val="57B057AC"/>
    <w:rsid w:val="58231C2C"/>
    <w:rsid w:val="59345076"/>
    <w:rsid w:val="598F648F"/>
    <w:rsid w:val="59B15C5C"/>
    <w:rsid w:val="5CE96606"/>
    <w:rsid w:val="5DBD2C37"/>
    <w:rsid w:val="5E3E1168"/>
    <w:rsid w:val="5E5977C7"/>
    <w:rsid w:val="5EA61E00"/>
    <w:rsid w:val="606049A2"/>
    <w:rsid w:val="606676ED"/>
    <w:rsid w:val="60E16353"/>
    <w:rsid w:val="616217DC"/>
    <w:rsid w:val="61DF603B"/>
    <w:rsid w:val="62F83BF9"/>
    <w:rsid w:val="63731AE4"/>
    <w:rsid w:val="639E1C8C"/>
    <w:rsid w:val="63CD05A1"/>
    <w:rsid w:val="63E710AD"/>
    <w:rsid w:val="64AB130C"/>
    <w:rsid w:val="650A6CFE"/>
    <w:rsid w:val="66CE3D11"/>
    <w:rsid w:val="66E3417D"/>
    <w:rsid w:val="679F5524"/>
    <w:rsid w:val="67AE2B2E"/>
    <w:rsid w:val="67AE7F51"/>
    <w:rsid w:val="68660FC4"/>
    <w:rsid w:val="68E76220"/>
    <w:rsid w:val="69B55270"/>
    <w:rsid w:val="69CB177C"/>
    <w:rsid w:val="6AAE27AE"/>
    <w:rsid w:val="6B160FA3"/>
    <w:rsid w:val="6B5E25C8"/>
    <w:rsid w:val="6BCA3618"/>
    <w:rsid w:val="6BDC1C17"/>
    <w:rsid w:val="6C00333F"/>
    <w:rsid w:val="6C080535"/>
    <w:rsid w:val="6CA65B71"/>
    <w:rsid w:val="6E2E1D2B"/>
    <w:rsid w:val="6EE51997"/>
    <w:rsid w:val="6F616041"/>
    <w:rsid w:val="6F764C1C"/>
    <w:rsid w:val="6FED1600"/>
    <w:rsid w:val="704762AF"/>
    <w:rsid w:val="71CB0828"/>
    <w:rsid w:val="72600832"/>
    <w:rsid w:val="72817D52"/>
    <w:rsid w:val="729556E2"/>
    <w:rsid w:val="742A2407"/>
    <w:rsid w:val="753624A5"/>
    <w:rsid w:val="757F04DE"/>
    <w:rsid w:val="760F5D0D"/>
    <w:rsid w:val="765B0FC3"/>
    <w:rsid w:val="76B61368"/>
    <w:rsid w:val="779856AD"/>
    <w:rsid w:val="78047581"/>
    <w:rsid w:val="791B54B2"/>
    <w:rsid w:val="795A1163"/>
    <w:rsid w:val="79B76C11"/>
    <w:rsid w:val="79EE2FB2"/>
    <w:rsid w:val="7B046B8E"/>
    <w:rsid w:val="7BC877C0"/>
    <w:rsid w:val="7C7B2E38"/>
    <w:rsid w:val="7CBA6668"/>
    <w:rsid w:val="7DB54128"/>
    <w:rsid w:val="7E786F03"/>
    <w:rsid w:val="7F09092F"/>
    <w:rsid w:val="7F3E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autoRedefine/>
    <w:qFormat/>
    <w:uiPriority w:val="0"/>
    <w:pPr>
      <w:jc w:val="left"/>
    </w:pPr>
    <w:rPr>
      <w:rFonts w:ascii="Arial" w:hAnsi="Arial" w:eastAsia="黑体" w:cs="Arial"/>
    </w:rPr>
  </w:style>
  <w:style w:type="paragraph" w:styleId="8">
    <w:name w:val="Body Text"/>
    <w:basedOn w:val="1"/>
    <w:link w:val="53"/>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3"/>
    <w:autoRedefine/>
    <w:qFormat/>
    <w:uiPriority w:val="99"/>
    <w:rPr>
      <w:rFonts w:ascii="宋体" w:hAnsi="Courier New" w:eastAsiaTheme="minorEastAsia" w:cstheme="minorBidi"/>
      <w:szCs w:val="22"/>
    </w:rPr>
  </w:style>
  <w:style w:type="paragraph" w:styleId="12">
    <w:name w:val="Date"/>
    <w:basedOn w:val="1"/>
    <w:next w:val="1"/>
    <w:link w:val="40"/>
    <w:autoRedefine/>
    <w:qFormat/>
    <w:uiPriority w:val="0"/>
    <w:rPr>
      <w:rFonts w:ascii="Arial" w:hAnsi="Arial" w:eastAsia="宋体" w:cs="Arial"/>
      <w:b/>
      <w:sz w:val="28"/>
    </w:rPr>
  </w:style>
  <w:style w:type="paragraph" w:styleId="13">
    <w:name w:val="Balloon Text"/>
    <w:basedOn w:val="1"/>
    <w:link w:val="27"/>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Body Text First Indent"/>
    <w:basedOn w:val="8"/>
    <w:autoRedefine/>
    <w:unhideWhenUsed/>
    <w:qFormat/>
    <w:uiPriority w:val="99"/>
    <w:pPr>
      <w:ind w:firstLine="420" w:firstLineChars="1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b/>
      <w:bCs/>
    </w:rPr>
  </w:style>
  <w:style w:type="character" w:styleId="25">
    <w:name w:val="Emphasis"/>
    <w:basedOn w:val="23"/>
    <w:qFormat/>
    <w:uiPriority w:val="0"/>
    <w:rPr>
      <w:i/>
    </w:rPr>
  </w:style>
  <w:style w:type="character" w:styleId="26">
    <w:name w:val="Hyperlink"/>
    <w:basedOn w:val="23"/>
    <w:autoRedefine/>
    <w:unhideWhenUsed/>
    <w:qFormat/>
    <w:uiPriority w:val="99"/>
    <w:rPr>
      <w:color w:val="0000FF" w:themeColor="hyperlink"/>
      <w:u w:val="single"/>
      <w14:textFill>
        <w14:solidFill>
          <w14:schemeClr w14:val="hlink"/>
        </w14:solidFill>
      </w14:textFill>
    </w:rPr>
  </w:style>
  <w:style w:type="character" w:customStyle="1" w:styleId="27">
    <w:name w:val="批注框文本 Char"/>
    <w:basedOn w:val="23"/>
    <w:link w:val="13"/>
    <w:autoRedefine/>
    <w:semiHidden/>
    <w:qFormat/>
    <w:uiPriority w:val="99"/>
    <w:rPr>
      <w:rFonts w:ascii="@仿宋_GB2312" w:hAnsi="@仿宋_GB2312" w:eastAsia="@仿宋_GB2312" w:cs="@仿宋_GB2312"/>
      <w:sz w:val="18"/>
      <w:szCs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Char"/>
    <w:basedOn w:val="23"/>
    <w:link w:val="15"/>
    <w:autoRedefine/>
    <w:qFormat/>
    <w:uiPriority w:val="0"/>
    <w:rPr>
      <w:rFonts w:ascii="@仿宋_GB2312" w:hAnsi="@仿宋_GB2312" w:eastAsia="@仿宋_GB2312" w:cs="@仿宋_GB2312"/>
      <w:sz w:val="18"/>
      <w:szCs w:val="18"/>
    </w:rPr>
  </w:style>
  <w:style w:type="character" w:customStyle="1" w:styleId="32">
    <w:name w:val="页脚 Char"/>
    <w:basedOn w:val="23"/>
    <w:link w:val="14"/>
    <w:autoRedefine/>
    <w:qFormat/>
    <w:uiPriority w:val="99"/>
    <w:rPr>
      <w:rFonts w:ascii="@仿宋_GB2312" w:hAnsi="@仿宋_GB2312" w:eastAsia="@仿宋_GB2312" w:cs="@仿宋_GB2312"/>
      <w:sz w:val="18"/>
      <w:szCs w:val="18"/>
    </w:rPr>
  </w:style>
  <w:style w:type="character" w:customStyle="1" w:styleId="33">
    <w:name w:val="纯文本 Char"/>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Char"/>
    <w:link w:val="12"/>
    <w:autoRedefine/>
    <w:qFormat/>
    <w:uiPriority w:val="0"/>
    <w:rPr>
      <w:rFonts w:ascii="Arial" w:hAnsi="Arial" w:eastAsia="宋体" w:cs="Arial"/>
      <w:b/>
      <w:sz w:val="28"/>
      <w:szCs w:val="20"/>
    </w:rPr>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Char1"/>
    <w:link w:val="7"/>
    <w:autoRedefine/>
    <w:qFormat/>
    <w:uiPriority w:val="0"/>
    <w:rPr>
      <w:rFonts w:ascii="Arial" w:hAnsi="Arial" w:eastAsia="黑体" w:cs="Arial"/>
      <w:szCs w:val="20"/>
    </w:rPr>
  </w:style>
  <w:style w:type="character" w:customStyle="1" w:styleId="45">
    <w:name w:val="标题 1 Char"/>
    <w:basedOn w:val="23"/>
    <w:link w:val="2"/>
    <w:autoRedefine/>
    <w:qFormat/>
    <w:uiPriority w:val="9"/>
    <w:rPr>
      <w:rFonts w:ascii="@仿宋_GB2312" w:hAnsi="@仿宋_GB2312" w:eastAsia="@仿宋_GB2312" w:cs="@仿宋_GB2312"/>
      <w:b/>
      <w:bCs/>
      <w:kern w:val="44"/>
      <w:sz w:val="44"/>
      <w:szCs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Char"/>
    <w:basedOn w:val="23"/>
    <w:link w:val="4"/>
    <w:autoRedefine/>
    <w:semiHidden/>
    <w:qFormat/>
    <w:uiPriority w:val="9"/>
    <w:rPr>
      <w:rFonts w:ascii="@仿宋_GB2312" w:hAnsi="@仿宋_GB2312" w:eastAsia="@仿宋_GB2312" w:cs="@仿宋_GB2312"/>
      <w:b/>
      <w:bCs/>
      <w:sz w:val="32"/>
      <w:szCs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Char"/>
    <w:link w:val="5"/>
    <w:autoRedefine/>
    <w:qFormat/>
    <w:uiPriority w:val="0"/>
    <w:rPr>
      <w:rFonts w:ascii="@仿宋_GB2312" w:hAnsi="@仿宋_GB2312" w:eastAsia="@仿宋_GB2312" w:cs="@仿宋_GB2312"/>
      <w:b/>
      <w:bCs/>
      <w:sz w:val="28"/>
      <w:szCs w:val="28"/>
    </w:rPr>
  </w:style>
  <w:style w:type="character" w:customStyle="1" w:styleId="53">
    <w:name w:val="正文文本 Char"/>
    <w:basedOn w:val="23"/>
    <w:link w:val="8"/>
    <w:autoRedefine/>
    <w:qFormat/>
    <w:uiPriority w:val="0"/>
    <w:rPr>
      <w:rFonts w:ascii="@微软简标宋" w:hAnsi="@微软简标宋" w:eastAsia="@微软简标宋" w:cs="@微软简标宋"/>
      <w:szCs w:val="24"/>
      <w:lang w:val="zh-CN" w:eastAsia="zh-CN"/>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Table Text"/>
    <w:basedOn w:val="1"/>
    <w:autoRedefine/>
    <w:semiHidden/>
    <w:qFormat/>
    <w:uiPriority w:val="0"/>
    <w:rPr>
      <w:rFonts w:ascii="Arial" w:hAnsi="Arial" w:eastAsia="Arial" w:cs="Arial"/>
      <w:sz w:val="21"/>
      <w:szCs w:val="21"/>
      <w:lang w:val="en-US" w:eastAsia="en-US" w:bidi="ar-SA"/>
    </w:rPr>
  </w:style>
  <w:style w:type="paragraph" w:customStyle="1" w:styleId="5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列出段落1"/>
    <w:basedOn w:val="1"/>
    <w:autoRedefine/>
    <w:qFormat/>
    <w:uiPriority w:val="0"/>
    <w:pPr>
      <w:ind w:firstLine="420" w:firstLineChars="200"/>
    </w:pPr>
    <w:rPr>
      <w:szCs w:val="21"/>
    </w:rPr>
  </w:style>
  <w:style w:type="paragraph" w:customStyle="1" w:styleId="58">
    <w:name w:val="保留正文"/>
    <w:basedOn w:val="8"/>
    <w:qFormat/>
    <w:uiPriority w:val="0"/>
    <w:pPr>
      <w:keepNext/>
      <w:widowControl w:val="0"/>
      <w:spacing w:after="160"/>
    </w:pPr>
    <w:rPr>
      <w:sz w:val="21"/>
    </w:rPr>
  </w:style>
  <w:style w:type="paragraph" w:customStyle="1" w:styleId="59">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60">
    <w:name w:val="p0"/>
    <w:basedOn w:val="1"/>
    <w:qFormat/>
    <w:uiPriority w:val="0"/>
    <w:pPr>
      <w:widowControl/>
    </w:pPr>
    <w:rPr>
      <w:rFonts w:ascii="Times New Roman" w:hAnsi="Times New Roman"/>
      <w:kern w:val="0"/>
      <w:szCs w:val="21"/>
    </w:rPr>
  </w:style>
  <w:style w:type="paragraph" w:customStyle="1" w:styleId="6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AE9DD-6CAC-49B8-A987-8523A9411FE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62</Pages>
  <Words>2639</Words>
  <Characters>3005</Characters>
  <Lines>222</Lines>
  <Paragraphs>62</Paragraphs>
  <TotalTime>140</TotalTime>
  <ScaleCrop>false</ScaleCrop>
  <LinksUpToDate>false</LinksUpToDate>
  <CharactersWithSpaces>3238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WJL</cp:lastModifiedBy>
  <cp:lastPrinted>2019-12-07T15:21:00Z</cp:lastPrinted>
  <dcterms:modified xsi:type="dcterms:W3CDTF">2026-03-19T06:35:47Z</dcterms:modified>
  <cp:revision>2888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25EFA31FA3D548EFB577499E32833EE0_12</vt:lpwstr>
  </property>
  <property fmtid="{D5CDD505-2E9C-101B-9397-08002B2CF9AE}" pid="4" name="KSOTemplateDocerSaveRecord">
    <vt:lpwstr>eyJoZGlkIjoiMDdiNDdkYzg3MzliZTAxYWMwMWRiZTk2YThlYTA5NDkiLCJ1c2VySWQiOiIyNzM4ODc0In0=</vt:lpwstr>
  </property>
</Properties>
</file>