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37A5E">
      <w:pPr>
        <w:tabs>
          <w:tab w:val="left" w:pos="2360"/>
        </w:tabs>
        <w:spacing w:line="480" w:lineRule="auto"/>
        <w:jc w:val="center"/>
        <w:outlineLvl w:val="1"/>
        <w:rPr>
          <w:rFonts w:hint="eastAsia" w:ascii="仿宋" w:hAnsi="仿宋" w:eastAsia="仿宋" w:cs="仿宋"/>
          <w:b/>
          <w:bCs/>
          <w:sz w:val="44"/>
          <w:szCs w:val="44"/>
          <w:highlight w:val="none"/>
        </w:rPr>
      </w:pPr>
      <w:bookmarkStart w:id="0" w:name="_Toc12324"/>
      <w:bookmarkStart w:id="1" w:name="_Toc32593"/>
      <w:bookmarkStart w:id="7" w:name="_GoBack"/>
      <w:r>
        <w:rPr>
          <w:rFonts w:hint="eastAsia" w:ascii="仿宋" w:hAnsi="仿宋" w:eastAsia="仿宋" w:cs="仿宋"/>
          <w:b/>
          <w:bCs/>
          <w:sz w:val="44"/>
          <w:szCs w:val="44"/>
          <w:highlight w:val="none"/>
        </w:rPr>
        <w:t>安徽医科大学附属宿州医院（宿州市立医院）</w:t>
      </w:r>
      <w:r>
        <w:rPr>
          <w:rFonts w:hint="eastAsia" w:ascii="仿宋" w:hAnsi="仿宋" w:eastAsia="仿宋" w:cs="仿宋"/>
          <w:b/>
          <w:bCs/>
          <w:sz w:val="44"/>
          <w:szCs w:val="44"/>
          <w:highlight w:val="none"/>
          <w:lang w:val="en-US" w:eastAsia="zh-CN"/>
        </w:rPr>
        <w:t>医疗器械/诊断试剂</w:t>
      </w:r>
      <w:r>
        <w:rPr>
          <w:rFonts w:hint="eastAsia" w:ascii="仿宋" w:hAnsi="仿宋" w:eastAsia="仿宋" w:cs="仿宋"/>
          <w:b/>
          <w:bCs/>
          <w:sz w:val="44"/>
          <w:szCs w:val="44"/>
          <w:highlight w:val="none"/>
        </w:rPr>
        <w:t>临床试验伦理审查</w:t>
      </w:r>
      <w:bookmarkEnd w:id="0"/>
      <w:r>
        <w:rPr>
          <w:rFonts w:hint="eastAsia" w:ascii="仿宋" w:hAnsi="仿宋" w:eastAsia="仿宋" w:cs="仿宋"/>
          <w:b/>
          <w:bCs/>
          <w:sz w:val="44"/>
          <w:szCs w:val="44"/>
          <w:highlight w:val="none"/>
        </w:rPr>
        <w:t>申请指南</w:t>
      </w:r>
    </w:p>
    <w:p w14:paraId="21ED2EF6">
      <w:pPr>
        <w:tabs>
          <w:tab w:val="left" w:pos="2360"/>
        </w:tabs>
        <w:spacing w:line="480" w:lineRule="auto"/>
        <w:jc w:val="center"/>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一、机构立项审查</w:t>
      </w:r>
    </w:p>
    <w:p w14:paraId="4EC66C17">
      <w:pPr>
        <w:tabs>
          <w:tab w:val="left" w:pos="2360"/>
        </w:tabs>
        <w:spacing w:line="480" w:lineRule="auto"/>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申办方或研究者提交伦理审查申请前，必须将相关材料交机构办公室审核，并通过机构立项审查，出具审议结论后，方可申请伦理审查。     </w:t>
      </w:r>
    </w:p>
    <w:p w14:paraId="4CB36FC2">
      <w:pPr>
        <w:tabs>
          <w:tab w:val="left" w:pos="2360"/>
        </w:tabs>
        <w:spacing w:line="480" w:lineRule="auto"/>
        <w:jc w:val="center"/>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二、伦理审查</w:t>
      </w:r>
    </w:p>
    <w:p w14:paraId="4FB4CA34">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 所有在我院进行的临床试验必须在机构立项审查通过后提交伦理委员会进行初始审查，获得批准后方可实施，审查决定有效期最长不超过12个月，对于超过一年的临床研究需进行跟踪审查，直到不再从受试者那里产生新的数据为止。</w:t>
      </w:r>
    </w:p>
    <w:p w14:paraId="02275401">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 在研究进行期间，临床研究方案的任何修改，包括但不限于对主要研究者的变更、研究方案、知情同意书、招募广告和提供给受试者的其他书面等资料所作的任何修订，均应向伦理委员会提交修正案审查申请，经伦理委员会批准后方可实施（避免对受试者紧急伤害的修正方案等可以先执行，然后及时报告、审查和批准）。修正案伦理批件及相关材料报机构备案。</w:t>
      </w:r>
    </w:p>
    <w:p w14:paraId="7E1D10D1">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 本中心研究期间产生的可能相关器械类严重不良事件，应该在发生后24小时内报告机构和伦理及法规规定的其他单位和部门。</w:t>
      </w:r>
    </w:p>
    <w:p w14:paraId="13861BE7">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 所有批准的临床研究均需在伦理委员会审查意见一年内（首次批准伦理委员会审查意见日期，且提前1个月）提交年度跟踪审查报告。</w:t>
      </w:r>
    </w:p>
    <w:p w14:paraId="3B129D06">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 当出现以下情况时，需提交违背方案报告：</w:t>
      </w:r>
    </w:p>
    <w:p w14:paraId="20F71855">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严重违背方案：研究纳入了不符合纳入标准或符合排除标准的受试者，符合中止试验规定而未让受试者退出研究，给予错误治疗或剂量，给予方案禁止的合并用药等没有遵从方案开展研究的情况；或可能对受试者的权益/健康以及研究的科学性造成显著影响等违背GCP原则的情况。</w:t>
      </w:r>
    </w:p>
    <w:p w14:paraId="753B985F">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（2）持续违背方案（指同一研究人员的同一违规行为在被要求纠正后，再次发生），或研究者不配合监查/稽查，或对违规事件不予以纠正。</w:t>
      </w:r>
    </w:p>
    <w:p w14:paraId="076D06FA">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 研究者/申办者暂停或提前终止临床研究，应及时向机构和伦理委员会提交暂停/终止研究报告。暂停的临床研究再启动，需要填写暂停项目再启动申请。</w:t>
      </w:r>
    </w:p>
    <w:p w14:paraId="00CE7C84">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 完成临床研究，应及时向机构和伦理委员会提交研究完成报告。</w:t>
      </w:r>
    </w:p>
    <w:p w14:paraId="5DF8FDF5">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 上述初始审查后，按伦理审查意见“必要的修改后同意”的项目，对方案进行修改后，应以“复审申请”的方式再次送审，经伦理委员会批准后方可实施。</w:t>
      </w:r>
    </w:p>
    <w:p w14:paraId="211D659D">
      <w:pPr>
        <w:widowControl/>
        <w:spacing w:line="480" w:lineRule="auto"/>
        <w:jc w:val="left"/>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t>三、需要提交的材料</w:t>
      </w:r>
    </w:p>
    <w:p w14:paraId="052B93A8">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1、初始审查</w:t>
      </w:r>
    </w:p>
    <w:p w14:paraId="2C60AA02">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临床试验</w:t>
      </w:r>
      <w:r>
        <w:rPr>
          <w:rFonts w:hint="eastAsia" w:ascii="仿宋" w:hAnsi="仿宋" w:eastAsia="仿宋" w:cs="仿宋"/>
          <w:sz w:val="28"/>
          <w:szCs w:val="28"/>
          <w:highlight w:val="none"/>
        </w:rPr>
        <w:t>申请报告</w:t>
      </w:r>
    </w:p>
    <w:p w14:paraId="0E889E70">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临床试验</w:t>
      </w:r>
      <w:r>
        <w:rPr>
          <w:rFonts w:hint="eastAsia" w:ascii="仿宋" w:hAnsi="仿宋" w:eastAsia="仿宋" w:cs="仿宋"/>
          <w:sz w:val="28"/>
          <w:szCs w:val="28"/>
          <w:highlight w:val="none"/>
        </w:rPr>
        <w:t>伦理审查申请表</w:t>
      </w:r>
    </w:p>
    <w:p w14:paraId="1FD3E2A4">
      <w:pPr>
        <w:numPr>
          <w:ilvl w:val="0"/>
          <w:numId w:val="1"/>
        </w:numPr>
        <w:spacing w:line="480" w:lineRule="auto"/>
        <w:ind w:left="210" w:leftChars="1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临床试验委托书</w:t>
      </w:r>
    </w:p>
    <w:p w14:paraId="66327840">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临床试验方案（注明版本号/版本日期）；</w:t>
      </w:r>
    </w:p>
    <w:p w14:paraId="18F66AAA">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研究者手册（注明版本号/版本日期）；</w:t>
      </w:r>
    </w:p>
    <w:p w14:paraId="025DF69E">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知情同意书文本和其他任何提供给受试者的书面材料（注明版本号/版本日期）；</w:t>
      </w:r>
    </w:p>
    <w:p w14:paraId="65074EF5">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招募受试者和向其宣传的程序性文件（如适用）（注明版本号/版本日期）；</w:t>
      </w:r>
    </w:p>
    <w:p w14:paraId="44126F07">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病例报告表文本（注明版本号/版本日期）；</w:t>
      </w:r>
    </w:p>
    <w:p w14:paraId="5481A1F3">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基于产品技术要求的产品检验报告；</w:t>
      </w:r>
    </w:p>
    <w:p w14:paraId="1C1246DD">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临床前研究相关资料；</w:t>
      </w:r>
    </w:p>
    <w:p w14:paraId="5D11154A">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主要研究者简历、专业特长、能力、接受培训和其他能够证明其资格的文件；</w:t>
      </w:r>
    </w:p>
    <w:p w14:paraId="6890C072">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试验医疗器械的研制符合适用的医疗器械质量管理体系相关要求的声明；</w:t>
      </w:r>
    </w:p>
    <w:p w14:paraId="33DA8803">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申办者及代理人资质证明文件；</w:t>
      </w:r>
    </w:p>
    <w:p w14:paraId="72587431">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保险合同（如有）；</w:t>
      </w:r>
    </w:p>
    <w:p w14:paraId="56F7BA93">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组长单位批件；</w:t>
      </w:r>
    </w:p>
    <w:p w14:paraId="63B14EFD">
      <w:pPr>
        <w:numPr>
          <w:ilvl w:val="0"/>
          <w:numId w:val="1"/>
        </w:numPr>
        <w:spacing w:line="480" w:lineRule="auto"/>
        <w:ind w:left="210" w:leftChars="100"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付款回单</w:t>
      </w:r>
    </w:p>
    <w:p w14:paraId="7C635980">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与伦理审查相关的其他文件。</w:t>
      </w:r>
    </w:p>
    <w:p w14:paraId="06033782">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2、跟踪审查</w:t>
      </w:r>
    </w:p>
    <w:p w14:paraId="30D6E17C">
      <w:pPr>
        <w:spacing w:line="480" w:lineRule="auto"/>
        <w:ind w:firstLine="562" w:firstLineChars="200"/>
        <w:rPr>
          <w:rFonts w:hint="eastAsia" w:ascii="仿宋" w:hAnsi="仿宋" w:eastAsia="仿宋" w:cs="仿宋"/>
          <w:b/>
          <w:bCs/>
          <w:sz w:val="28"/>
          <w:szCs w:val="28"/>
          <w:highlight w:val="none"/>
        </w:rPr>
      </w:pPr>
      <w:bookmarkStart w:id="2" w:name="_Hlk50368414"/>
      <w:r>
        <w:rPr>
          <w:rFonts w:hint="default" w:ascii="仿宋" w:hAnsi="仿宋" w:eastAsia="仿宋" w:cs="仿宋"/>
          <w:b/>
          <w:bCs/>
          <w:sz w:val="28"/>
          <w:szCs w:val="28"/>
          <w:highlight w:val="none"/>
          <w:lang w:eastAsia="zh-CN"/>
        </w:rPr>
        <w:t>①</w:t>
      </w:r>
      <w:r>
        <w:rPr>
          <w:rFonts w:hint="eastAsia" w:ascii="仿宋" w:hAnsi="仿宋" w:eastAsia="仿宋" w:cs="仿宋"/>
          <w:b/>
          <w:bCs/>
          <w:sz w:val="28"/>
          <w:szCs w:val="28"/>
          <w:highlight w:val="none"/>
        </w:rPr>
        <w:t>修正案审查申请</w:t>
      </w:r>
    </w:p>
    <w:p w14:paraId="1BECA1D6">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修正案审查申请表</w:t>
      </w:r>
    </w:p>
    <w:p w14:paraId="0B9E2A3D">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组长单位意见</w:t>
      </w:r>
    </w:p>
    <w:p w14:paraId="6D4F2D63">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其他</w:t>
      </w:r>
    </w:p>
    <w:p w14:paraId="27B45C98">
      <w:pPr>
        <w:spacing w:line="480" w:lineRule="auto"/>
        <w:ind w:firstLine="562" w:firstLineChars="200"/>
        <w:rPr>
          <w:rFonts w:hint="default" w:ascii="仿宋" w:hAnsi="仿宋" w:eastAsia="仿宋" w:cs="仿宋"/>
          <w:b/>
          <w:bCs/>
          <w:sz w:val="28"/>
          <w:szCs w:val="28"/>
          <w:highlight w:val="none"/>
          <w:lang w:eastAsia="zh-CN"/>
        </w:rPr>
      </w:pPr>
      <w:r>
        <w:rPr>
          <w:rFonts w:hint="default" w:ascii="仿宋" w:hAnsi="仿宋" w:eastAsia="仿宋" w:cs="仿宋"/>
          <w:b/>
          <w:bCs/>
          <w:sz w:val="28"/>
          <w:szCs w:val="28"/>
          <w:highlight w:val="none"/>
          <w:lang w:eastAsia="zh-CN"/>
        </w:rPr>
        <w:t>②</w:t>
      </w:r>
      <w:r>
        <w:rPr>
          <w:rFonts w:hint="eastAsia" w:ascii="仿宋" w:hAnsi="仿宋" w:eastAsia="仿宋" w:cs="仿宋"/>
          <w:b/>
          <w:bCs/>
          <w:sz w:val="28"/>
          <w:szCs w:val="28"/>
          <w:highlight w:val="none"/>
          <w:lang w:eastAsia="zh-CN"/>
        </w:rPr>
        <w:t>年度/定期跟踪审查报告</w:t>
      </w:r>
    </w:p>
    <w:p w14:paraId="471A2F6D">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年度/定期跟踪审查报告</w:t>
      </w:r>
    </w:p>
    <w:p w14:paraId="7FECEA98">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其他</w:t>
      </w:r>
    </w:p>
    <w:p w14:paraId="2446EEBD">
      <w:pPr>
        <w:spacing w:line="480" w:lineRule="auto"/>
        <w:ind w:firstLine="562" w:firstLineChars="200"/>
        <w:rPr>
          <w:rFonts w:hint="default"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③安全性报告</w:t>
      </w:r>
    </w:p>
    <w:p w14:paraId="61E58649">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医疗器械/体外诊断试剂临床试验严重不良事件报告</w:t>
      </w:r>
    </w:p>
    <w:p w14:paraId="58EEB130">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外院相关医疗器械/体外诊断试剂临床试验严重不良事件报告</w:t>
      </w:r>
    </w:p>
    <w:p w14:paraId="2934F721">
      <w:pPr>
        <w:spacing w:line="360" w:lineRule="auto"/>
        <w:ind w:firstLine="562" w:firstLineChars="200"/>
        <w:rPr>
          <w:rFonts w:ascii="Times New Roman" w:hAnsi="Times New Roman" w:cs="宋体"/>
          <w:b/>
          <w:bCs/>
          <w:color w:val="000000"/>
          <w:szCs w:val="21"/>
          <w:highlight w:val="none"/>
        </w:rPr>
      </w:pPr>
      <w:r>
        <w:rPr>
          <w:rFonts w:hint="eastAsia" w:ascii="仿宋" w:hAnsi="仿宋" w:eastAsia="仿宋" w:cs="仿宋"/>
          <w:b/>
          <w:bCs/>
          <w:sz w:val="28"/>
          <w:szCs w:val="28"/>
          <w:highlight w:val="none"/>
          <w:lang w:eastAsia="zh-CN"/>
        </w:rPr>
        <w:t>④违背方案报告</w:t>
      </w:r>
    </w:p>
    <w:p w14:paraId="23906E1C">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违背方案报告</w:t>
      </w:r>
    </w:p>
    <w:p w14:paraId="0A5CDEA1">
      <w:pPr>
        <w:spacing w:line="360" w:lineRule="auto"/>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⑤暂停/终止研究报告</w:t>
      </w:r>
    </w:p>
    <w:p w14:paraId="43BF42E8">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暂停研究报告</w:t>
      </w:r>
    </w:p>
    <w:p w14:paraId="772B9D97">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终止研究报告</w:t>
      </w:r>
    </w:p>
    <w:p w14:paraId="791A5EED">
      <w:pPr>
        <w:spacing w:line="360" w:lineRule="auto"/>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⑥研究完成报告</w:t>
      </w:r>
    </w:p>
    <w:p w14:paraId="64D5E4A2">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研究完成报告（本中心）</w:t>
      </w:r>
    </w:p>
    <w:p w14:paraId="10ED992B">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分中心小结</w:t>
      </w:r>
    </w:p>
    <w:p w14:paraId="0319DFEA">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val="en-US" w:eastAsia="zh-CN"/>
        </w:rPr>
        <w:t>再</w:t>
      </w:r>
      <w:r>
        <w:rPr>
          <w:rFonts w:hint="eastAsia" w:ascii="仿宋" w:hAnsi="仿宋" w:eastAsia="仿宋" w:cs="仿宋"/>
          <w:b/>
          <w:bCs/>
          <w:sz w:val="28"/>
          <w:szCs w:val="28"/>
          <w:highlight w:val="none"/>
        </w:rPr>
        <w:t>审</w:t>
      </w:r>
    </w:p>
    <w:p w14:paraId="2C2E562B">
      <w:pPr>
        <w:spacing w:line="48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再</w:t>
      </w:r>
      <w:r>
        <w:rPr>
          <w:rFonts w:hint="eastAsia" w:ascii="仿宋" w:hAnsi="仿宋" w:eastAsia="仿宋" w:cs="仿宋"/>
          <w:b/>
          <w:bCs/>
          <w:sz w:val="28"/>
          <w:szCs w:val="28"/>
          <w:highlight w:val="none"/>
        </w:rPr>
        <w:t>审申请</w:t>
      </w:r>
    </w:p>
    <w:p w14:paraId="7002F077">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再</w:t>
      </w:r>
      <w:r>
        <w:rPr>
          <w:rFonts w:hint="eastAsia" w:ascii="仿宋" w:hAnsi="仿宋" w:eastAsia="仿宋" w:cs="仿宋"/>
          <w:sz w:val="28"/>
          <w:szCs w:val="28"/>
          <w:highlight w:val="none"/>
          <w:lang w:eastAsia="zh-CN"/>
        </w:rPr>
        <w:t>审申请表</w:t>
      </w:r>
    </w:p>
    <w:p w14:paraId="51854D4B">
      <w:pPr>
        <w:numPr>
          <w:ilvl w:val="0"/>
          <w:numId w:val="1"/>
        </w:numPr>
        <w:spacing w:line="480" w:lineRule="auto"/>
        <w:ind w:left="210" w:leftChars="100"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其他</w:t>
      </w:r>
    </w:p>
    <w:p w14:paraId="613B3122">
      <w:pPr>
        <w:widowControl/>
        <w:spacing w:line="480" w:lineRule="auto"/>
        <w:jc w:val="center"/>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四、审查流程</w:t>
      </w:r>
    </w:p>
    <w:p w14:paraId="7604378C">
      <w:pPr>
        <w:widowControl/>
        <w:spacing w:line="480" w:lineRule="auto"/>
        <w:ind w:firstLine="525"/>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初始审查的项目由机构审核立项后，研究者将纸质版材料交由伦理办公室进行形式审查。</w:t>
      </w:r>
      <w:r>
        <w:rPr>
          <w:rFonts w:hint="eastAsia" w:ascii="仿宋" w:hAnsi="仿宋" w:eastAsia="仿宋" w:cs="仿宋"/>
          <w:color w:val="auto"/>
          <w:sz w:val="28"/>
          <w:szCs w:val="28"/>
          <w:highlight w:val="none"/>
          <w:lang w:val="en-US" w:eastAsia="zh-CN"/>
        </w:rPr>
        <w:t>伦理办定于每月上旬集中受理需要审查的项目申请（非特殊情况，其他时间不受理伦理申请）</w:t>
      </w:r>
      <w:r>
        <w:rPr>
          <w:rFonts w:hint="eastAsia" w:ascii="仿宋" w:hAnsi="仿宋" w:eastAsia="仿宋" w:cs="仿宋"/>
          <w:sz w:val="28"/>
          <w:szCs w:val="28"/>
          <w:highlight w:val="none"/>
          <w:lang w:val="en-US" w:eastAsia="zh-CN"/>
        </w:rPr>
        <w:t>，</w:t>
      </w:r>
      <w:r>
        <w:rPr>
          <w:rFonts w:hint="eastAsia" w:ascii="仿宋" w:hAnsi="仿宋" w:eastAsia="仿宋" w:cs="仿宋"/>
          <w:kern w:val="0"/>
          <w:sz w:val="28"/>
          <w:szCs w:val="28"/>
          <w:highlight w:val="none"/>
        </w:rPr>
        <w:t>材料合格后</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伦理办将根据项目的风险等级、性质及适用法规，综合判定其审查方式</w:t>
      </w:r>
      <w:r>
        <w:rPr>
          <w:rFonts w:hint="eastAsia" w:ascii="仿宋" w:hAnsi="仿宋" w:eastAsia="仿宋" w:cs="仿宋"/>
          <w:kern w:val="0"/>
          <w:sz w:val="28"/>
          <w:szCs w:val="28"/>
          <w:highlight w:val="none"/>
          <w:lang w:val="en-US" w:eastAsia="zh-CN"/>
        </w:rPr>
        <w:t>确定会议审查清单，</w:t>
      </w:r>
      <w:r>
        <w:rPr>
          <w:rFonts w:hint="eastAsia" w:ascii="仿宋" w:hAnsi="仿宋" w:eastAsia="仿宋" w:cs="仿宋"/>
          <w:kern w:val="0"/>
          <w:sz w:val="28"/>
          <w:szCs w:val="28"/>
          <w:highlight w:val="none"/>
          <w:lang w:val="en-US" w:eastAsia="zh-CN"/>
        </w:rPr>
        <w:t>并指定相应的主审委员</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主审委员一般审查期限为3-5个工作日</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审查方式包括会议审查及快速审查。</w:t>
      </w:r>
    </w:p>
    <w:p w14:paraId="19409E43">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会议审查</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会议审查项目清单定于每月中旬通知伦理委员及项目负责人，审查会议定于每月下旬召开，务必由</w:t>
      </w:r>
      <w:r>
        <w:rPr>
          <w:rFonts w:hint="eastAsia" w:ascii="仿宋" w:hAnsi="仿宋" w:eastAsia="仿宋" w:cs="仿宋"/>
          <w:kern w:val="0"/>
          <w:sz w:val="28"/>
          <w:szCs w:val="28"/>
          <w:highlight w:val="none"/>
        </w:rPr>
        <w:t>主要研究者</w:t>
      </w:r>
      <w:r>
        <w:rPr>
          <w:rFonts w:hint="eastAsia" w:ascii="仿宋" w:hAnsi="仿宋" w:eastAsia="仿宋" w:cs="仿宋"/>
          <w:kern w:val="0"/>
          <w:sz w:val="28"/>
          <w:szCs w:val="28"/>
          <w:highlight w:val="none"/>
          <w:lang w:val="en-US" w:eastAsia="zh-CN"/>
        </w:rPr>
        <w:t>本人出席会议，</w:t>
      </w:r>
      <w:r>
        <w:rPr>
          <w:rFonts w:hint="eastAsia" w:ascii="仿宋" w:hAnsi="仿宋" w:eastAsia="仿宋" w:cs="仿宋"/>
          <w:kern w:val="0"/>
          <w:sz w:val="28"/>
          <w:szCs w:val="28"/>
          <w:highlight w:val="none"/>
        </w:rPr>
        <w:t>阐述方案并就伦理委员</w:t>
      </w:r>
      <w:r>
        <w:rPr>
          <w:rFonts w:hint="eastAsia" w:ascii="仿宋" w:hAnsi="仿宋" w:eastAsia="仿宋" w:cs="仿宋"/>
          <w:kern w:val="0"/>
          <w:sz w:val="28"/>
          <w:szCs w:val="28"/>
          <w:highlight w:val="none"/>
          <w:lang w:val="en-US" w:eastAsia="zh-CN"/>
        </w:rPr>
        <w:t>提出的疑问进行详尽解答与说明，以确保研究的科学性与伦理合规性得到充分评估。未能按照指定时间现场汇报的项目将延期审查。</w:t>
      </w:r>
    </w:p>
    <w:p w14:paraId="05828405">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快速审查：两名主审在3至5个工作日内完成独立审查，伦理办汇总审查意见后，提交至主任委员审核。</w:t>
      </w:r>
    </w:p>
    <w:p w14:paraId="2486A003">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伦理委员会办公室会在审查后五个工作日内以“伦理审查意见函/伦理审查意见”的书面方式传达审查意见。审查意见可能是：批准、不批准、修改后批准、修改后再审、暂停或者终止研究的决定。</w:t>
      </w:r>
    </w:p>
    <w:p w14:paraId="08E38F88">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对于审查结果是“修改后批准”、“修改后再审”的项目，需要申办者对方案/知情同意书等修改后递交再审申请。</w:t>
      </w:r>
    </w:p>
    <w:p w14:paraId="2A224187">
      <w:pPr>
        <w:widowControl/>
        <w:spacing w:line="480" w:lineRule="auto"/>
        <w:ind w:firstLine="560"/>
        <w:jc w:val="left"/>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五、审查意见传达</w:t>
      </w:r>
    </w:p>
    <w:p w14:paraId="6F416CCC">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伦理委员会办公室对伦理初始审查项目做出伦理审查意见后，会先以邮件形式将审查意见模板发送给申请人进行信息核对，申请人需及时回复。确认无误后，伦理委员会办公室再以书面方式传达正式审查意见。审查意见传达工作在伦理审查结束后</w:t>
      </w:r>
      <w:r>
        <w:rPr>
          <w:rFonts w:hint="eastAsia" w:ascii="仿宋" w:hAnsi="仿宋" w:eastAsia="仿宋" w:cs="仿宋"/>
          <w:kern w:val="0"/>
          <w:sz w:val="28"/>
          <w:szCs w:val="28"/>
          <w:highlight w:val="none"/>
          <w:lang w:val="en-US" w:eastAsia="zh-CN"/>
        </w:rPr>
        <w:t>五</w:t>
      </w:r>
      <w:r>
        <w:rPr>
          <w:rFonts w:hint="eastAsia" w:ascii="仿宋" w:hAnsi="仿宋" w:eastAsia="仿宋" w:cs="仿宋"/>
          <w:kern w:val="0"/>
          <w:sz w:val="28"/>
          <w:szCs w:val="28"/>
          <w:highlight w:val="none"/>
        </w:rPr>
        <w:t>个工作日内完成。</w:t>
      </w:r>
    </w:p>
    <w:p w14:paraId="4C7C5375">
      <w:pPr>
        <w:widowControl/>
        <w:spacing w:line="48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六、审查结果说明</w:t>
      </w:r>
    </w:p>
    <w:p w14:paraId="0FBBED72">
      <w:pPr>
        <w:widowControl/>
        <w:spacing w:line="480" w:lineRule="auto"/>
        <w:ind w:firstLine="562" w:firstLineChars="200"/>
        <w:jc w:val="left"/>
        <w:rPr>
          <w:rFonts w:hint="eastAsia" w:ascii="仿宋" w:hAnsi="仿宋" w:eastAsia="仿宋" w:cs="仿宋"/>
          <w:b/>
          <w:bCs/>
          <w:kern w:val="0"/>
          <w:sz w:val="28"/>
          <w:szCs w:val="28"/>
          <w:highlight w:val="none"/>
          <w:lang w:eastAsia="zh-CN"/>
        </w:rPr>
      </w:pPr>
      <w:r>
        <w:rPr>
          <w:rFonts w:ascii="仿宋" w:hAnsi="仿宋" w:eastAsia="仿宋" w:cs="仿宋"/>
          <w:b/>
          <w:bCs/>
          <w:kern w:val="0"/>
          <w:sz w:val="28"/>
          <w:szCs w:val="28"/>
          <w:highlight w:val="none"/>
        </w:rPr>
        <w:t>1、</w:t>
      </w:r>
      <w:r>
        <w:rPr>
          <w:rFonts w:hint="eastAsia" w:ascii="仿宋" w:hAnsi="仿宋" w:eastAsia="仿宋" w:cs="仿宋"/>
          <w:b/>
          <w:bCs/>
          <w:kern w:val="0"/>
          <w:sz w:val="28"/>
          <w:szCs w:val="28"/>
          <w:highlight w:val="none"/>
          <w:lang w:val="en-US" w:eastAsia="zh-CN"/>
        </w:rPr>
        <w:t>批准</w:t>
      </w:r>
    </w:p>
    <w:p w14:paraId="071171B9">
      <w:pPr>
        <w:widowControl/>
        <w:spacing w:line="48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（1）初始审查及其复审的肯定性意见</w:t>
      </w:r>
      <w:r>
        <w:rPr>
          <w:rFonts w:ascii="仿宋" w:hAnsi="仿宋" w:eastAsia="仿宋" w:cs="仿宋"/>
          <w:kern w:val="0"/>
          <w:sz w:val="28"/>
          <w:szCs w:val="28"/>
          <w:highlight w:val="none"/>
        </w:rPr>
        <w:t>以</w:t>
      </w:r>
      <w:r>
        <w:rPr>
          <w:rFonts w:hint="eastAsia" w:ascii="仿宋" w:hAnsi="仿宋" w:eastAsia="仿宋" w:cs="仿宋"/>
          <w:kern w:val="0"/>
          <w:sz w:val="28"/>
          <w:szCs w:val="28"/>
          <w:highlight w:val="none"/>
        </w:rPr>
        <w:t>“</w:t>
      </w:r>
      <w:r>
        <w:rPr>
          <w:rFonts w:ascii="仿宋" w:hAnsi="仿宋" w:eastAsia="仿宋" w:cs="仿宋"/>
          <w:kern w:val="0"/>
          <w:sz w:val="28"/>
          <w:szCs w:val="28"/>
          <w:highlight w:val="none"/>
        </w:rPr>
        <w:t>伦理审查</w:t>
      </w:r>
      <w:r>
        <w:rPr>
          <w:rFonts w:hint="eastAsia" w:ascii="仿宋" w:hAnsi="仿宋" w:eastAsia="仿宋" w:cs="仿宋"/>
          <w:kern w:val="0"/>
          <w:sz w:val="28"/>
          <w:szCs w:val="28"/>
          <w:highlight w:val="none"/>
        </w:rPr>
        <w:t>意见函”</w:t>
      </w:r>
      <w:r>
        <w:rPr>
          <w:rFonts w:ascii="仿宋" w:hAnsi="仿宋" w:eastAsia="仿宋" w:cs="仿宋"/>
          <w:kern w:val="0"/>
          <w:sz w:val="28"/>
          <w:szCs w:val="28"/>
          <w:highlight w:val="none"/>
        </w:rPr>
        <w:t>的形式传达</w:t>
      </w:r>
      <w:r>
        <w:rPr>
          <w:rFonts w:hint="eastAsia" w:ascii="仿宋" w:hAnsi="仿宋" w:eastAsia="仿宋" w:cs="仿宋"/>
          <w:kern w:val="0"/>
          <w:sz w:val="28"/>
          <w:szCs w:val="28"/>
          <w:highlight w:val="none"/>
        </w:rPr>
        <w:t>，跟踪审查及其复审的意见以“伦理审查意见”的形式传达</w:t>
      </w:r>
      <w:r>
        <w:rPr>
          <w:rFonts w:ascii="仿宋" w:hAnsi="仿宋" w:eastAsia="仿宋" w:cs="仿宋"/>
          <w:kern w:val="0"/>
          <w:sz w:val="28"/>
          <w:szCs w:val="28"/>
          <w:highlight w:val="none"/>
        </w:rPr>
        <w:t>。</w:t>
      </w:r>
    </w:p>
    <w:p w14:paraId="288415F3">
      <w:pPr>
        <w:widowControl/>
        <w:spacing w:line="48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ascii="仿宋" w:hAnsi="仿宋" w:eastAsia="仿宋" w:cs="仿宋"/>
          <w:kern w:val="0"/>
          <w:sz w:val="28"/>
          <w:szCs w:val="28"/>
          <w:highlight w:val="none"/>
        </w:rPr>
        <w:t>主要研究者接到短信、电话或电子邮件通知后领取</w:t>
      </w:r>
      <w:r>
        <w:rPr>
          <w:rFonts w:hint="eastAsia" w:ascii="仿宋" w:hAnsi="仿宋" w:eastAsia="仿宋" w:cs="仿宋"/>
          <w:kern w:val="0"/>
          <w:sz w:val="28"/>
          <w:szCs w:val="28"/>
          <w:highlight w:val="none"/>
        </w:rPr>
        <w:t>意见函/意见</w:t>
      </w:r>
      <w:r>
        <w:rPr>
          <w:rFonts w:ascii="仿宋" w:hAnsi="仿宋" w:eastAsia="仿宋" w:cs="仿宋"/>
          <w:kern w:val="0"/>
          <w:sz w:val="28"/>
          <w:szCs w:val="28"/>
          <w:highlight w:val="none"/>
        </w:rPr>
        <w:t>。开展临床研究时请注意按照</w:t>
      </w:r>
      <w:r>
        <w:rPr>
          <w:rFonts w:hint="eastAsia" w:ascii="仿宋" w:hAnsi="仿宋" w:eastAsia="仿宋" w:cs="仿宋"/>
          <w:kern w:val="0"/>
          <w:sz w:val="28"/>
          <w:szCs w:val="28"/>
          <w:highlight w:val="none"/>
        </w:rPr>
        <w:t>意见函/意见</w:t>
      </w:r>
      <w:r>
        <w:rPr>
          <w:rFonts w:ascii="仿宋" w:hAnsi="仿宋" w:eastAsia="仿宋" w:cs="仿宋"/>
          <w:kern w:val="0"/>
          <w:sz w:val="28"/>
          <w:szCs w:val="28"/>
          <w:highlight w:val="none"/>
        </w:rPr>
        <w:t>已通过的材料进行研究。</w:t>
      </w:r>
    </w:p>
    <w:p w14:paraId="2BF07905">
      <w:pPr>
        <w:widowControl/>
        <w:spacing w:line="480" w:lineRule="auto"/>
        <w:ind w:firstLine="562" w:firstLineChars="200"/>
        <w:jc w:val="left"/>
        <w:rPr>
          <w:rFonts w:ascii="仿宋" w:hAnsi="仿宋" w:eastAsia="仿宋" w:cs="仿宋"/>
          <w:b/>
          <w:bCs/>
          <w:kern w:val="0"/>
          <w:sz w:val="28"/>
          <w:szCs w:val="28"/>
          <w:highlight w:val="none"/>
        </w:rPr>
      </w:pPr>
      <w:r>
        <w:rPr>
          <w:rFonts w:ascii="仿宋" w:hAnsi="仿宋" w:eastAsia="仿宋" w:cs="仿宋"/>
          <w:b/>
          <w:bCs/>
          <w:kern w:val="0"/>
          <w:sz w:val="28"/>
          <w:szCs w:val="28"/>
          <w:highlight w:val="none"/>
        </w:rPr>
        <w:t>2、</w:t>
      </w:r>
      <w:r>
        <w:rPr>
          <w:rFonts w:hint="eastAsia" w:ascii="仿宋" w:hAnsi="仿宋" w:eastAsia="仿宋" w:cs="仿宋"/>
          <w:b/>
          <w:bCs/>
          <w:kern w:val="0"/>
          <w:sz w:val="28"/>
          <w:szCs w:val="28"/>
          <w:highlight w:val="none"/>
          <w:lang w:val="en-US" w:eastAsia="zh-CN"/>
        </w:rPr>
        <w:t>修改后批准、修改后再审</w:t>
      </w:r>
    </w:p>
    <w:p w14:paraId="5A629ED3">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r>
        <w:rPr>
          <w:rFonts w:ascii="仿宋" w:hAnsi="仿宋" w:eastAsia="仿宋" w:cs="仿宋"/>
          <w:kern w:val="0"/>
          <w:sz w:val="28"/>
          <w:szCs w:val="28"/>
          <w:highlight w:val="none"/>
        </w:rPr>
        <w:t>根据委员意见，对研究方案、知情同意等相应内容进行修改，并请填写《</w:t>
      </w:r>
      <w:r>
        <w:rPr>
          <w:rFonts w:hint="eastAsia" w:ascii="仿宋" w:hAnsi="仿宋" w:eastAsia="仿宋" w:cs="仿宋"/>
          <w:kern w:val="0"/>
          <w:sz w:val="28"/>
          <w:szCs w:val="28"/>
          <w:highlight w:val="none"/>
          <w:lang w:val="en-US" w:eastAsia="zh-CN"/>
        </w:rPr>
        <w:t>再</w:t>
      </w:r>
      <w:r>
        <w:rPr>
          <w:rFonts w:ascii="仿宋" w:hAnsi="仿宋" w:eastAsia="仿宋" w:cs="仿宋"/>
          <w:kern w:val="0"/>
          <w:sz w:val="28"/>
          <w:szCs w:val="28"/>
          <w:highlight w:val="none"/>
        </w:rPr>
        <w:t>审申请表》。</w:t>
      </w:r>
    </w:p>
    <w:p w14:paraId="5F185488">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ascii="仿宋" w:hAnsi="仿宋" w:eastAsia="仿宋" w:cs="仿宋"/>
          <w:kern w:val="0"/>
          <w:sz w:val="28"/>
          <w:szCs w:val="28"/>
          <w:highlight w:val="none"/>
        </w:rPr>
        <w:t>请将修改部分以“阴影或下划线”标记并更改相应项目材料的版本号/版本日期，于 1 个月内提交《</w:t>
      </w:r>
      <w:r>
        <w:rPr>
          <w:rFonts w:hint="eastAsia" w:ascii="仿宋" w:hAnsi="仿宋" w:eastAsia="仿宋" w:cs="仿宋"/>
          <w:kern w:val="0"/>
          <w:sz w:val="28"/>
          <w:szCs w:val="28"/>
          <w:highlight w:val="none"/>
          <w:lang w:val="en-US" w:eastAsia="zh-CN"/>
        </w:rPr>
        <w:t>再</w:t>
      </w:r>
      <w:r>
        <w:rPr>
          <w:rFonts w:ascii="仿宋" w:hAnsi="仿宋" w:eastAsia="仿宋" w:cs="仿宋"/>
          <w:kern w:val="0"/>
          <w:sz w:val="28"/>
          <w:szCs w:val="28"/>
          <w:highlight w:val="none"/>
        </w:rPr>
        <w:t>审申请表》和修改后的文件电子版，形式审查通过后打印签字 1 份纸质材料提交伦理委员会办公室。</w:t>
      </w:r>
    </w:p>
    <w:p w14:paraId="776453B9">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（3）</w:t>
      </w:r>
      <w:r>
        <w:rPr>
          <w:rFonts w:ascii="仿宋" w:hAnsi="仿宋" w:eastAsia="仿宋" w:cs="仿宋"/>
          <w:kern w:val="0"/>
          <w:sz w:val="28"/>
          <w:szCs w:val="28"/>
          <w:highlight w:val="none"/>
        </w:rPr>
        <w:t>由秘书安排、通知再次行会议审查或</w:t>
      </w:r>
      <w:r>
        <w:rPr>
          <w:rFonts w:hint="eastAsia" w:ascii="仿宋" w:hAnsi="仿宋" w:eastAsia="仿宋" w:cs="仿宋"/>
          <w:kern w:val="0"/>
          <w:sz w:val="28"/>
          <w:szCs w:val="28"/>
          <w:highlight w:val="none"/>
        </w:rPr>
        <w:t>快速</w:t>
      </w:r>
      <w:r>
        <w:rPr>
          <w:rFonts w:ascii="仿宋" w:hAnsi="仿宋" w:eastAsia="仿宋" w:cs="仿宋"/>
          <w:kern w:val="0"/>
          <w:sz w:val="28"/>
          <w:szCs w:val="28"/>
          <w:highlight w:val="none"/>
        </w:rPr>
        <w:t>审查，会议审查流程同初次审查。</w:t>
      </w:r>
    </w:p>
    <w:p w14:paraId="26A17E94">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val="en-US" w:eastAsia="zh-CN"/>
        </w:rPr>
        <w:t>再</w:t>
      </w:r>
      <w:r>
        <w:rPr>
          <w:rFonts w:ascii="仿宋" w:hAnsi="仿宋" w:eastAsia="仿宋" w:cs="仿宋"/>
          <w:kern w:val="0"/>
          <w:sz w:val="28"/>
          <w:szCs w:val="28"/>
          <w:highlight w:val="none"/>
        </w:rPr>
        <w:t>审通过后待接到短信、电话或电子邮件通知后领取批件。开展临床研究时请注意按照伦理委员会批件上已通过的材料进行研究。</w:t>
      </w:r>
    </w:p>
    <w:p w14:paraId="52D46745">
      <w:pPr>
        <w:widowControl/>
        <w:spacing w:line="480" w:lineRule="auto"/>
        <w:ind w:firstLine="562" w:firstLineChars="200"/>
        <w:jc w:val="left"/>
        <w:rPr>
          <w:rFonts w:hint="eastAsia" w:ascii="仿宋" w:hAnsi="仿宋" w:eastAsia="仿宋" w:cs="仿宋"/>
          <w:b/>
          <w:bCs/>
          <w:kern w:val="0"/>
          <w:sz w:val="28"/>
          <w:szCs w:val="28"/>
          <w:highlight w:val="none"/>
          <w:lang w:eastAsia="zh-CN"/>
        </w:rPr>
      </w:pPr>
      <w:r>
        <w:rPr>
          <w:rFonts w:ascii="仿宋" w:hAnsi="仿宋" w:eastAsia="仿宋" w:cs="仿宋"/>
          <w:b/>
          <w:bCs/>
          <w:kern w:val="0"/>
          <w:sz w:val="28"/>
          <w:szCs w:val="28"/>
          <w:highlight w:val="none"/>
        </w:rPr>
        <w:t>3、不</w:t>
      </w:r>
      <w:r>
        <w:rPr>
          <w:rFonts w:hint="eastAsia" w:ascii="仿宋" w:hAnsi="仿宋" w:eastAsia="仿宋" w:cs="仿宋"/>
          <w:b/>
          <w:bCs/>
          <w:kern w:val="0"/>
          <w:sz w:val="28"/>
          <w:szCs w:val="28"/>
          <w:highlight w:val="none"/>
          <w:lang w:val="en-US" w:eastAsia="zh-CN"/>
        </w:rPr>
        <w:t>批准</w:t>
      </w:r>
    </w:p>
    <w:p w14:paraId="17F2FFD1">
      <w:pPr>
        <w:widowControl/>
        <w:spacing w:line="480" w:lineRule="auto"/>
        <w:ind w:firstLine="560" w:firstLineChars="200"/>
        <w:jc w:val="left"/>
        <w:rPr>
          <w:rFonts w:ascii="仿宋" w:hAnsi="仿宋" w:eastAsia="仿宋" w:cs="仿宋"/>
          <w:kern w:val="0"/>
          <w:sz w:val="28"/>
          <w:szCs w:val="28"/>
          <w:highlight w:val="none"/>
        </w:rPr>
      </w:pPr>
      <w:r>
        <w:rPr>
          <w:rFonts w:ascii="仿宋" w:hAnsi="仿宋" w:eastAsia="仿宋" w:cs="仿宋"/>
          <w:kern w:val="0"/>
          <w:sz w:val="28"/>
          <w:szCs w:val="28"/>
          <w:highlight w:val="none"/>
        </w:rPr>
        <w:t>如伦理委员会经审查，认为研究本身是不道德的，且认为即使通过修改方案或补充资料信息也无法满足人体受试者研究的必须标准，可以做出“</w:t>
      </w:r>
      <w:r>
        <w:rPr>
          <w:rFonts w:hint="eastAsia" w:ascii="仿宋" w:hAnsi="仿宋" w:eastAsia="仿宋" w:cs="仿宋"/>
          <w:kern w:val="0"/>
          <w:sz w:val="28"/>
          <w:szCs w:val="28"/>
          <w:highlight w:val="none"/>
          <w:lang w:val="en-US" w:eastAsia="zh-CN"/>
        </w:rPr>
        <w:t>不批准</w:t>
      </w:r>
      <w:r>
        <w:rPr>
          <w:rFonts w:ascii="仿宋" w:hAnsi="仿宋" w:eastAsia="仿宋" w:cs="仿宋"/>
          <w:kern w:val="0"/>
          <w:sz w:val="28"/>
          <w:szCs w:val="28"/>
          <w:highlight w:val="none"/>
        </w:rPr>
        <w:t>”决定。如果申请人对审查决定有不同意见，主要研究者/申请人直接向伦理委员会提交书面申诉，伦理委员会安排伦理委员会会议对申诉项目进行复审。</w:t>
      </w:r>
    </w:p>
    <w:p w14:paraId="14201C22">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如果伦理委员会对申请人递交的</w:t>
      </w:r>
      <w:r>
        <w:rPr>
          <w:rFonts w:hint="eastAsia" w:ascii="仿宋" w:hAnsi="仿宋" w:eastAsia="仿宋" w:cs="仿宋"/>
          <w:sz w:val="28"/>
          <w:szCs w:val="28"/>
          <w:highlight w:val="none"/>
        </w:rPr>
        <w:t>可疑且非预期严重不良事件</w:t>
      </w:r>
      <w:r>
        <w:rPr>
          <w:rFonts w:hint="eastAsia" w:ascii="仿宋" w:hAnsi="仿宋" w:eastAsia="仿宋" w:cs="仿宋"/>
          <w:kern w:val="0"/>
          <w:sz w:val="28"/>
          <w:szCs w:val="28"/>
          <w:highlight w:val="none"/>
        </w:rPr>
        <w:t>，严重违背方案审查，暂停/终止研究审查，暂停项目再启动审查，研究完成审查，审查意见为肯定性意见（同意继续研究，或不需要采取进一步的措施），伦理委员会可不予传达申请人。以上申请内容申请人在伦理委员会受理送审材料后两个月没有收到伦理委员会的审查意见，视作伦理审查意见为“同意”或“不需要采取进一步的措施”。</w:t>
      </w:r>
    </w:p>
    <w:bookmarkEnd w:id="2"/>
    <w:p w14:paraId="162B70DF">
      <w:pPr>
        <w:widowControl/>
        <w:spacing w:line="48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七、审查收费标准（不含税</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税费为6%</w:t>
      </w:r>
      <w:r>
        <w:rPr>
          <w:rFonts w:hint="eastAsia" w:ascii="仿宋" w:hAnsi="仿宋" w:eastAsia="仿宋" w:cs="仿宋"/>
          <w:b/>
          <w:bCs/>
          <w:kern w:val="0"/>
          <w:sz w:val="28"/>
          <w:szCs w:val="28"/>
          <w:highlight w:val="none"/>
        </w:rPr>
        <w:t>）</w:t>
      </w:r>
    </w:p>
    <w:p w14:paraId="02162034">
      <w:pPr>
        <w:widowControl/>
        <w:spacing w:line="480" w:lineRule="auto"/>
        <w:ind w:firstLine="560" w:firstLineChars="200"/>
        <w:jc w:val="left"/>
        <w:rPr>
          <w:rFonts w:hint="eastAsia"/>
          <w:highlight w:val="none"/>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val="en-US" w:eastAsia="zh-CN"/>
        </w:rPr>
        <w:t>医疗器械：</w:t>
      </w:r>
      <w:r>
        <w:rPr>
          <w:rFonts w:hint="eastAsia" w:ascii="仿宋" w:hAnsi="仿宋" w:eastAsia="仿宋" w:cs="仿宋"/>
          <w:kern w:val="0"/>
          <w:sz w:val="28"/>
          <w:szCs w:val="28"/>
          <w:highlight w:val="none"/>
        </w:rPr>
        <w:t>申办者为外资企业（含港、澳、台资企业）或中外合资企业，新申请</w:t>
      </w:r>
      <w:r>
        <w:rPr>
          <w:rFonts w:hint="eastAsia" w:ascii="仿宋" w:hAnsi="仿宋" w:eastAsia="仿宋" w:cs="仿宋"/>
          <w:kern w:val="0"/>
          <w:sz w:val="28"/>
          <w:szCs w:val="28"/>
          <w:highlight w:val="none"/>
          <w:lang w:val="en-US" w:eastAsia="zh-CN"/>
        </w:rPr>
        <w:t>器械</w:t>
      </w:r>
      <w:r>
        <w:rPr>
          <w:rFonts w:hint="eastAsia" w:ascii="仿宋" w:hAnsi="仿宋" w:eastAsia="仿宋" w:cs="仿宋"/>
          <w:kern w:val="0"/>
          <w:sz w:val="28"/>
          <w:szCs w:val="28"/>
          <w:highlight w:val="none"/>
        </w:rPr>
        <w:t>临床试验每个项目审查费为4</w:t>
      </w:r>
      <w:r>
        <w:rPr>
          <w:rFonts w:hint="eastAsia" w:ascii="仿宋" w:hAnsi="仿宋" w:eastAsia="仿宋" w:cs="仿宋"/>
          <w:kern w:val="0"/>
          <w:sz w:val="28"/>
          <w:szCs w:val="28"/>
          <w:highlight w:val="none"/>
        </w:rPr>
        <w:t>000</w:t>
      </w:r>
      <w:r>
        <w:rPr>
          <w:rFonts w:hint="eastAsia" w:ascii="仿宋" w:hAnsi="仿宋" w:eastAsia="仿宋" w:cs="仿宋"/>
          <w:kern w:val="0"/>
          <w:sz w:val="28"/>
          <w:szCs w:val="28"/>
          <w:highlight w:val="none"/>
        </w:rPr>
        <w:t>元。申办者为国内企业每个项目审查费为3</w:t>
      </w:r>
      <w:r>
        <w:rPr>
          <w:rFonts w:hint="eastAsia" w:ascii="仿宋" w:hAnsi="仿宋" w:eastAsia="仿宋" w:cs="仿宋"/>
          <w:kern w:val="0"/>
          <w:sz w:val="28"/>
          <w:szCs w:val="28"/>
          <w:highlight w:val="none"/>
        </w:rPr>
        <w:t>000</w:t>
      </w:r>
      <w:r>
        <w:rPr>
          <w:rFonts w:hint="eastAsia" w:ascii="仿宋" w:hAnsi="仿宋" w:eastAsia="仿宋" w:cs="仿宋"/>
          <w:kern w:val="0"/>
          <w:sz w:val="28"/>
          <w:szCs w:val="28"/>
          <w:highlight w:val="none"/>
        </w:rPr>
        <w:t>元。</w:t>
      </w:r>
    </w:p>
    <w:p w14:paraId="5F164DF9">
      <w:pPr>
        <w:widowControl/>
        <w:spacing w:line="480" w:lineRule="auto"/>
        <w:ind w:firstLine="560" w:firstLineChars="200"/>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2、体外诊断试剂：每项审查费为2000元</w:t>
      </w:r>
      <w:r>
        <w:rPr>
          <w:rFonts w:hint="eastAsia" w:ascii="仿宋" w:hAnsi="仿宋" w:eastAsia="仿宋" w:cs="仿宋"/>
          <w:kern w:val="0"/>
          <w:sz w:val="28"/>
          <w:szCs w:val="28"/>
          <w:highlight w:val="none"/>
          <w:lang w:eastAsia="zh-CN"/>
        </w:rPr>
        <w:t>。</w:t>
      </w:r>
    </w:p>
    <w:p w14:paraId="4EC9FDF1">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3、再</w:t>
      </w:r>
      <w:r>
        <w:rPr>
          <w:rFonts w:hint="eastAsia" w:ascii="仿宋" w:hAnsi="仿宋" w:eastAsia="仿宋" w:cs="仿宋"/>
          <w:kern w:val="0"/>
          <w:sz w:val="28"/>
          <w:szCs w:val="28"/>
          <w:highlight w:val="none"/>
        </w:rPr>
        <w:t>审</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修正案审查、</w:t>
      </w:r>
      <w:r>
        <w:rPr>
          <w:rFonts w:hint="eastAsia" w:ascii="仿宋" w:hAnsi="仿宋" w:eastAsia="仿宋" w:cs="仿宋"/>
          <w:kern w:val="0"/>
          <w:sz w:val="28"/>
          <w:szCs w:val="28"/>
          <w:highlight w:val="none"/>
        </w:rPr>
        <w:t>跟踪审查</w:t>
      </w:r>
      <w:r>
        <w:rPr>
          <w:rFonts w:hint="eastAsia" w:ascii="仿宋" w:hAnsi="仿宋" w:eastAsia="仿宋" w:cs="仿宋"/>
          <w:kern w:val="0"/>
          <w:sz w:val="28"/>
          <w:szCs w:val="28"/>
          <w:highlight w:val="none"/>
          <w:lang w:val="en-US" w:eastAsia="zh-CN"/>
        </w:rPr>
        <w:t>等</w:t>
      </w:r>
      <w:r>
        <w:rPr>
          <w:rFonts w:hint="eastAsia" w:ascii="仿宋" w:hAnsi="仿宋" w:eastAsia="仿宋" w:cs="仿宋"/>
          <w:kern w:val="0"/>
          <w:sz w:val="28"/>
          <w:szCs w:val="28"/>
          <w:highlight w:val="none"/>
        </w:rPr>
        <w:t>，加收审查费</w:t>
      </w:r>
      <w:r>
        <w:rPr>
          <w:rFonts w:hint="eastAsia" w:ascii="仿宋" w:hAnsi="仿宋" w:eastAsia="仿宋" w:cs="仿宋"/>
          <w:kern w:val="0"/>
          <w:sz w:val="28"/>
          <w:szCs w:val="28"/>
          <w:highlight w:val="none"/>
        </w:rPr>
        <w:t>1000</w:t>
      </w:r>
      <w:r>
        <w:rPr>
          <w:rFonts w:hint="eastAsia" w:ascii="仿宋" w:hAnsi="仿宋" w:eastAsia="仿宋" w:cs="仿宋"/>
          <w:kern w:val="0"/>
          <w:sz w:val="28"/>
          <w:szCs w:val="28"/>
          <w:highlight w:val="none"/>
        </w:rPr>
        <w:t>元/次。</w:t>
      </w:r>
    </w:p>
    <w:p w14:paraId="1C0F340A">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审查费用交费成功后，应尽快前往伦理办公室填写交费通知单，交费通知单需到医院财务科盖章后交回伦理办公室才视为交费成功。</w:t>
      </w:r>
      <w:r>
        <w:rPr>
          <w:rFonts w:hint="eastAsia" w:ascii="仿宋" w:hAnsi="仿宋" w:eastAsia="仿宋" w:cs="仿宋"/>
          <w:kern w:val="0"/>
          <w:sz w:val="28"/>
          <w:szCs w:val="28"/>
          <w:highlight w:val="none"/>
          <w:lang w:val="en-US" w:eastAsia="zh-CN"/>
        </w:rPr>
        <w:t>·</w:t>
      </w:r>
    </w:p>
    <w:p w14:paraId="30683BE5">
      <w:pPr>
        <w:widowControl/>
        <w:spacing w:line="480" w:lineRule="auto"/>
        <w:jc w:val="left"/>
        <w:rPr>
          <w:rFonts w:hint="eastAsia"/>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b/>
          <w:bCs/>
          <w:kern w:val="0"/>
          <w:sz w:val="28"/>
          <w:szCs w:val="28"/>
          <w:highlight w:val="none"/>
        </w:rPr>
        <w:t>汇款备注需要注明：</w:t>
      </w:r>
      <w:r>
        <w:rPr>
          <w:rFonts w:hint="eastAsia" w:ascii="仿宋" w:hAnsi="仿宋" w:eastAsia="仿宋" w:cs="仿宋"/>
          <w:kern w:val="0"/>
          <w:sz w:val="28"/>
          <w:szCs w:val="28"/>
          <w:highlight w:val="none"/>
        </w:rPr>
        <w:t xml:space="preserve"> XXXXXXXX临床试验伦理审查费</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+伦理号</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w:t>
      </w:r>
    </w:p>
    <w:p w14:paraId="09BF08E3">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b/>
          <w:bCs/>
          <w:kern w:val="0"/>
          <w:sz w:val="28"/>
          <w:szCs w:val="28"/>
          <w:highlight w:val="none"/>
        </w:rPr>
        <w:t>医院财务账户信息：</w:t>
      </w:r>
    </w:p>
    <w:p w14:paraId="29699FC3">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rPr>
        <w:t>开户行：光大银行宿州分行    户名：安徽省宿州市立医院</w:t>
      </w:r>
    </w:p>
    <w:p w14:paraId="654BEAC8">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账号：5693</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0188 0000 8336 3 税号：12341300486002160N</w:t>
      </w:r>
    </w:p>
    <w:p w14:paraId="73334802">
      <w:pPr>
        <w:widowControl/>
        <w:spacing w:line="480" w:lineRule="auto"/>
        <w:jc w:val="center"/>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八、补充说明</w:t>
      </w:r>
    </w:p>
    <w:p w14:paraId="7F7D8FC4">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1、递交</w:t>
      </w:r>
      <w:r>
        <w:rPr>
          <w:rFonts w:hint="eastAsia" w:ascii="仿宋" w:hAnsi="仿宋" w:eastAsia="仿宋" w:cs="仿宋"/>
          <w:sz w:val="28"/>
          <w:szCs w:val="28"/>
          <w:highlight w:val="none"/>
        </w:rPr>
        <w:t>材料的</w:t>
      </w:r>
      <w:r>
        <w:rPr>
          <w:rFonts w:hint="eastAsia" w:ascii="仿宋" w:hAnsi="仿宋" w:eastAsia="仿宋" w:cs="仿宋"/>
          <w:kern w:val="0"/>
          <w:sz w:val="28"/>
          <w:szCs w:val="28"/>
          <w:highlight w:val="none"/>
        </w:rPr>
        <w:t>封面：按模板填写</w:t>
      </w:r>
    </w:p>
    <w:p w14:paraId="6EC6C972">
      <w:pPr>
        <w:widowControl/>
        <w:spacing w:line="48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2、递交伦理委员会</w:t>
      </w:r>
      <w:r>
        <w:rPr>
          <w:rFonts w:hint="eastAsia" w:ascii="仿宋" w:hAnsi="仿宋" w:eastAsia="仿宋" w:cs="仿宋"/>
          <w:sz w:val="28"/>
          <w:szCs w:val="28"/>
          <w:highlight w:val="none"/>
        </w:rPr>
        <w:t>材料总共</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份（两份为存档完整版，完整版的资料打</w:t>
      </w:r>
      <w:bookmarkStart w:id="3" w:name="_Hlt45614222"/>
      <w:bookmarkStart w:id="4" w:name="_Hlt45614223"/>
      <w:r>
        <w:rPr>
          <w:rFonts w:hint="eastAsia" w:ascii="仿宋" w:hAnsi="仿宋" w:eastAsia="仿宋" w:cs="仿宋"/>
          <w:sz w:val="28"/>
          <w:szCs w:val="28"/>
          <w:highlight w:val="none"/>
        </w:rPr>
        <w:t>孔</w:t>
      </w:r>
      <w:bookmarkEnd w:id="3"/>
      <w:bookmarkEnd w:id="4"/>
      <w:r>
        <w:rPr>
          <w:rFonts w:hint="eastAsia" w:ascii="仿宋" w:hAnsi="仿宋" w:eastAsia="仿宋" w:cs="仿宋"/>
          <w:sz w:val="28"/>
          <w:szCs w:val="28"/>
          <w:highlight w:val="none"/>
        </w:rPr>
        <w:t>按顺序用如意伸缩夹装订，并用</w:t>
      </w:r>
      <w:bookmarkStart w:id="5" w:name="_Hlt45544198"/>
      <w:bookmarkStart w:id="6" w:name="_Hlt45544197"/>
      <w:r>
        <w:rPr>
          <w:rFonts w:hint="eastAsia" w:ascii="仿宋" w:hAnsi="仿宋" w:eastAsia="仿宋" w:cs="仿宋"/>
          <w:sz w:val="28"/>
          <w:szCs w:val="28"/>
          <w:highlight w:val="none"/>
        </w:rPr>
        <w:t>隔</w:t>
      </w:r>
      <w:bookmarkEnd w:id="5"/>
      <w:bookmarkEnd w:id="6"/>
      <w:r>
        <w:rPr>
          <w:rFonts w:hint="eastAsia" w:ascii="仿宋" w:hAnsi="仿宋" w:eastAsia="仿宋" w:cs="仿宋"/>
          <w:sz w:val="28"/>
          <w:szCs w:val="28"/>
          <w:highlight w:val="none"/>
        </w:rPr>
        <w:t>页标签纸把每个部分的材料分开，以利于翻阅。其余1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份为简版材料，只需要装订研究方案和知情同意书）。</w:t>
      </w:r>
    </w:p>
    <w:p w14:paraId="048C17E0">
      <w:pPr>
        <w:widowControl/>
        <w:spacing w:line="48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3、另外需要给项目负责人1份完整版，并准备伦理审查汇报PPT（按照我院提供模板制作），汇报PPT初稿做好后提前发送给主要研究者。</w:t>
      </w:r>
    </w:p>
    <w:p w14:paraId="672452F9">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4、报送资料完整版里面每个部分都要盖红章，申请报告和方案签字页需要PI签字，委托书需要申办方签字、盖章。其他各项材料盖封面及骑缝章。</w:t>
      </w:r>
    </w:p>
    <w:p w14:paraId="0F4D964F">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不接受快递寄送材料，必须由CRA或者CRC统一将材料递交伦理办公室。</w:t>
      </w:r>
    </w:p>
    <w:p w14:paraId="0A221561">
      <w:pPr>
        <w:widowControl/>
        <w:spacing w:line="480" w:lineRule="auto"/>
        <w:ind w:firstLine="42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主要研究者简历，项目组成人员信息请和主要研究者联系。</w:t>
      </w:r>
    </w:p>
    <w:p w14:paraId="22910B61">
      <w:pPr>
        <w:numPr>
          <w:ilvl w:val="0"/>
          <w:numId w:val="2"/>
        </w:num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伦理汇报幻灯</w:t>
      </w:r>
    </w:p>
    <w:p w14:paraId="69B564A0">
      <w:p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邮件主题格式：【伦理初审】+项目完整名称+（PPT、Word临床试验申请报告）</w:t>
      </w:r>
    </w:p>
    <w:p w14:paraId="08BDF8F6">
      <w:pPr>
        <w:spacing w:line="48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PPT及Word版临床试验申请报告请以附件形式发送，无需打包压缩，不得以网盘形式发送电子版材料。</w:t>
      </w:r>
    </w:p>
    <w:p w14:paraId="7289F1B3">
      <w:pPr>
        <w:widowControl/>
        <w:spacing w:line="480" w:lineRule="auto"/>
        <w:ind w:left="420" w:left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SAE</w:t>
      </w:r>
      <w:r>
        <w:rPr>
          <w:rFonts w:hint="eastAsia" w:ascii="仿宋" w:hAnsi="仿宋" w:eastAsia="仿宋" w:cs="仿宋"/>
          <w:kern w:val="0"/>
          <w:sz w:val="28"/>
          <w:szCs w:val="28"/>
          <w:highlight w:val="none"/>
        </w:rPr>
        <w:t>报送要求</w:t>
      </w:r>
    </w:p>
    <w:p w14:paraId="6A076F6E">
      <w:pPr>
        <w:widowControl/>
        <w:spacing w:line="480" w:lineRule="auto"/>
        <w:ind w:left="420" w:left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（1）本院</w:t>
      </w:r>
      <w:r>
        <w:rPr>
          <w:rFonts w:hint="eastAsia" w:ascii="仿宋" w:hAnsi="仿宋" w:eastAsia="仿宋" w:cs="仿宋"/>
          <w:kern w:val="0"/>
          <w:sz w:val="28"/>
          <w:szCs w:val="28"/>
          <w:highlight w:val="none"/>
          <w:lang w:val="en-US" w:eastAsia="zh-CN"/>
        </w:rPr>
        <w:t>SAE</w:t>
      </w:r>
      <w:r>
        <w:rPr>
          <w:rFonts w:hint="eastAsia" w:ascii="仿宋" w:hAnsi="仿宋" w:eastAsia="仿宋" w:cs="仿宋"/>
          <w:kern w:val="0"/>
          <w:sz w:val="28"/>
          <w:szCs w:val="28"/>
          <w:highlight w:val="none"/>
        </w:rPr>
        <w:t>：需发送Word可编辑版。</w:t>
      </w:r>
    </w:p>
    <w:p w14:paraId="37622F3E">
      <w:pPr>
        <w:spacing w:line="48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邮件主题格式：【本院</w:t>
      </w:r>
      <w:r>
        <w:rPr>
          <w:rFonts w:hint="eastAsia" w:ascii="仿宋" w:hAnsi="仿宋" w:eastAsia="仿宋" w:cs="仿宋"/>
          <w:kern w:val="0"/>
          <w:sz w:val="28"/>
          <w:szCs w:val="28"/>
          <w:highlight w:val="none"/>
          <w:lang w:val="en-US" w:eastAsia="zh-CN"/>
        </w:rPr>
        <w:t>SAE</w:t>
      </w:r>
      <w:r>
        <w:rPr>
          <w:rFonts w:hint="eastAsia" w:ascii="仿宋" w:hAnsi="仿宋" w:eastAsia="仿宋" w:cs="仿宋"/>
          <w:kern w:val="0"/>
          <w:sz w:val="28"/>
          <w:szCs w:val="28"/>
          <w:highlight w:val="none"/>
        </w:rPr>
        <w:t>】本中心伦理编号+</w:t>
      </w:r>
      <w:r>
        <w:rPr>
          <w:rFonts w:hint="eastAsia" w:ascii="仿宋" w:hAnsi="仿宋" w:eastAsia="仿宋" w:cs="仿宋"/>
          <w:kern w:val="0"/>
          <w:sz w:val="28"/>
          <w:szCs w:val="28"/>
          <w:highlight w:val="none"/>
          <w:lang w:val="en-US" w:eastAsia="zh-CN"/>
        </w:rPr>
        <w:t>SAE</w:t>
      </w:r>
      <w:r>
        <w:rPr>
          <w:rFonts w:hint="eastAsia" w:ascii="仿宋" w:hAnsi="仿宋" w:eastAsia="仿宋" w:cs="仿宋"/>
          <w:kern w:val="0"/>
          <w:sz w:val="28"/>
          <w:szCs w:val="28"/>
          <w:highlight w:val="none"/>
        </w:rPr>
        <w:t>事件名称+首次（或随访/总结）报告。</w:t>
      </w:r>
    </w:p>
    <w:p w14:paraId="23AAB066">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（2）外院的</w:t>
      </w:r>
      <w:r>
        <w:rPr>
          <w:rFonts w:hint="eastAsia" w:ascii="仿宋" w:hAnsi="仿宋" w:eastAsia="仿宋" w:cs="仿宋"/>
          <w:kern w:val="0"/>
          <w:sz w:val="28"/>
          <w:szCs w:val="28"/>
          <w:highlight w:val="none"/>
          <w:lang w:val="en-US" w:eastAsia="zh-CN"/>
        </w:rPr>
        <w:t>SAE</w:t>
      </w:r>
      <w:r>
        <w:rPr>
          <w:rFonts w:hint="eastAsia" w:ascii="仿宋" w:hAnsi="仿宋" w:eastAsia="仿宋" w:cs="仿宋"/>
          <w:kern w:val="0"/>
          <w:sz w:val="28"/>
          <w:szCs w:val="28"/>
          <w:highlight w:val="none"/>
        </w:rPr>
        <w:t>：可每月或每季度汇总后递交本伦理委员会。</w:t>
      </w:r>
    </w:p>
    <w:p w14:paraId="42C601D0">
      <w:pPr>
        <w:widowControl/>
        <w:spacing w:line="48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邮件主题格式：【外院</w:t>
      </w:r>
      <w:r>
        <w:rPr>
          <w:rFonts w:hint="eastAsia" w:ascii="仿宋" w:hAnsi="仿宋" w:eastAsia="仿宋" w:cs="仿宋"/>
          <w:kern w:val="0"/>
          <w:sz w:val="28"/>
          <w:szCs w:val="28"/>
          <w:highlight w:val="none"/>
          <w:lang w:val="en-US" w:eastAsia="zh-CN"/>
        </w:rPr>
        <w:t>SAE</w:t>
      </w:r>
      <w:r>
        <w:rPr>
          <w:rFonts w:hint="eastAsia" w:ascii="仿宋" w:hAnsi="仿宋" w:eastAsia="仿宋" w:cs="仿宋"/>
          <w:kern w:val="0"/>
          <w:sz w:val="28"/>
          <w:szCs w:val="28"/>
          <w:highlight w:val="none"/>
        </w:rPr>
        <w:t>】本中心伦理编号</w:t>
      </w: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报告周期。</w:t>
      </w:r>
    </w:p>
    <w:p w14:paraId="6A4716AB">
      <w:pPr>
        <w:widowControl/>
        <w:numPr>
          <w:ilvl w:val="0"/>
          <w:numId w:val="0"/>
        </w:numPr>
        <w:spacing w:line="480" w:lineRule="auto"/>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九、办公室联系方式</w:t>
      </w:r>
    </w:p>
    <w:p w14:paraId="22DD0B6C">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办公室接待时间：周一至周五 8:00-11:30,14:30-17:30</w:t>
      </w:r>
    </w:p>
    <w:p w14:paraId="631E37FD">
      <w:pPr>
        <w:widowControl/>
        <w:spacing w:line="48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地址：宿州市立医院北区</w:t>
      </w:r>
      <w:r>
        <w:rPr>
          <w:rFonts w:hint="eastAsia" w:ascii="仿宋" w:hAnsi="仿宋" w:eastAsia="仿宋" w:cs="仿宋"/>
          <w:kern w:val="0"/>
          <w:sz w:val="28"/>
          <w:szCs w:val="28"/>
          <w:highlight w:val="none"/>
          <w:lang w:val="en-US" w:eastAsia="zh-CN"/>
        </w:rPr>
        <w:t>临床中心实验室</w:t>
      </w:r>
      <w:r>
        <w:rPr>
          <w:rFonts w:hint="eastAsia" w:ascii="仿宋" w:hAnsi="仿宋" w:eastAsia="仿宋" w:cs="仿宋"/>
          <w:kern w:val="0"/>
          <w:sz w:val="28"/>
          <w:szCs w:val="28"/>
          <w:highlight w:val="none"/>
        </w:rPr>
        <w:t>办公室</w:t>
      </w:r>
    </w:p>
    <w:p w14:paraId="6018F665">
      <w:pPr>
        <w:widowControl/>
        <w:spacing w:line="480" w:lineRule="auto"/>
        <w:ind w:firstLine="560" w:firstLineChars="2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联系人：刘老师，</w:t>
      </w:r>
      <w:r>
        <w:rPr>
          <w:rFonts w:hint="eastAsia" w:ascii="仿宋" w:hAnsi="仿宋" w:eastAsia="仿宋" w:cs="仿宋"/>
          <w:kern w:val="0"/>
          <w:sz w:val="28"/>
          <w:szCs w:val="28"/>
          <w:highlight w:val="none"/>
          <w:lang w:val="en-US" w:eastAsia="zh-CN"/>
        </w:rPr>
        <w:t>朱老师，</w:t>
      </w:r>
      <w:r>
        <w:rPr>
          <w:rFonts w:hint="eastAsia" w:ascii="仿宋" w:hAnsi="仿宋" w:eastAsia="仿宋" w:cs="仿宋"/>
          <w:kern w:val="0"/>
          <w:sz w:val="28"/>
          <w:szCs w:val="28"/>
          <w:highlight w:val="none"/>
        </w:rPr>
        <w:t>0557-3042523</w:t>
      </w:r>
    </w:p>
    <w:p w14:paraId="383C7812">
      <w:pPr>
        <w:widowControl/>
        <w:spacing w:line="48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电子邮箱：</w:t>
      </w:r>
      <w:r>
        <w:rPr>
          <w:rFonts w:hint="eastAsia" w:ascii="仿宋" w:hAnsi="仿宋" w:eastAsia="仿宋" w:cs="仿宋"/>
          <w:color w:val="333333"/>
          <w:kern w:val="0"/>
          <w:sz w:val="28"/>
          <w:szCs w:val="28"/>
          <w:highlight w:val="none"/>
        </w:rPr>
        <w:t>szslyy2021ywll@163.com</w:t>
      </w:r>
    </w:p>
    <w:bookmarkEnd w:id="1"/>
    <w:p w14:paraId="7DADC896">
      <w:pPr>
        <w:widowControl/>
        <w:spacing w:line="480" w:lineRule="auto"/>
        <w:jc w:val="left"/>
        <w:rPr>
          <w:rFonts w:ascii="仿宋" w:hAnsi="仿宋" w:eastAsia="仿宋" w:cs="仿宋"/>
          <w:b/>
          <w:bCs/>
          <w:kern w:val="0"/>
          <w:sz w:val="28"/>
          <w:szCs w:val="28"/>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66CCF4D4">
      <w:pPr>
        <w:pStyle w:val="3"/>
        <w:rPr>
          <w:highlight w:val="none"/>
        </w:rPr>
      </w:pPr>
      <w:r>
        <w:rPr>
          <w:highlight w:val="none"/>
        </w:rPr>
        <w:drawing>
          <wp:anchor distT="0" distB="0" distL="114300" distR="114300" simplePos="0" relativeHeight="251659264" behindDoc="0" locked="0" layoutInCell="1" allowOverlap="1">
            <wp:simplePos x="0" y="0"/>
            <wp:positionH relativeFrom="column">
              <wp:posOffset>-263525</wp:posOffset>
            </wp:positionH>
            <wp:positionV relativeFrom="paragraph">
              <wp:posOffset>450215</wp:posOffset>
            </wp:positionV>
            <wp:extent cx="5273675" cy="6233795"/>
            <wp:effectExtent l="0" t="0" r="3175" b="14605"/>
            <wp:wrapSquare wrapText="bothSides"/>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6"/>
                    <a:stretch>
                      <a:fillRect/>
                    </a:stretch>
                  </pic:blipFill>
                  <pic:spPr>
                    <a:xfrm>
                      <a:off x="0" y="0"/>
                      <a:ext cx="5273675" cy="6233795"/>
                    </a:xfrm>
                    <a:prstGeom prst="rect">
                      <a:avLst/>
                    </a:prstGeom>
                    <a:noFill/>
                    <a:ln>
                      <a:noFill/>
                    </a:ln>
                  </pic:spPr>
                </pic:pic>
              </a:graphicData>
            </a:graphic>
          </wp:anchor>
        </w:drawing>
      </w:r>
    </w:p>
    <w:bookmarkEnd w:id="7"/>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184">
    <w:pPr>
      <w:pStyle w:val="5"/>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D6FA">
    <w:pPr>
      <w:pStyle w:val="6"/>
      <w:jc w:val="right"/>
      <w:rPr>
        <w:rFonts w:hint="eastAsia"/>
        <w:lang w:eastAsia="zh-CN"/>
      </w:rPr>
    </w:pPr>
    <w:r>
      <w:rPr>
        <w:rFonts w:hint="eastAsia"/>
        <w:lang w:eastAsia="zh-CN"/>
      </w:rPr>
      <w:tab/>
    </w:r>
  </w:p>
  <w:p w14:paraId="3E8CB1A1">
    <w:pPr>
      <w:pStyle w:val="6"/>
      <w:jc w:val="center"/>
    </w:pPr>
  </w:p>
  <w:p w14:paraId="2F31CBAC">
    <w:pPr>
      <w:pStyle w:val="6"/>
      <w:tabs>
        <w:tab w:val="left" w:pos="747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A2500"/>
    <w:multiLevelType w:val="singleLevel"/>
    <w:tmpl w:val="452A2500"/>
    <w:lvl w:ilvl="0" w:tentative="0">
      <w:start w:val="1"/>
      <w:numFmt w:val="bullet"/>
      <w:lvlText w:val=""/>
      <w:lvlJc w:val="left"/>
      <w:pPr>
        <w:ind w:left="420" w:hanging="420"/>
      </w:pPr>
      <w:rPr>
        <w:rFonts w:hint="default" w:ascii="Wingdings" w:hAnsi="Wingdings"/>
      </w:rPr>
    </w:lvl>
  </w:abstractNum>
  <w:abstractNum w:abstractNumId="1">
    <w:nsid w:val="67E6F7DA"/>
    <w:multiLevelType w:val="singleLevel"/>
    <w:tmpl w:val="67E6F7D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NWY2NzQxNDhiMmQ2N2JmODc0OGZjMmYyMzc4NTMifQ=="/>
  </w:docVars>
  <w:rsids>
    <w:rsidRoot w:val="00445D83"/>
    <w:rsid w:val="00066AD0"/>
    <w:rsid w:val="00074F55"/>
    <w:rsid w:val="0008490E"/>
    <w:rsid w:val="001C0ADA"/>
    <w:rsid w:val="0029773E"/>
    <w:rsid w:val="00445D83"/>
    <w:rsid w:val="006B6A24"/>
    <w:rsid w:val="00B36832"/>
    <w:rsid w:val="02825F05"/>
    <w:rsid w:val="04972657"/>
    <w:rsid w:val="04C2515D"/>
    <w:rsid w:val="05B34E34"/>
    <w:rsid w:val="07C843AC"/>
    <w:rsid w:val="08160B07"/>
    <w:rsid w:val="08A53BFD"/>
    <w:rsid w:val="0C283C1D"/>
    <w:rsid w:val="0C5E64A8"/>
    <w:rsid w:val="0D5F6342"/>
    <w:rsid w:val="0FCC30A2"/>
    <w:rsid w:val="105031D7"/>
    <w:rsid w:val="109054B2"/>
    <w:rsid w:val="11D032B0"/>
    <w:rsid w:val="143F111A"/>
    <w:rsid w:val="155949BE"/>
    <w:rsid w:val="16E81835"/>
    <w:rsid w:val="174E0D71"/>
    <w:rsid w:val="18B1461B"/>
    <w:rsid w:val="1A3B41CA"/>
    <w:rsid w:val="1BB51BF0"/>
    <w:rsid w:val="235448F5"/>
    <w:rsid w:val="24F53939"/>
    <w:rsid w:val="26181064"/>
    <w:rsid w:val="27474365"/>
    <w:rsid w:val="2ADA5858"/>
    <w:rsid w:val="2D0D1249"/>
    <w:rsid w:val="2EFF6F37"/>
    <w:rsid w:val="31024FFC"/>
    <w:rsid w:val="32E60F64"/>
    <w:rsid w:val="33614E22"/>
    <w:rsid w:val="33805457"/>
    <w:rsid w:val="350719CE"/>
    <w:rsid w:val="388C0070"/>
    <w:rsid w:val="38916AE2"/>
    <w:rsid w:val="3B673432"/>
    <w:rsid w:val="3E3538A3"/>
    <w:rsid w:val="3E6E05E3"/>
    <w:rsid w:val="3F567959"/>
    <w:rsid w:val="3FBD14BA"/>
    <w:rsid w:val="40550BB2"/>
    <w:rsid w:val="407869EB"/>
    <w:rsid w:val="40FE4AA6"/>
    <w:rsid w:val="44753EC1"/>
    <w:rsid w:val="46BB7806"/>
    <w:rsid w:val="47A53412"/>
    <w:rsid w:val="494F4B22"/>
    <w:rsid w:val="4A334703"/>
    <w:rsid w:val="4A3D7A5A"/>
    <w:rsid w:val="4D0604E7"/>
    <w:rsid w:val="4D2E4028"/>
    <w:rsid w:val="4D941465"/>
    <w:rsid w:val="4EB05237"/>
    <w:rsid w:val="4EC66939"/>
    <w:rsid w:val="4F1103D1"/>
    <w:rsid w:val="4FCD3C4F"/>
    <w:rsid w:val="50952310"/>
    <w:rsid w:val="51094EBB"/>
    <w:rsid w:val="554C1BEF"/>
    <w:rsid w:val="565A759A"/>
    <w:rsid w:val="56C16EF5"/>
    <w:rsid w:val="57F16547"/>
    <w:rsid w:val="58884C2E"/>
    <w:rsid w:val="5B7B01D3"/>
    <w:rsid w:val="5E51454D"/>
    <w:rsid w:val="5E5B1B55"/>
    <w:rsid w:val="5ED47D3C"/>
    <w:rsid w:val="5F5459C0"/>
    <w:rsid w:val="60013032"/>
    <w:rsid w:val="60CD4AF2"/>
    <w:rsid w:val="613C5950"/>
    <w:rsid w:val="64FE3A0A"/>
    <w:rsid w:val="67CB1D87"/>
    <w:rsid w:val="688A7845"/>
    <w:rsid w:val="693A6890"/>
    <w:rsid w:val="6B516A7C"/>
    <w:rsid w:val="6BC15A9F"/>
    <w:rsid w:val="6BE358EB"/>
    <w:rsid w:val="6BEC3E85"/>
    <w:rsid w:val="6BED6CF4"/>
    <w:rsid w:val="6C6B188D"/>
    <w:rsid w:val="6C8E65CA"/>
    <w:rsid w:val="6D8C10EF"/>
    <w:rsid w:val="6F054147"/>
    <w:rsid w:val="714768B5"/>
    <w:rsid w:val="74E9568C"/>
    <w:rsid w:val="75A94E98"/>
    <w:rsid w:val="75CC3C81"/>
    <w:rsid w:val="76A13336"/>
    <w:rsid w:val="76C27645"/>
    <w:rsid w:val="77F661CB"/>
    <w:rsid w:val="7BFE39EA"/>
    <w:rsid w:val="7C1C10E1"/>
    <w:rsid w:val="7E063668"/>
    <w:rsid w:val="7E8E5C40"/>
    <w:rsid w:val="7F1E50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3">
    <w:name w:val="Normal Indent"/>
    <w:basedOn w:val="1"/>
    <w:qFormat/>
    <w:uiPriority w:val="0"/>
    <w:pPr>
      <w:ind w:firstLine="420" w:firstLineChars="200"/>
    </w:pPr>
    <w:rPr>
      <w:szCs w:val="21"/>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rPr>
      <w:rFonts w:ascii="Calibri" w:hAnsi="Calibri" w:eastAsia="微软雅黑" w:cs="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qFormat/>
    <w:uiPriority w:val="0"/>
    <w:rPr>
      <w:color w:val="0000FF"/>
      <w:u w:val="single"/>
    </w:rPr>
  </w:style>
  <w:style w:type="character" w:customStyle="1" w:styleId="11">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3541</Words>
  <Characters>3708</Characters>
  <Lines>27</Lines>
  <Paragraphs>7</Paragraphs>
  <TotalTime>1</TotalTime>
  <ScaleCrop>false</ScaleCrop>
  <LinksUpToDate>false</LinksUpToDate>
  <CharactersWithSpaces>3754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刘紫薇</cp:lastModifiedBy>
  <cp:lastPrinted>2023-08-31T02:34:00Z</cp:lastPrinted>
  <dcterms:modified xsi:type="dcterms:W3CDTF">2025-11-20T02:19:35Z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9A3FE98AC0CB470A88B3D6F6BCF5D358_13</vt:lpwstr>
  </property>
  <property fmtid="{D5CDD505-2E9C-101B-9397-08002B2CF9AE}" pid="4" name="KSOTemplateDocerSaveRecord">
    <vt:lpwstr>eyJoZGlkIjoiNWIzOTc1OGU0MTk4NTVkZTYyMjE5NWE3MjA2MjQ2N2YiLCJ1c2VySWQiOiIyNTI3OTE4NDgifQ==</vt:lpwstr>
  </property>
</Properties>
</file>