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7554">
      <w:pPr>
        <w:jc w:val="center"/>
        <w:rPr>
          <w:b/>
          <w:bCs/>
          <w:sz w:val="28"/>
          <w:szCs w:val="36"/>
        </w:rPr>
      </w:pPr>
    </w:p>
    <w:p w14:paraId="025BC8D1">
      <w:pPr>
        <w:rPr>
          <w:b/>
          <w:bCs/>
          <w:sz w:val="28"/>
          <w:szCs w:val="36"/>
        </w:rPr>
      </w:pPr>
      <w:r>
        <w:rPr>
          <w:rFonts w:hint="eastAsia"/>
          <w:b/>
          <w:bCs/>
          <w:sz w:val="28"/>
          <w:szCs w:val="36"/>
        </w:rPr>
        <w:t>附件1</w:t>
      </w:r>
    </w:p>
    <w:p w14:paraId="6135546D">
      <w:pPr>
        <w:jc w:val="center"/>
        <w:rPr>
          <w:rFonts w:ascii="仿宋" w:hAnsi="仿宋" w:eastAsia="仿宋" w:cs="仿宋"/>
          <w:b/>
          <w:bCs/>
          <w:color w:val="333333"/>
          <w:kern w:val="0"/>
          <w:sz w:val="28"/>
          <w:szCs w:val="28"/>
        </w:rPr>
      </w:pPr>
      <w:r>
        <w:rPr>
          <w:rFonts w:hint="eastAsia" w:ascii="仿宋" w:hAnsi="仿宋" w:eastAsia="仿宋" w:cs="仿宋"/>
          <w:b/>
          <w:bCs/>
          <w:color w:val="333333"/>
          <w:kern w:val="0"/>
          <w:sz w:val="28"/>
          <w:szCs w:val="28"/>
        </w:rPr>
        <w:t>医用食品采购需求</w:t>
      </w:r>
    </w:p>
    <w:tbl>
      <w:tblPr>
        <w:tblStyle w:val="4"/>
        <w:tblW w:w="8520" w:type="dxa"/>
        <w:jc w:val="center"/>
        <w:tblLayout w:type="autofit"/>
        <w:tblCellMar>
          <w:top w:w="0" w:type="dxa"/>
          <w:left w:w="108" w:type="dxa"/>
          <w:bottom w:w="0" w:type="dxa"/>
          <w:right w:w="108" w:type="dxa"/>
        </w:tblCellMar>
      </w:tblPr>
      <w:tblGrid>
        <w:gridCol w:w="946"/>
        <w:gridCol w:w="2792"/>
        <w:gridCol w:w="2712"/>
        <w:gridCol w:w="1009"/>
        <w:gridCol w:w="1061"/>
      </w:tblGrid>
      <w:tr w14:paraId="446C8443">
        <w:tblPrEx>
          <w:tblCellMar>
            <w:top w:w="0" w:type="dxa"/>
            <w:left w:w="108" w:type="dxa"/>
            <w:bottom w:w="0" w:type="dxa"/>
            <w:right w:w="108" w:type="dxa"/>
          </w:tblCellMar>
        </w:tblPrEx>
        <w:trPr>
          <w:trHeight w:val="480"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5704D32">
            <w:pPr>
              <w:widowControl/>
              <w:jc w:val="center"/>
              <w:textAlignment w:val="center"/>
              <w:rPr>
                <w:rFonts w:ascii="Segoe UI" w:hAnsi="Segoe UI" w:eastAsia="Segoe UI" w:cs="Segoe UI"/>
                <w:b/>
                <w:bCs/>
                <w:color w:val="000000" w:themeColor="text1"/>
                <w:szCs w:val="21"/>
                <w14:textFill>
                  <w14:solidFill>
                    <w14:schemeClr w14:val="tx1"/>
                  </w14:solidFill>
                </w14:textFill>
              </w:rPr>
            </w:pPr>
            <w:r>
              <w:rPr>
                <w:rStyle w:val="7"/>
                <w:color w:val="000000" w:themeColor="text1"/>
                <w:lang w:bidi="ar"/>
                <w14:textFill>
                  <w14:solidFill>
                    <w14:schemeClr w14:val="tx1"/>
                  </w14:solidFill>
                </w14:textFill>
              </w:rPr>
              <w:t>类别</w:t>
            </w: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4FD4B8E">
            <w:pPr>
              <w:widowControl/>
              <w:jc w:val="center"/>
              <w:textAlignment w:val="center"/>
              <w:rPr>
                <w:rFonts w:ascii="宋体" w:hAnsi="宋体" w:eastAsia="宋体" w:cs="宋体"/>
                <w:b/>
                <w:bCs/>
                <w:color w:val="000000" w:themeColor="text1"/>
                <w:szCs w:val="21"/>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​产品名称​</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7798C63">
            <w:pPr>
              <w:widowControl/>
              <w:jc w:val="center"/>
              <w:textAlignment w:val="center"/>
              <w:rPr>
                <w:rFonts w:ascii="宋体" w:hAnsi="宋体" w:eastAsia="宋体" w:cs="宋体"/>
                <w:b/>
                <w:bCs/>
                <w:color w:val="000000" w:themeColor="text1"/>
                <w:szCs w:val="21"/>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​适用人群/功能​</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F1EFEB5">
            <w:pPr>
              <w:widowControl/>
              <w:jc w:val="center"/>
              <w:textAlignment w:val="center"/>
              <w:rPr>
                <w:rStyle w:val="7"/>
                <w:rFonts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国内是否获批特医食品</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A45D51E">
            <w:pPr>
              <w:widowControl/>
              <w:jc w:val="center"/>
              <w:textAlignment w:val="center"/>
              <w:rPr>
                <w:rStyle w:val="7"/>
                <w:rFonts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采购量</w:t>
            </w:r>
          </w:p>
          <w:p w14:paraId="2D220F21">
            <w:pPr>
              <w:widowControl/>
              <w:jc w:val="center"/>
              <w:textAlignment w:val="center"/>
              <w:rPr>
                <w:rStyle w:val="7"/>
                <w:rFonts w:ascii="宋体" w:hAnsi="宋体" w:eastAsia="宋体" w:cs="宋体"/>
                <w:color w:val="000000" w:themeColor="text1"/>
                <w:lang w:bidi="ar"/>
                <w14:textFill>
                  <w14:solidFill>
                    <w14:schemeClr w14:val="tx1"/>
                  </w14:solidFill>
                </w14:textFill>
              </w:rPr>
            </w:pPr>
            <w:r>
              <w:rPr>
                <w:rStyle w:val="7"/>
                <w:rFonts w:hint="eastAsia" w:ascii="宋体" w:hAnsi="宋体" w:eastAsia="宋体" w:cs="宋体"/>
                <w:color w:val="000000" w:themeColor="text1"/>
                <w:lang w:bidi="ar"/>
                <w14:textFill>
                  <w14:solidFill>
                    <w14:schemeClr w14:val="tx1"/>
                  </w14:solidFill>
                </w14:textFill>
              </w:rPr>
              <w:t>（g/ml）</w:t>
            </w:r>
          </w:p>
        </w:tc>
      </w:tr>
      <w:tr w14:paraId="51B79327">
        <w:tblPrEx>
          <w:tblCellMar>
            <w:top w:w="0" w:type="dxa"/>
            <w:left w:w="108" w:type="dxa"/>
            <w:bottom w:w="0" w:type="dxa"/>
            <w:right w:w="108" w:type="dxa"/>
          </w:tblCellMar>
        </w:tblPrEx>
        <w:trPr>
          <w:trHeight w:val="270" w:hRule="atLeast"/>
          <w:jc w:val="center"/>
        </w:trPr>
        <w:tc>
          <w:tcPr>
            <w:tcW w:w="946" w:type="dxa"/>
            <w:vMerge w:val="restart"/>
            <w:tcBorders>
              <w:left w:val="single" w:color="000000" w:sz="4" w:space="0"/>
              <w:right w:val="single" w:color="000000" w:sz="4" w:space="0"/>
            </w:tcBorders>
            <w:shd w:val="clear" w:color="auto" w:fill="FCFCFC"/>
            <w:vAlign w:val="center"/>
          </w:tcPr>
          <w:p w14:paraId="5C169BA1">
            <w:pPr>
              <w:jc w:val="left"/>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 xml:space="preserve">1. </w:t>
            </w:r>
            <w:r>
              <w:rPr>
                <w:rStyle w:val="8"/>
                <w:rFonts w:hint="default" w:asciiTheme="majorEastAsia" w:hAnsiTheme="majorEastAsia" w:eastAsiaTheme="majorEastAsia" w:cstheme="majorEastAsia"/>
                <w:b/>
                <w:bCs/>
                <w:color w:val="000000" w:themeColor="text1"/>
                <w:lang w:bidi="ar"/>
                <w14:textFill>
                  <w14:solidFill>
                    <w14:schemeClr w14:val="tx1"/>
                  </w14:solidFill>
                </w14:textFill>
              </w:rPr>
              <w:t>婴幼儿配方食品</w:t>
            </w: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11EE2F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母乳营养补充剂</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042B47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母乳喂养低体重儿强化</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1A006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5A15134">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r>
      <w:tr w14:paraId="74EF1E59">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3790005B">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32DB53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儿童复合营养素</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D9EFA3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儿童营养补充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593D2C2">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C98FA98">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6B8DFD7A">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7E0CE4CB">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C52866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婴幼儿防敏益生菌</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A94990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过敏高风险婴儿肠道调节</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E20DDF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704003B">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r>
      <w:tr w14:paraId="189E8938">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1E4E76DC">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674C05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婴幼儿配方乳粉（0-6月龄）</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2C9031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提供婴儿所需全部营养</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7E0C00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43D5935">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36538179">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4F6CF10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33A42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婴幼儿配方乳粉（6-12月龄）</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FA91A4A">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增加铁、钙等微量元素，减少脂肪比例</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F702C89">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5E63F68">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149C47FA">
        <w:tblPrEx>
          <w:tblCellMar>
            <w:top w:w="0" w:type="dxa"/>
            <w:left w:w="108" w:type="dxa"/>
            <w:bottom w:w="0" w:type="dxa"/>
            <w:right w:w="108" w:type="dxa"/>
          </w:tblCellMar>
        </w:tblPrEx>
        <w:trPr>
          <w:trHeight w:val="360"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0BAA6A54">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2. 全营养配方食品</w:t>
            </w: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B2E8D0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高纤维型匀浆膳粉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904C37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肠道功能恢复期患者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919B5D2">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908BCE0">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50000</w:t>
            </w:r>
          </w:p>
        </w:tc>
      </w:tr>
      <w:tr w14:paraId="196B76A1">
        <w:tblPrEx>
          <w:tblCellMar>
            <w:top w:w="0" w:type="dxa"/>
            <w:left w:w="108" w:type="dxa"/>
            <w:bottom w:w="0" w:type="dxa"/>
            <w:right w:w="108" w:type="dxa"/>
          </w:tblCellMar>
        </w:tblPrEx>
        <w:trPr>
          <w:trHeight w:val="340" w:hRule="atLeast"/>
          <w:jc w:val="center"/>
        </w:trPr>
        <w:tc>
          <w:tcPr>
            <w:tcW w:w="946" w:type="dxa"/>
            <w:vMerge w:val="continue"/>
            <w:tcBorders>
              <w:left w:val="single" w:color="000000" w:sz="4" w:space="0"/>
              <w:right w:val="single" w:color="000000" w:sz="4" w:space="0"/>
            </w:tcBorders>
            <w:shd w:val="clear" w:color="auto" w:fill="FCFCFC"/>
            <w:vAlign w:val="center"/>
          </w:tcPr>
          <w:p w14:paraId="0916BE4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E99D62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整蛋白型全营养配方粉（10岁以上）</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84F214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吞咽障碍/普通营养支持</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45A1BD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A236B8">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r>
      <w:tr w14:paraId="1AB69542">
        <w:tblPrEx>
          <w:tblCellMar>
            <w:top w:w="0" w:type="dxa"/>
            <w:left w:w="108" w:type="dxa"/>
            <w:bottom w:w="0" w:type="dxa"/>
            <w:right w:w="108" w:type="dxa"/>
          </w:tblCellMar>
        </w:tblPrEx>
        <w:trPr>
          <w:trHeight w:val="420" w:hRule="atLeast"/>
          <w:jc w:val="center"/>
        </w:trPr>
        <w:tc>
          <w:tcPr>
            <w:tcW w:w="946" w:type="dxa"/>
            <w:vMerge w:val="continue"/>
            <w:tcBorders>
              <w:left w:val="single" w:color="000000" w:sz="4" w:space="0"/>
              <w:right w:val="single" w:color="000000" w:sz="4" w:space="0"/>
            </w:tcBorders>
            <w:shd w:val="clear" w:color="auto" w:fill="FCFCFC"/>
            <w:vAlign w:val="center"/>
          </w:tcPr>
          <w:p w14:paraId="0BC419B6">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DD01FD1">
            <w:pPr>
              <w:widowControl/>
              <w:jc w:val="center"/>
              <w:textAlignment w:val="center"/>
              <w:rPr>
                <w:rFonts w:ascii="宋体" w:hAnsi="宋体" w:eastAsia="宋体" w:cs="宋体"/>
                <w:color w:val="000000" w:themeColor="text1"/>
                <w:szCs w:val="21"/>
                <w14:textFill>
                  <w14:solidFill>
                    <w14:schemeClr w14:val="tx1"/>
                  </w14:solidFill>
                </w14:textFill>
              </w:rPr>
            </w:pPr>
            <w:r>
              <w:rPr>
                <w:rStyle w:val="8"/>
                <w:rFonts w:hint="default"/>
                <w:color w:val="000000" w:themeColor="text1"/>
                <w:lang w:bidi="ar"/>
                <w14:textFill>
                  <w14:solidFill>
                    <w14:schemeClr w14:val="tx1"/>
                  </w14:solidFill>
                </w14:textFill>
              </w:rPr>
              <w:t>整蛋白型全营养配方粉（</w:t>
            </w:r>
            <w:r>
              <w:rPr>
                <w:rStyle w:val="9"/>
                <w:rFonts w:hint="eastAsia" w:ascii="宋体" w:hAnsi="宋体" w:eastAsia="宋体" w:cs="宋体"/>
                <w:color w:val="000000" w:themeColor="text1"/>
                <w:lang w:bidi="ar"/>
                <w14:textFill>
                  <w14:solidFill>
                    <w14:schemeClr w14:val="tx1"/>
                  </w14:solidFill>
                </w14:textFill>
              </w:rPr>
              <w:t>1-10</w:t>
            </w:r>
            <w:r>
              <w:rPr>
                <w:rStyle w:val="8"/>
                <w:rFonts w:hint="default"/>
                <w:color w:val="000000" w:themeColor="text1"/>
                <w:lang w:bidi="ar"/>
                <w14:textFill>
                  <w14:solidFill>
                    <w14:schemeClr w14:val="tx1"/>
                  </w14:solidFill>
                </w14:textFill>
              </w:rPr>
              <w:t>岁）</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121833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吞咽障碍/普通营养支持</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8854F6E">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F423461">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76ABA344">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256194DF">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E3580A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短肽型全营养配方粉（10岁以上）</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459F4D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胃肠功能障碍患者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9E71B0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A7DBB4D">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1D3D7AC8">
        <w:tblPrEx>
          <w:tblCellMar>
            <w:top w:w="0" w:type="dxa"/>
            <w:left w:w="108" w:type="dxa"/>
            <w:bottom w:w="0" w:type="dxa"/>
            <w:right w:w="108" w:type="dxa"/>
          </w:tblCellMar>
        </w:tblPrEx>
        <w:trPr>
          <w:trHeight w:val="360" w:hRule="atLeast"/>
          <w:jc w:val="center"/>
        </w:trPr>
        <w:tc>
          <w:tcPr>
            <w:tcW w:w="946" w:type="dxa"/>
            <w:vMerge w:val="continue"/>
            <w:tcBorders>
              <w:left w:val="single" w:color="000000" w:sz="4" w:space="0"/>
              <w:right w:val="single" w:color="000000" w:sz="4" w:space="0"/>
            </w:tcBorders>
            <w:shd w:val="clear" w:color="auto" w:fill="FCFCFC"/>
            <w:vAlign w:val="center"/>
          </w:tcPr>
          <w:p w14:paraId="3EA9F2C6">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10756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短肽型全营养配方粉（1-10岁）</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807DF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胃肠功能障碍患者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EF31D9">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321FA2E">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12200</w:t>
            </w:r>
          </w:p>
        </w:tc>
      </w:tr>
      <w:tr w14:paraId="3B9D4645">
        <w:tblPrEx>
          <w:tblCellMar>
            <w:top w:w="0" w:type="dxa"/>
            <w:left w:w="108" w:type="dxa"/>
            <w:bottom w:w="0" w:type="dxa"/>
            <w:right w:w="108" w:type="dxa"/>
          </w:tblCellMar>
        </w:tblPrEx>
        <w:trPr>
          <w:trHeight w:val="272"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04AB7F3D">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 xml:space="preserve">3. </w:t>
            </w:r>
            <w:r>
              <w:rPr>
                <w:rStyle w:val="8"/>
                <w:rFonts w:hint="default" w:asciiTheme="majorEastAsia" w:hAnsiTheme="majorEastAsia" w:eastAsiaTheme="majorEastAsia" w:cstheme="majorEastAsia"/>
                <w:b/>
                <w:bCs/>
                <w:color w:val="000000" w:themeColor="text1"/>
                <w:lang w:bidi="ar"/>
                <w14:textFill>
                  <w14:solidFill>
                    <w14:schemeClr w14:val="tx1"/>
                  </w14:solidFill>
                </w14:textFill>
              </w:rPr>
              <w:t>特定全营养配方食品</w:t>
            </w: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DCC109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肿瘤全营养配方粉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814B7F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放化疗患者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174ABAD">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4ADF30F">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60A4C7A9">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5CF676D4">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DBE696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肝病全营养配方粉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FA1B6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慢性肝炎、肝硬化、肝性脑病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7ECED0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14B4B25">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6055336F">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7E14B499">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953BCF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呼吸系统疾病全营养配方粉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1495A4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慢阻肺、肺炎</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F7F248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6EF0588">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48FCE61B">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5E7E4362">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74AC48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肾病全营养配方粉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D778E0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慢性肾病患者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5D7AD6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92D9FA1">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26F7848A">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148A6064">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3CD177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糖尿病全营养配方粉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F51622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血糖控制需求患者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C456D5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A63C173">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24869319">
        <w:tblPrEx>
          <w:tblCellMar>
            <w:top w:w="0" w:type="dxa"/>
            <w:left w:w="108" w:type="dxa"/>
            <w:bottom w:w="0" w:type="dxa"/>
            <w:right w:w="108" w:type="dxa"/>
          </w:tblCellMar>
        </w:tblPrEx>
        <w:trPr>
          <w:trHeight w:val="270"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4B724A1B">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4. 非全营养配方食品</w:t>
            </w: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6DA65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碳水化合物配方液</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D04285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能量补充（如短肠综合征）</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3B8CED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0EB1E9D">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r>
      <w:tr w14:paraId="0102AABF">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0261A03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566849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电解质配方液</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F3F2CF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腹泻/术后电解质紊乱</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2570DC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4D13EC5">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1217472B">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759740A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933BC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蛋白质配方粉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041C24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蛋白质强化</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711E4F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B1C1A3">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55DDC531">
        <w:tblPrEx>
          <w:tblCellMar>
            <w:top w:w="0" w:type="dxa"/>
            <w:left w:w="108" w:type="dxa"/>
            <w:bottom w:w="0" w:type="dxa"/>
            <w:right w:w="108" w:type="dxa"/>
          </w:tblCellMar>
        </w:tblPrEx>
        <w:trPr>
          <w:trHeight w:val="320" w:hRule="atLeast"/>
          <w:jc w:val="center"/>
        </w:trPr>
        <w:tc>
          <w:tcPr>
            <w:tcW w:w="946" w:type="dxa"/>
            <w:vMerge w:val="continue"/>
            <w:tcBorders>
              <w:left w:val="single" w:color="000000" w:sz="4" w:space="0"/>
              <w:right w:val="single" w:color="000000" w:sz="4" w:space="0"/>
            </w:tcBorders>
            <w:shd w:val="clear" w:color="auto" w:fill="FCFCFC"/>
            <w:vAlign w:val="center"/>
          </w:tcPr>
          <w:p w14:paraId="1214EA92">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A490CE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水解乳清蛋白配方液</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C64C81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快速吸收蛋白质补充</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BDF116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07625B">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r>
      <w:tr w14:paraId="0DDA8354">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1188E81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67B817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增稠配方粉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7AE55A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吞咽障碍患者食物质构调整</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BE5593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BFCB5DB">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r>
      <w:tr w14:paraId="2195E735">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2028076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FE9EF1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清流质配方粉</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5863ED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术前肠道准备/急性胰腺炎</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2C4B497">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8DF806C">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7D8D4E34">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4971351E">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85AA4F7">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ascii="宋体" w:hAnsi="宋体" w:eastAsia="宋体" w:cs="宋体"/>
                <w:color w:val="000000" w:themeColor="text1"/>
                <w:kern w:val="0"/>
                <w:szCs w:val="21"/>
                <w:lang w:bidi="ar"/>
                <w14:textFill>
                  <w14:solidFill>
                    <w14:schemeClr w14:val="tx1"/>
                  </w14:solidFill>
                </w14:textFill>
              </w:rPr>
              <w:t>γ-氨基丁酸</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7E26ABA">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促进人体自身生长激素分泌</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DDEA5B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FEE11BA">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0A79798C">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778220F1">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93B70C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益生菌</w:t>
            </w:r>
          </w:p>
        </w:tc>
        <w:tc>
          <w:tcPr>
            <w:tcW w:w="271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DF25EA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肠道菌群调节</w:t>
            </w:r>
          </w:p>
        </w:tc>
        <w:tc>
          <w:tcPr>
            <w:tcW w:w="10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E91EB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F9C7AA6">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r>
      <w:tr w14:paraId="3E1C1257">
        <w:tblPrEx>
          <w:tblCellMar>
            <w:top w:w="0" w:type="dxa"/>
            <w:left w:w="108" w:type="dxa"/>
            <w:bottom w:w="0" w:type="dxa"/>
            <w:right w:w="108" w:type="dxa"/>
          </w:tblCellMar>
        </w:tblPrEx>
        <w:trPr>
          <w:trHeight w:val="540" w:hRule="atLeast"/>
          <w:jc w:val="center"/>
        </w:trPr>
        <w:tc>
          <w:tcPr>
            <w:tcW w:w="946" w:type="dxa"/>
            <w:vMerge w:val="restart"/>
            <w:tcBorders>
              <w:top w:val="single" w:color="000000" w:sz="4" w:space="0"/>
              <w:left w:val="single" w:color="000000" w:sz="4" w:space="0"/>
              <w:right w:val="single" w:color="000000" w:sz="4" w:space="0"/>
            </w:tcBorders>
            <w:shd w:val="clear" w:color="auto" w:fill="auto"/>
            <w:vAlign w:val="center"/>
          </w:tcPr>
          <w:p w14:paraId="3401B5C5">
            <w:pPr>
              <w:widowControl/>
              <w:jc w:val="left"/>
              <w:textAlignment w:val="center"/>
              <w:rPr>
                <w:rFonts w:asciiTheme="majorEastAsia" w:hAnsiTheme="majorEastAsia" w:eastAsiaTheme="majorEastAsia" w:cstheme="majorEastAsia"/>
                <w:b/>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5</w:t>
            </w: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、减重配方食品</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E7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乳清蛋白代餐棒</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D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减重期间加餐使用，增加饱腹感，补充优质蛋白，有利于肌肉合成。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6C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2399">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5C249B61">
        <w:tblPrEx>
          <w:tblCellMar>
            <w:top w:w="0" w:type="dxa"/>
            <w:left w:w="108" w:type="dxa"/>
            <w:bottom w:w="0" w:type="dxa"/>
            <w:right w:w="108" w:type="dxa"/>
          </w:tblCellMar>
        </w:tblPrEx>
        <w:trPr>
          <w:trHeight w:val="540" w:hRule="atLeast"/>
          <w:jc w:val="center"/>
        </w:trPr>
        <w:tc>
          <w:tcPr>
            <w:tcW w:w="946" w:type="dxa"/>
            <w:vMerge w:val="continue"/>
            <w:tcBorders>
              <w:left w:val="single" w:color="000000" w:sz="4" w:space="0"/>
              <w:right w:val="single" w:color="000000" w:sz="4" w:space="0"/>
            </w:tcBorders>
            <w:shd w:val="clear" w:color="auto" w:fill="auto"/>
            <w:vAlign w:val="center"/>
          </w:tcPr>
          <w:p w14:paraId="42738291">
            <w:pPr>
              <w:rPr>
                <w:rFonts w:ascii="宋体" w:hAnsi="宋体" w:eastAsia="宋体" w:cs="宋体"/>
                <w:color w:val="000000" w:themeColor="text1"/>
                <w:sz w:val="22"/>
                <w:szCs w:val="22"/>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1F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高蛋白代餐棒</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A1C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减重期间加餐使用，增加饱腹感，补充优质蛋白。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2D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DDF">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r>
      <w:tr w14:paraId="28FEFBDA">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auto"/>
            <w:vAlign w:val="center"/>
          </w:tcPr>
          <w:p w14:paraId="4FA401A8">
            <w:pPr>
              <w:rPr>
                <w:rFonts w:ascii="宋体" w:hAnsi="宋体" w:eastAsia="宋体" w:cs="宋体"/>
                <w:color w:val="000000" w:themeColor="text1"/>
                <w:sz w:val="22"/>
                <w:szCs w:val="22"/>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D34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纤维素粉</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8D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阻断脂肪吸收，促进排便。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47A">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67B">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r>
      <w:tr w14:paraId="494D063C">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bottom w:val="single" w:color="000000" w:sz="4" w:space="0"/>
              <w:right w:val="single" w:color="000000" w:sz="4" w:space="0"/>
            </w:tcBorders>
            <w:shd w:val="clear" w:color="auto" w:fill="auto"/>
            <w:vAlign w:val="center"/>
          </w:tcPr>
          <w:p w14:paraId="72A5BEF5">
            <w:pPr>
              <w:rPr>
                <w:rFonts w:ascii="宋体" w:hAnsi="宋体" w:eastAsia="宋体" w:cs="宋体"/>
                <w:color w:val="000000" w:themeColor="text1"/>
                <w:sz w:val="22"/>
                <w:szCs w:val="22"/>
                <w14:textFill>
                  <w14:solidFill>
                    <w14:schemeClr w14:val="tx1"/>
                  </w14:solidFill>
                </w14:textFill>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CF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白芸豆粉</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676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阻断淀粉吸收。</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578">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E21">
            <w:pPr>
              <w:widowControl/>
              <w:jc w:val="righ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r>
    </w:tbl>
    <w:p w14:paraId="43C63CE5">
      <w:pPr>
        <w:jc w:val="center"/>
        <w:rPr>
          <w:b/>
          <w:bCs/>
        </w:rPr>
      </w:pPr>
      <w:r>
        <w:rPr>
          <w:rFonts w:hint="eastAsia"/>
          <w:b/>
          <w:bCs/>
        </w:rPr>
        <w:t>注：对于国内获批特医食品的种类要求供应商提供拥有特医食品注册证的该类产品。</w:t>
      </w:r>
    </w:p>
    <w:p w14:paraId="0B5675E2">
      <w:pPr>
        <w:jc w:val="center"/>
        <w:rPr>
          <w:b/>
          <w:bCs/>
        </w:rPr>
      </w:pPr>
    </w:p>
    <w:p w14:paraId="7BCFFDA5">
      <w:pPr>
        <w:pStyle w:val="2"/>
        <w:spacing w:before="156"/>
        <w:ind w:firstLine="369"/>
        <w:rPr>
          <w:b/>
          <w:bCs/>
        </w:rPr>
      </w:pPr>
    </w:p>
    <w:p w14:paraId="3203F482">
      <w:pPr>
        <w:pStyle w:val="2"/>
        <w:spacing w:before="156"/>
        <w:ind w:firstLine="369"/>
        <w:rPr>
          <w:b/>
          <w:bCs/>
        </w:rPr>
      </w:pPr>
      <w:bookmarkStart w:id="0" w:name="_GoBack"/>
      <w:bookmarkEnd w:id="0"/>
    </w:p>
    <w:p w14:paraId="0BF205B9">
      <w:pPr>
        <w:pStyle w:val="2"/>
        <w:spacing w:before="156"/>
        <w:ind w:firstLine="369"/>
        <w:rPr>
          <w:b/>
          <w:bCs/>
        </w:rPr>
      </w:pPr>
    </w:p>
    <w:p w14:paraId="2E34692C">
      <w:pPr>
        <w:jc w:val="center"/>
        <w:rPr>
          <w:rFonts w:hint="eastAsia"/>
          <w:b/>
          <w:bCs/>
        </w:rPr>
      </w:pPr>
    </w:p>
    <w:p w14:paraId="65AD0273">
      <w:pPr>
        <w:jc w:val="center"/>
        <w:rPr>
          <w:rFonts w:hint="eastAsia"/>
          <w:b/>
          <w:bCs/>
        </w:rPr>
      </w:pPr>
    </w:p>
    <w:p w14:paraId="6E690A2B">
      <w:pPr>
        <w:jc w:val="center"/>
        <w:rPr>
          <w:rFonts w:hint="eastAsia"/>
          <w:b/>
          <w:bCs/>
        </w:rPr>
      </w:pPr>
    </w:p>
    <w:p w14:paraId="2CAFAE79">
      <w:pPr>
        <w:jc w:val="center"/>
        <w:rPr>
          <w:rFonts w:hint="eastAsia"/>
          <w:b/>
          <w:bCs/>
        </w:rPr>
      </w:pPr>
    </w:p>
    <w:p w14:paraId="7A4F4FFE">
      <w:pPr>
        <w:jc w:val="center"/>
        <w:rPr>
          <w:rFonts w:hint="eastAsia"/>
          <w:b/>
          <w:bCs/>
        </w:rPr>
      </w:pPr>
    </w:p>
    <w:p w14:paraId="21E4215F">
      <w:pPr>
        <w:jc w:val="center"/>
        <w:rPr>
          <w:rFonts w:hint="eastAsia"/>
          <w:b/>
          <w:bCs/>
        </w:rPr>
      </w:pPr>
    </w:p>
    <w:p w14:paraId="1F861111">
      <w:pPr>
        <w:jc w:val="left"/>
        <w:rPr>
          <w:b/>
          <w:bCs/>
          <w:sz w:val="24"/>
          <w:szCs w:val="32"/>
        </w:rPr>
      </w:pPr>
      <w:r>
        <w:rPr>
          <w:rFonts w:hint="eastAsia"/>
          <w:b/>
          <w:bCs/>
          <w:sz w:val="24"/>
          <w:szCs w:val="32"/>
        </w:rPr>
        <w:t xml:space="preserve"> 附件2</w:t>
      </w:r>
    </w:p>
    <w:p w14:paraId="2AE5D999">
      <w:pPr>
        <w:pStyle w:val="2"/>
        <w:spacing w:before="156"/>
        <w:ind w:firstLine="369"/>
        <w:jc w:val="center"/>
      </w:pPr>
      <w:r>
        <w:rPr>
          <w:rFonts w:hint="eastAsia"/>
          <w:b/>
          <w:bCs/>
        </w:rPr>
        <w:t>服务要求</w:t>
      </w:r>
    </w:p>
    <w:p w14:paraId="6D7CB707">
      <w:pPr>
        <w:spacing w:line="460" w:lineRule="exact"/>
        <w:ind w:firstLine="482" w:firstLineChars="200"/>
        <w:rPr>
          <w:rFonts w:cs="宋体" w:asciiTheme="minorEastAsia" w:hAnsiTheme="minorEastAsia"/>
          <w:b/>
          <w:bCs/>
          <w:sz w:val="24"/>
        </w:rPr>
      </w:pPr>
      <w:r>
        <w:rPr>
          <w:rFonts w:ascii="宋体" w:hAnsi="宋体"/>
          <w:b/>
          <w:sz w:val="24"/>
        </w:rPr>
        <w:t>1</w:t>
      </w:r>
      <w:r>
        <w:rPr>
          <w:rFonts w:hint="eastAsia" w:ascii="宋体" w:hAnsi="宋体"/>
          <w:b/>
          <w:sz w:val="24"/>
        </w:rPr>
        <w:t>、</w:t>
      </w:r>
      <w:r>
        <w:rPr>
          <w:rFonts w:hint="eastAsia" w:cs="宋体" w:asciiTheme="minorEastAsia" w:hAnsiTheme="minorEastAsia"/>
          <w:b/>
          <w:bCs/>
          <w:sz w:val="24"/>
        </w:rPr>
        <w:t>质量及退换货要求：</w:t>
      </w:r>
    </w:p>
    <w:p w14:paraId="2DA6B00E">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提供的产品必须达到国家或行业食品卫生安全标准。中标单位提供的各种肠内营养制品必须完全符合《中华人民共和国食品安全法》、《中华人民共和国产品质量法》和《食品安全国家标准预包装食品营养标签通则（GB28050-2011）》等食品卫生安全标准和相关行业标准。如合同期内国家相关部门出台新的相应标准和规范，中标单位则必须无条件按照新标准和规范执行。中标单位所供肠内营养制品必须均在保质期内，否则甲方有权拒收，中标单位无条件更换。</w:t>
      </w:r>
    </w:p>
    <w:p w14:paraId="6F59BB33">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所有产品包装及标识应符合国家相关标准，具有良好的密封性和防潮性，破损率不得超过国家规定标准；中标单位所供肠内营养制品必须是制造商原厂包装，其包装均具有良好的密封性和防潮性。凡由于包装不良造成的损失和由此产生的费用均由中标单位自行承担。</w:t>
      </w:r>
    </w:p>
    <w:p w14:paraId="0D73360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3)因患者对产品不适造成的退货损失，必须由中标方全部承担。</w:t>
      </w:r>
    </w:p>
    <w:p w14:paraId="10228AE1">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2、配送要求：</w:t>
      </w:r>
    </w:p>
    <w:p w14:paraId="41804576">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1)中标单位需安排好履行合同所需的仓储、运输等条件，必须保障中标产品供应；</w:t>
      </w:r>
    </w:p>
    <w:p w14:paraId="0727B04C">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2)采购人按实际需要量分批采购，中标单位接到采购人的发货通知后，应按采购人要求在规定时限内将相应货物及时送达指定的地点；</w:t>
      </w:r>
    </w:p>
    <w:p w14:paraId="5914B8C3">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3)货物送达时，应在发票或送货单上注明货物名称、规格（型号）、制造商、生产日期（或生产批号）、产品有效期等。</w:t>
      </w:r>
    </w:p>
    <w:p w14:paraId="42079BBB">
      <w:pPr>
        <w:spacing w:line="460" w:lineRule="exact"/>
        <w:ind w:firstLine="480" w:firstLineChars="200"/>
        <w:rPr>
          <w:rFonts w:cs="宋体" w:asciiTheme="minorEastAsia" w:hAnsiTheme="minorEastAsia"/>
          <w:sz w:val="24"/>
        </w:rPr>
      </w:pPr>
      <w:r>
        <w:rPr>
          <w:rFonts w:hint="eastAsia" w:cs="宋体" w:asciiTheme="minorEastAsia" w:hAnsiTheme="minorEastAsia"/>
          <w:sz w:val="24"/>
        </w:rPr>
        <w:t>4）中标单位根据采购人的采购计划分批次供货，不允许超计划供货，超出计划的品种，采购人不予验收入库，由中标单位无条件带回。所供肠内营养制品严格按照采购人要求送至指定地点，并负责运输、上架，摆放整齐，运输费用及运输途中的风险由中标单位自行承担。</w:t>
      </w:r>
    </w:p>
    <w:p w14:paraId="730C2DB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5）中标单位须随货提供该批次产品的检测合格报告，对于无法提供的，采购人有权拒收，直至能够提供合格的检测报告为止。</w:t>
      </w:r>
    </w:p>
    <w:p w14:paraId="4664E17C">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3、验收要求：</w:t>
      </w:r>
    </w:p>
    <w:p w14:paraId="5863CFD7">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（1）货物到场，由采购人营养科根据中标单位投报的品牌型号进行货物验收。中标单位和采购人双方共同实施验收工作，结果和验收报告经双方确认后生效。</w:t>
      </w:r>
    </w:p>
    <w:p w14:paraId="6190AAB2">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（2）如发现中标单位以次充好、不按时供货或造成采购人使用科室投诉的，每发现一次扣罚乙方500元。</w:t>
      </w:r>
    </w:p>
    <w:p w14:paraId="04C85A5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（3）若中标单位所供肠内营养制品存在使用和质量问题，采购人有权拒收，中标单位须在3个工作日内无偿更换，直至采购人认可。</w:t>
      </w:r>
    </w:p>
    <w:p w14:paraId="29B540D5">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4、其他</w:t>
      </w:r>
      <w:r>
        <w:rPr>
          <w:rFonts w:cs="宋体" w:asciiTheme="minorEastAsia" w:hAnsiTheme="minorEastAsia"/>
          <w:b/>
          <w:bCs/>
          <w:sz w:val="24"/>
        </w:rPr>
        <w:t>要求：</w:t>
      </w:r>
    </w:p>
    <w:p w14:paraId="6173E4C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（1）中标单位必须有完善的供货及售后服务体系，指派专人负责后期相关服务，联系人员姓名和联系方式。</w:t>
      </w:r>
    </w:p>
    <w:p w14:paraId="267C6169">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（2）中标单位必须完全满足以上所有服务要求，保证产品质量优良、货源充足。</w:t>
      </w:r>
    </w:p>
    <w:p w14:paraId="291EC0B2">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（3）采购、送货、安装、运输、供货、食品安全、质量管理及其他服务等过程中一切安全责任均由中标单位自行负责，并承担一切经济和法律责任，采购人不负任何连带责任。</w:t>
      </w:r>
    </w:p>
    <w:p w14:paraId="7CAF00DB">
      <w:pPr>
        <w:jc w:val="cente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var(--yb-font-body-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A0"/>
    <w:rsid w:val="005426A6"/>
    <w:rsid w:val="005569AE"/>
    <w:rsid w:val="00802FE9"/>
    <w:rsid w:val="009027A0"/>
    <w:rsid w:val="078C7DB0"/>
    <w:rsid w:val="082900F0"/>
    <w:rsid w:val="0DDC1C01"/>
    <w:rsid w:val="20013CB2"/>
    <w:rsid w:val="29E63772"/>
    <w:rsid w:val="2F2D0521"/>
    <w:rsid w:val="2F54145A"/>
    <w:rsid w:val="37E256BE"/>
    <w:rsid w:val="3A74198B"/>
    <w:rsid w:val="3D0A18BF"/>
    <w:rsid w:val="43EB387E"/>
    <w:rsid w:val="46581417"/>
    <w:rsid w:val="49EF3453"/>
    <w:rsid w:val="4D6A31A0"/>
    <w:rsid w:val="55A43573"/>
    <w:rsid w:val="58A3122E"/>
    <w:rsid w:val="5B504492"/>
    <w:rsid w:val="5FE557EC"/>
    <w:rsid w:val="62B4187E"/>
    <w:rsid w:val="62C74D2A"/>
    <w:rsid w:val="63470660"/>
    <w:rsid w:val="63AE3C76"/>
    <w:rsid w:val="66045F28"/>
    <w:rsid w:val="6B2604C3"/>
    <w:rsid w:val="6CAA6AB1"/>
    <w:rsid w:val="79F76BA0"/>
    <w:rsid w:val="7C28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模板普通正文"/>
    <w:basedOn w:val="3"/>
    <w:autoRedefine/>
    <w:qFormat/>
    <w:uiPriority w:val="0"/>
    <w:pPr>
      <w:spacing w:beforeLines="50" w:after="10"/>
      <w:ind w:firstLine="490" w:firstLineChars="175"/>
      <w:jc w:val="left"/>
    </w:pPr>
  </w:style>
  <w:style w:type="paragraph" w:styleId="3">
    <w:name w:val="Body Text Indent"/>
    <w:basedOn w:val="1"/>
    <w:qFormat/>
    <w:uiPriority w:val="0"/>
    <w:pPr>
      <w:spacing w:after="120"/>
      <w:ind w:left="420" w:leftChars="200"/>
    </w:pPr>
  </w:style>
  <w:style w:type="character" w:styleId="6">
    <w:name w:val="Strong"/>
    <w:basedOn w:val="5"/>
    <w:qFormat/>
    <w:uiPriority w:val="0"/>
    <w:rPr>
      <w:b/>
    </w:rPr>
  </w:style>
  <w:style w:type="character" w:customStyle="1" w:styleId="7">
    <w:name w:val="font11"/>
    <w:basedOn w:val="5"/>
    <w:qFormat/>
    <w:uiPriority w:val="0"/>
    <w:rPr>
      <w:rFonts w:hint="default" w:ascii="Segoe UI" w:hAnsi="Segoe UI" w:eastAsia="Segoe UI" w:cs="Segoe UI"/>
      <w:b/>
      <w:bCs/>
      <w:color w:val="000000"/>
      <w:sz w:val="21"/>
      <w:szCs w:val="21"/>
      <w:u w:val="none"/>
    </w:r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21"/>
    <w:basedOn w:val="5"/>
    <w:qFormat/>
    <w:uiPriority w:val="0"/>
    <w:rPr>
      <w:rFonts w:hint="default" w:ascii="var(--yb-font-body-medium)" w:hAnsi="var(--yb-font-body-medium)" w:eastAsia="var(--yb-font-body-medium)" w:cs="var(--yb-font-body-medium)"/>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1742</Words>
  <Characters>1877</Characters>
  <Lines>14</Lines>
  <Paragraphs>4</Paragraphs>
  <TotalTime>2</TotalTime>
  <ScaleCrop>false</ScaleCrop>
  <LinksUpToDate>false</LinksUpToDate>
  <CharactersWithSpaces>1890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2025-03-28T00:54:00Z</dcterms:created>
  <dc:creator>临床</dc:creator>
  <cp:lastModifiedBy>悟</cp:lastModifiedBy>
  <cp:lastPrinted>2025-03-28T01:00:49Z</cp:lastPrinted>
  <dcterms:modified xsi:type="dcterms:W3CDTF">2025-03-28T01:02:11Z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eyJoZGlkIjoiYjM3Zjc5MTBmZTBmMmRiZDExZjM5ZDQwOTJkYzVhNDAiLCJ1c2VySWQiOiIyNTczMjY3MzEifQ==</vt:lpwstr>
  </property>
  <property fmtid="{D5CDD505-2E9C-101B-9397-08002B2CF9AE}" pid="4" name="ICV">
    <vt:lpwstr>2DDB7589BC1F4C8E84F7F26E31938AA9_13</vt:lpwstr>
  </property>
</Properties>
</file>