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221A">
      <w:pPr>
        <w:jc w:val="center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  <w:lang w:eastAsia="zh-CN"/>
        </w:rPr>
        <w:t>检查检验</w:t>
      </w:r>
      <w:r>
        <w:rPr>
          <w:rFonts w:ascii="宋体" w:hAnsi="宋体" w:eastAsia="宋体" w:cs="宋体"/>
          <w:b/>
          <w:bCs/>
          <w:spacing w:val="-3"/>
          <w:sz w:val="36"/>
          <w:szCs w:val="36"/>
          <w:lang w:eastAsia="zh-CN"/>
        </w:rPr>
        <w:t>结果互认</w:t>
      </w: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val="en-US" w:eastAsia="zh-CN"/>
        </w:rPr>
        <w:t>需求</w:t>
      </w: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eastAsia="zh-CN"/>
        </w:rPr>
        <w:t>参数</w:t>
      </w:r>
    </w:p>
    <w:p w14:paraId="2325B6B6">
      <w:pPr>
        <w:pStyle w:val="2"/>
        <w:numPr>
          <w:ilvl w:val="0"/>
          <w:numId w:val="1"/>
        </w:numPr>
        <w:rPr>
          <w:rFonts w:hint="eastAsia" w:ascii="宋体" w:hAnsi="宋体" w:eastAsia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项目背景</w:t>
      </w:r>
    </w:p>
    <w:p w14:paraId="3D016EAC">
      <w:pPr>
        <w:spacing w:before="279" w:line="408" w:lineRule="auto"/>
        <w:ind w:left="27" w:right="13" w:firstLine="472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为深入贯彻《国家卫生健康委办公厅关于加快推进检查检验</w:t>
      </w:r>
      <w:r>
        <w:rPr>
          <w:rFonts w:ascii="宋体" w:hAnsi="宋体" w:eastAsia="宋体" w:cs="宋体"/>
          <w:spacing w:val="1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结果互认工作的通知》</w:t>
      </w:r>
      <w:r>
        <w:rPr>
          <w:rFonts w:ascii="宋体" w:hAnsi="宋体" w:eastAsia="宋体" w:cs="宋体"/>
          <w:spacing w:val="-8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(国卫办医函〔2021〕392</w:t>
      </w:r>
      <w:r>
        <w:rPr>
          <w:rFonts w:ascii="宋体" w:hAnsi="宋体" w:eastAsia="宋体" w:cs="宋体"/>
          <w:spacing w:val="-5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号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)，落实《安徽省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  <w:lang w:eastAsia="zh-CN"/>
        </w:rPr>
        <w:t>人民政府办公厅关于印发安徽省推动公立医院高质量发展实施</w:t>
      </w:r>
      <w:r>
        <w:rPr>
          <w:rFonts w:ascii="宋体" w:hAnsi="宋体" w:eastAsia="宋体" w:cs="宋体"/>
          <w:spacing w:val="5"/>
          <w:sz w:val="24"/>
          <w:szCs w:val="24"/>
          <w:lang w:eastAsia="zh-CN"/>
        </w:rPr>
        <w:t>方案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的通知》（皖政办秘〔2021〕120</w:t>
      </w:r>
      <w:r>
        <w:rPr>
          <w:rFonts w:ascii="宋体" w:hAnsi="宋体" w:eastAsia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号）《关于加快推进安徽医学影像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互联互通的通知》（皖卫传〔2022〕65</w:t>
      </w:r>
      <w:r>
        <w:rPr>
          <w:rFonts w:ascii="宋体" w:hAnsi="宋体" w:eastAsia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号</w:t>
      </w:r>
      <w:r>
        <w:rPr>
          <w:rFonts w:ascii="宋体" w:hAnsi="宋体" w:eastAsia="宋体" w:cs="宋体"/>
          <w:spacing w:val="12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现就医疗机构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信息系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统接入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宿州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市全民健康信息平台（以下简称“健康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宿州</w:t>
      </w:r>
      <w:r>
        <w:rPr>
          <w:rFonts w:ascii="宋体" w:hAnsi="宋体" w:eastAsia="宋体" w:cs="宋体"/>
          <w:spacing w:val="-9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”）开展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宿州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市检查检验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数据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共享，实现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宿州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市医疗机构之间检查检验资料的互联</w:t>
      </w:r>
      <w:r>
        <w:rPr>
          <w:rFonts w:ascii="宋体" w:hAnsi="宋体" w:eastAsia="宋体" w:cs="宋体"/>
          <w:spacing w:val="12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互通互认。</w:t>
      </w:r>
    </w:p>
    <w:p w14:paraId="128D6C62">
      <w:pPr>
        <w:pStyle w:val="2"/>
        <w:numPr>
          <w:ilvl w:val="0"/>
          <w:numId w:val="1"/>
        </w:numPr>
        <w:rPr>
          <w:rFonts w:hint="eastAsia" w:ascii="宋体" w:hAnsi="宋体" w:eastAsia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建设</w:t>
      </w:r>
      <w:bookmarkStart w:id="2" w:name="_GoBack"/>
      <w:bookmarkEnd w:id="2"/>
      <w:r>
        <w:rPr>
          <w:rFonts w:ascii="宋体" w:hAnsi="宋体" w:eastAsia="宋体"/>
          <w:b/>
          <w:bCs/>
          <w:color w:val="auto"/>
          <w:sz w:val="30"/>
          <w:szCs w:val="30"/>
        </w:rPr>
        <w:t>目的</w:t>
      </w:r>
    </w:p>
    <w:p w14:paraId="07C8D01C">
      <w:pPr>
        <w:spacing w:before="279" w:line="408" w:lineRule="auto"/>
        <w:ind w:left="27" w:right="13" w:firstLine="472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通过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健康宿州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平台 ”向“安徽省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智联网监管子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平台 ”的调阅，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降低各医院单独对接省平台的工作周期以及信息化厂商的对接费用,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推进安徽省检查检验资料共享，实现安徽省医疗机构之间检查检验资料的互联互通互认，避免不必要的重复检查检验，有效控制医疗费用的不合理增长。对医疗机构检查检验结果互认和资料共享情况进行实时监测，对医疗机构开展的检查检验项目进行实时监控，尤其是高值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高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频、群众反映突出的检查检验项目，逐步实现对不合理检查检验自动发现、 自动提醒、自动干预。</w:t>
      </w:r>
    </w:p>
    <w:p w14:paraId="3232655B">
      <w:pPr>
        <w:pStyle w:val="2"/>
        <w:numPr>
          <w:ilvl w:val="0"/>
          <w:numId w:val="1"/>
        </w:numPr>
        <w:rPr>
          <w:rFonts w:hint="eastAsia" w:ascii="宋体" w:hAnsi="宋体" w:eastAsia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建设</w:t>
      </w:r>
      <w:r>
        <w:rPr>
          <w:rFonts w:ascii="宋体" w:hAnsi="宋体" w:eastAsia="宋体"/>
          <w:b/>
          <w:bCs/>
          <w:color w:val="auto"/>
          <w:sz w:val="30"/>
          <w:szCs w:val="30"/>
        </w:rPr>
        <w:t>范围</w:t>
      </w:r>
    </w:p>
    <w:p w14:paraId="64E492C8">
      <w:pPr>
        <w:spacing w:before="279" w:line="408" w:lineRule="auto"/>
        <w:ind w:left="27" w:right="13" w:firstLine="472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宿州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市所有具备接入条件的医疗机构（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公立基层卫生机构以及二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级及以上公立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或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民营医疗机构）按照标准规范要求接入“健康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宿州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 ”检查检验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互联互通互认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平台，推动实现全市检查检验数据互联互通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互认以及医疗数据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资源共享。</w:t>
      </w:r>
    </w:p>
    <w:p w14:paraId="15E6B3B8">
      <w:pPr>
        <w:pStyle w:val="2"/>
        <w:numPr>
          <w:ilvl w:val="0"/>
          <w:numId w:val="1"/>
        </w:numPr>
        <w:rPr>
          <w:rFonts w:hint="eastAsia" w:ascii="宋体" w:hAnsi="宋体" w:eastAsia="宋体"/>
          <w:b/>
          <w:bCs/>
          <w:color w:val="auto"/>
          <w:sz w:val="30"/>
          <w:szCs w:val="30"/>
        </w:rPr>
      </w:pPr>
      <w:bookmarkStart w:id="0" w:name="OLE_LINK4"/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建设内容</w:t>
      </w:r>
    </w:p>
    <w:bookmarkEnd w:id="0"/>
    <w:p w14:paraId="6DCE017C">
      <w:pPr>
        <w:pStyle w:val="3"/>
        <w:numPr>
          <w:ilvl w:val="1"/>
          <w:numId w:val="1"/>
        </w:numPr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ascii="宋体" w:hAnsi="宋体" w:eastAsia="宋体"/>
          <w:b/>
          <w:bCs/>
          <w:color w:val="auto"/>
          <w:sz w:val="24"/>
          <w:szCs w:val="24"/>
        </w:rPr>
        <w:t>安徽省医疗机构临床检验结果互认项目</w:t>
      </w:r>
    </w:p>
    <w:p w14:paraId="3A58C261">
      <w:pPr>
        <w:spacing w:before="279" w:line="408" w:lineRule="auto"/>
        <w:ind w:left="27" w:right="13" w:firstLine="472" w:firstLineChars="200"/>
        <w:jc w:val="both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实施互认的检验项目：7 类 56 项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：1、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血细胞分析（8 项）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；2、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尿常规化学分析-干化学法（10 项）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3、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血型鉴定（2 项）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；4、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临床生物化学（16 项）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；5、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临床免疫学（16 项）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；6、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临床微生物学（2 项）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7、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分子生物学（2 项）。</w:t>
      </w:r>
    </w:p>
    <w:p w14:paraId="35AB7D89">
      <w:pPr>
        <w:pStyle w:val="3"/>
        <w:numPr>
          <w:ilvl w:val="1"/>
          <w:numId w:val="1"/>
        </w:numPr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ascii="宋体" w:hAnsi="宋体" w:eastAsia="宋体"/>
          <w:b/>
          <w:bCs/>
          <w:color w:val="auto"/>
          <w:sz w:val="24"/>
          <w:szCs w:val="24"/>
        </w:rPr>
        <w:t>安徽省医疗机构医学影像检查互认项目</w:t>
      </w:r>
    </w:p>
    <w:p w14:paraId="5DACE86A">
      <w:pPr>
        <w:spacing w:before="279" w:line="408" w:lineRule="auto"/>
        <w:ind w:left="27" w:right="13" w:firstLine="472" w:firstLineChars="200"/>
        <w:jc w:val="both"/>
        <w:rPr>
          <w:rFonts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 实施互认的影像学检查项目：3 类 309 项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：其中包含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影像学检查项目包括 X 线检查 188 项、CT 检查 74 项、磁 共振检查 47 项，共计 309 项。 </w:t>
      </w:r>
    </w:p>
    <w:p w14:paraId="0DA530CD">
      <w:pPr>
        <w:pStyle w:val="2"/>
        <w:numPr>
          <w:ilvl w:val="0"/>
          <w:numId w:val="1"/>
        </w:numPr>
        <w:rPr>
          <w:rFonts w:hint="eastAsia" w:ascii="宋体" w:hAnsi="宋体" w:eastAsia="宋体"/>
          <w:b/>
          <w:bCs/>
          <w:color w:val="auto"/>
          <w:sz w:val="30"/>
          <w:szCs w:val="30"/>
        </w:rPr>
      </w:pPr>
      <w:bookmarkStart w:id="1" w:name="OLE_LINK1"/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建设结果报表</w:t>
      </w:r>
    </w:p>
    <w:bookmarkEnd w:id="1"/>
    <w:tbl>
      <w:tblPr>
        <w:tblStyle w:val="16"/>
        <w:tblW w:w="83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809"/>
        <w:gridCol w:w="2431"/>
        <w:gridCol w:w="2520"/>
      </w:tblGrid>
      <w:tr w14:paraId="13D6C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F19B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8592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数据表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3011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表名称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9F1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用途</w:t>
            </w:r>
          </w:p>
        </w:tc>
      </w:tr>
      <w:tr w14:paraId="4F8DD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90EF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EDF9D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ORG_DEVICE_BASE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6C1E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医疗机构设备信息表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18BD2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上传检查和检验设备信息</w:t>
            </w:r>
          </w:p>
        </w:tc>
      </w:tr>
      <w:tr w14:paraId="1870A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A55C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96309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SRVC_EXAM_NUMBER_ZLW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914FB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检查部分工作日报表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AA50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检查部分工作日报表</w:t>
            </w:r>
          </w:p>
        </w:tc>
      </w:tr>
      <w:tr w14:paraId="7B6AC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94F8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B580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SRVC_EXAM_REPORT_ZLW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CD4F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检查报告主表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396C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检查报告主表</w:t>
            </w:r>
          </w:p>
        </w:tc>
      </w:tr>
      <w:tr w14:paraId="09FE3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F9CEB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3B053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SRVC_EXAM_APPLYDTL_ZLW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2889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检查申请明细表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FD514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检查申请明细表</w:t>
            </w:r>
          </w:p>
        </w:tc>
      </w:tr>
      <w:tr w14:paraId="11E2C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1CE50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4D417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SRVC_LAB_NUMBER_ZLW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9481A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检验部分工作日报表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EDCE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检验工作日报表</w:t>
            </w:r>
          </w:p>
        </w:tc>
      </w:tr>
      <w:tr w14:paraId="1BD2C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CC66B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DD74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SRVC_LAB_APPLYDTL_ZLW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51CE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检验申请明细表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F1B2F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检验申请明细表</w:t>
            </w:r>
          </w:p>
        </w:tc>
      </w:tr>
      <w:tr w14:paraId="4FB23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F202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397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SRVC_LAB_QUALITYCONTROL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E447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检验仪器质控主表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64B43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检验仪器质控主表</w:t>
            </w:r>
          </w:p>
        </w:tc>
      </w:tr>
      <w:tr w14:paraId="68ED4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165E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C288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SRVC_LAB_QLTCTRLDTL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9F99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检验仪器质控子表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05FF0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检验仪器质控子表</w:t>
            </w:r>
          </w:p>
        </w:tc>
      </w:tr>
      <w:tr w14:paraId="37E3D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286AA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2509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SRVC_LAB_RPT_ZLW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ABF15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检验报告信息主表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1695D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检验报告信息主表</w:t>
            </w:r>
          </w:p>
        </w:tc>
      </w:tr>
      <w:tr w14:paraId="20B71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8309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BA98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SRVC_LAB_RPTDTL_ZLW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609D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检验常规报告信息子表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4990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检验报告信息子表</w:t>
            </w:r>
          </w:p>
        </w:tc>
      </w:tr>
      <w:tr w14:paraId="616C1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8D838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973C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SRVC_CULTURE_RPT_ZLW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D029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检验细菌培养报告表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75EE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检验细菌培养报告表</w:t>
            </w:r>
          </w:p>
        </w:tc>
      </w:tr>
      <w:tr w14:paraId="380BF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580C1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1206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SRVC_ANTITEST_RPT_ZLW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56CEF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检验药敏试验报告表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F74B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检验药敏试验报告表</w:t>
            </w:r>
          </w:p>
        </w:tc>
      </w:tr>
      <w:tr w14:paraId="09DB6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DDE06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B63B2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SRVC_LAB_RPTFILE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C8380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检验报告PDF存储表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8530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检验报告PDF存储表</w:t>
            </w:r>
          </w:p>
        </w:tc>
      </w:tr>
      <w:tr w14:paraId="7527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8757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F989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SRVC_EXAM_RPTFILE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C9F2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检查报告PDF存储表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52632">
            <w:pPr>
              <w:spacing w:after="120"/>
              <w:jc w:val="center"/>
              <w:textAlignment w:val="center"/>
              <w:rPr>
                <w:rFonts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检查报告PDF存储表</w:t>
            </w:r>
          </w:p>
        </w:tc>
      </w:tr>
    </w:tbl>
    <w:p w14:paraId="305FE1ED">
      <w:pPr>
        <w:spacing w:before="279" w:line="408" w:lineRule="auto"/>
        <w:ind w:right="13"/>
        <w:jc w:val="both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4A0CBC5B">
      <w:pPr>
        <w:spacing w:before="279" w:line="408" w:lineRule="auto"/>
        <w:ind w:right="13"/>
        <w:jc w:val="both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54DB0"/>
    <w:multiLevelType w:val="multilevel"/>
    <w:tmpl w:val="53954DB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20"/>
    <w:rsid w:val="00181C19"/>
    <w:rsid w:val="001828C4"/>
    <w:rsid w:val="00251B3F"/>
    <w:rsid w:val="00267467"/>
    <w:rsid w:val="002D6320"/>
    <w:rsid w:val="00303800"/>
    <w:rsid w:val="00393404"/>
    <w:rsid w:val="00410D9F"/>
    <w:rsid w:val="00701B26"/>
    <w:rsid w:val="008044B7"/>
    <w:rsid w:val="008120F6"/>
    <w:rsid w:val="00852082"/>
    <w:rsid w:val="008B7DF6"/>
    <w:rsid w:val="0092641A"/>
    <w:rsid w:val="00C4114D"/>
    <w:rsid w:val="00D56207"/>
    <w:rsid w:val="00D66050"/>
    <w:rsid w:val="00E175A7"/>
    <w:rsid w:val="00E261EC"/>
    <w:rsid w:val="00F84636"/>
    <w:rsid w:val="05646996"/>
    <w:rsid w:val="6B0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semiHidden/>
    <w:qFormat/>
    <w:uiPriority w:val="0"/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widowControl w:val="0"/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</w:r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 字符"/>
    <w:basedOn w:val="17"/>
    <w:link w:val="11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3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40">
    <w:name w:val="代码"/>
    <w:basedOn w:val="1"/>
    <w:qFormat/>
    <w:uiPriority w:val="0"/>
    <w:pPr>
      <w:spacing w:before="53" w:line="222" w:lineRule="auto"/>
      <w:ind w:left="115"/>
    </w:pPr>
    <w:rPr>
      <w:rFonts w:hint="eastAsia" w:ascii="Calibri" w:hAnsi="Calibri" w:eastAsia="微软雅黑" w:cs="Calibri"/>
      <w:sz w:val="20"/>
      <w:szCs w:val="20"/>
    </w:rPr>
  </w:style>
  <w:style w:type="character" w:customStyle="1" w:styleId="41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页眉 字符"/>
    <w:basedOn w:val="17"/>
    <w:link w:val="1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43">
    <w:name w:val="页脚 字符"/>
    <w:basedOn w:val="17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779</Characters>
  <Lines>10</Lines>
  <Paragraphs>3</Paragraphs>
  <TotalTime>62</TotalTime>
  <ScaleCrop>false</ScaleCrop>
  <LinksUpToDate>false</LinksUpToDate>
  <CharactersWithSpaces>824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2025-10-28T08:46:00Z</dcterms:created>
  <dc:creator>Administrator</dc:creator>
  <cp:lastModifiedBy>邵龙</cp:lastModifiedBy>
  <dcterms:modified xsi:type="dcterms:W3CDTF">2025-11-12T01:08:41Z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eyJoZGlkIjoiZjAxMTQ0YmYzYTlmOWIyZTI1ZGYxZDk1NjVkZTk0NGIiLCJ1c2VySWQiOiI0MjYwNTA1NTUifQ==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915BBA8D980F410A85800B0579F92713_13</vt:lpwstr>
  </property>
</Properties>
</file>