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135782A0">
      <w:pPr>
        <w:numPr>
          <w:ilvl w:val="0"/>
          <w:numId w:val="1"/>
        </w:numPr>
        <w:jc w:val="both"/>
        <w:rPr>
          <w:rFonts w:hint="eastAsia"/>
          <w:sz w:val="28"/>
          <w:szCs w:val="36"/>
          <w:lang w:val="en-US" w:eastAsia="zh-CN"/>
        </w:rPr>
      </w:pPr>
      <w:r>
        <w:rPr>
          <w:rFonts w:hint="eastAsia"/>
          <w:sz w:val="28"/>
          <w:szCs w:val="36"/>
          <w:lang w:val="en-US" w:eastAsia="zh-CN"/>
        </w:rPr>
        <w:t>响应产品报价：</w:t>
      </w:r>
      <w:bookmarkStart w:id="0" w:name="_GoBack"/>
      <w:bookmarkEnd w:id="0"/>
    </w:p>
    <w:tbl>
      <w:tblPr>
        <w:tblStyle w:val="4"/>
        <w:tblW w:w="9917" w:type="dxa"/>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533"/>
        <w:gridCol w:w="1384"/>
        <w:gridCol w:w="2333"/>
        <w:gridCol w:w="1383"/>
        <w:gridCol w:w="2034"/>
      </w:tblGrid>
      <w:tr w14:paraId="3BD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2F0792FF">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流水号</w:t>
            </w:r>
          </w:p>
        </w:tc>
        <w:tc>
          <w:tcPr>
            <w:tcW w:w="1533" w:type="dxa"/>
          </w:tcPr>
          <w:p w14:paraId="0D2880E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1384" w:type="dxa"/>
          </w:tcPr>
          <w:p w14:paraId="6176E2AE">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2333" w:type="dxa"/>
          </w:tcPr>
          <w:p w14:paraId="5214580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平台交易最低价</w:t>
            </w:r>
          </w:p>
        </w:tc>
        <w:tc>
          <w:tcPr>
            <w:tcW w:w="1383" w:type="dxa"/>
          </w:tcPr>
          <w:p w14:paraId="59C7FE7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报价</w:t>
            </w:r>
          </w:p>
        </w:tc>
        <w:tc>
          <w:tcPr>
            <w:tcW w:w="2034" w:type="dxa"/>
          </w:tcPr>
          <w:p w14:paraId="3D73F7E9">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03B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6D629565">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533" w:type="dxa"/>
          </w:tcPr>
          <w:p w14:paraId="10CFC24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384" w:type="dxa"/>
          </w:tcPr>
          <w:p w14:paraId="2B5D1DB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2333" w:type="dxa"/>
          </w:tcPr>
          <w:p w14:paraId="1C499717">
            <w:pPr>
              <w:numPr>
                <w:ilvl w:val="0"/>
                <w:numId w:val="0"/>
              </w:numPr>
              <w:jc w:val="center"/>
              <w:rPr>
                <w:rFonts w:hint="eastAsia"/>
                <w:sz w:val="28"/>
                <w:szCs w:val="36"/>
                <w:vertAlign w:val="baseline"/>
                <w:lang w:val="en-US" w:eastAsia="zh-CN"/>
              </w:rPr>
            </w:pPr>
            <w:r>
              <w:rPr>
                <w:rFonts w:hint="eastAsia"/>
                <w:sz w:val="28"/>
                <w:szCs w:val="36"/>
                <w:vertAlign w:val="baseline"/>
                <w:lang w:val="en-US" w:eastAsia="zh-CN"/>
              </w:rPr>
              <w:t>...</w:t>
            </w:r>
          </w:p>
        </w:tc>
        <w:tc>
          <w:tcPr>
            <w:tcW w:w="1383" w:type="dxa"/>
          </w:tcPr>
          <w:p w14:paraId="13BCB08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2034" w:type="dxa"/>
          </w:tcPr>
          <w:p w14:paraId="1770501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r>
      <w:tr w14:paraId="3E95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37DB148A">
            <w:pPr>
              <w:numPr>
                <w:ilvl w:val="0"/>
                <w:numId w:val="0"/>
              </w:numPr>
              <w:jc w:val="center"/>
              <w:rPr>
                <w:rFonts w:hint="default"/>
                <w:sz w:val="28"/>
                <w:szCs w:val="36"/>
                <w:vertAlign w:val="baseline"/>
                <w:lang w:val="en-US" w:eastAsia="zh-CN"/>
              </w:rPr>
            </w:pPr>
          </w:p>
        </w:tc>
        <w:tc>
          <w:tcPr>
            <w:tcW w:w="1533" w:type="dxa"/>
          </w:tcPr>
          <w:p w14:paraId="043AB796">
            <w:pPr>
              <w:numPr>
                <w:ilvl w:val="0"/>
                <w:numId w:val="0"/>
              </w:numPr>
              <w:jc w:val="center"/>
              <w:rPr>
                <w:rFonts w:hint="default"/>
                <w:sz w:val="28"/>
                <w:szCs w:val="36"/>
                <w:vertAlign w:val="baseline"/>
                <w:lang w:val="en-US" w:eastAsia="zh-CN"/>
              </w:rPr>
            </w:pPr>
          </w:p>
        </w:tc>
        <w:tc>
          <w:tcPr>
            <w:tcW w:w="1384" w:type="dxa"/>
          </w:tcPr>
          <w:p w14:paraId="0FDDAA73">
            <w:pPr>
              <w:numPr>
                <w:ilvl w:val="0"/>
                <w:numId w:val="0"/>
              </w:numPr>
              <w:jc w:val="center"/>
              <w:rPr>
                <w:rFonts w:hint="default"/>
                <w:sz w:val="28"/>
                <w:szCs w:val="36"/>
                <w:vertAlign w:val="baseline"/>
                <w:lang w:val="en-US" w:eastAsia="zh-CN"/>
              </w:rPr>
            </w:pPr>
          </w:p>
        </w:tc>
        <w:tc>
          <w:tcPr>
            <w:tcW w:w="2333" w:type="dxa"/>
          </w:tcPr>
          <w:p w14:paraId="7468B7A1">
            <w:pPr>
              <w:numPr>
                <w:ilvl w:val="0"/>
                <w:numId w:val="0"/>
              </w:numPr>
              <w:jc w:val="center"/>
              <w:rPr>
                <w:rFonts w:hint="default"/>
                <w:sz w:val="28"/>
                <w:szCs w:val="36"/>
                <w:vertAlign w:val="baseline"/>
                <w:lang w:val="en-US" w:eastAsia="zh-CN"/>
              </w:rPr>
            </w:pPr>
          </w:p>
        </w:tc>
        <w:tc>
          <w:tcPr>
            <w:tcW w:w="1383" w:type="dxa"/>
          </w:tcPr>
          <w:p w14:paraId="19244DB1">
            <w:pPr>
              <w:numPr>
                <w:ilvl w:val="0"/>
                <w:numId w:val="0"/>
              </w:numPr>
              <w:jc w:val="center"/>
              <w:rPr>
                <w:rFonts w:hint="default"/>
                <w:sz w:val="28"/>
                <w:szCs w:val="36"/>
                <w:vertAlign w:val="baseline"/>
                <w:lang w:val="en-US" w:eastAsia="zh-CN"/>
              </w:rPr>
            </w:pPr>
          </w:p>
        </w:tc>
        <w:tc>
          <w:tcPr>
            <w:tcW w:w="2034" w:type="dxa"/>
          </w:tcPr>
          <w:p w14:paraId="6CD5AD02">
            <w:pPr>
              <w:numPr>
                <w:ilvl w:val="0"/>
                <w:numId w:val="0"/>
              </w:numPr>
              <w:jc w:val="center"/>
              <w:rPr>
                <w:rFonts w:hint="default"/>
                <w:sz w:val="28"/>
                <w:szCs w:val="36"/>
                <w:vertAlign w:val="baseline"/>
                <w:lang w:val="en-US" w:eastAsia="zh-CN"/>
              </w:rPr>
            </w:pPr>
          </w:p>
        </w:tc>
      </w:tr>
      <w:tr w14:paraId="5BE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14:paraId="3FE4584F">
            <w:pPr>
              <w:numPr>
                <w:ilvl w:val="0"/>
                <w:numId w:val="0"/>
              </w:numPr>
              <w:jc w:val="center"/>
              <w:rPr>
                <w:rFonts w:hint="default"/>
                <w:sz w:val="28"/>
                <w:szCs w:val="36"/>
                <w:vertAlign w:val="baseline"/>
                <w:lang w:val="en-US" w:eastAsia="zh-CN"/>
              </w:rPr>
            </w:pPr>
          </w:p>
        </w:tc>
        <w:tc>
          <w:tcPr>
            <w:tcW w:w="1533" w:type="dxa"/>
          </w:tcPr>
          <w:p w14:paraId="3573401A">
            <w:pPr>
              <w:numPr>
                <w:ilvl w:val="0"/>
                <w:numId w:val="0"/>
              </w:numPr>
              <w:jc w:val="center"/>
              <w:rPr>
                <w:rFonts w:hint="default"/>
                <w:sz w:val="28"/>
                <w:szCs w:val="36"/>
                <w:vertAlign w:val="baseline"/>
                <w:lang w:val="en-US" w:eastAsia="zh-CN"/>
              </w:rPr>
            </w:pPr>
          </w:p>
        </w:tc>
        <w:tc>
          <w:tcPr>
            <w:tcW w:w="1384" w:type="dxa"/>
          </w:tcPr>
          <w:p w14:paraId="67CEE385">
            <w:pPr>
              <w:numPr>
                <w:ilvl w:val="0"/>
                <w:numId w:val="0"/>
              </w:numPr>
              <w:jc w:val="center"/>
              <w:rPr>
                <w:rFonts w:hint="default"/>
                <w:sz w:val="28"/>
                <w:szCs w:val="36"/>
                <w:vertAlign w:val="baseline"/>
                <w:lang w:val="en-US" w:eastAsia="zh-CN"/>
              </w:rPr>
            </w:pPr>
          </w:p>
        </w:tc>
        <w:tc>
          <w:tcPr>
            <w:tcW w:w="2333" w:type="dxa"/>
          </w:tcPr>
          <w:p w14:paraId="5938A04D">
            <w:pPr>
              <w:numPr>
                <w:ilvl w:val="0"/>
                <w:numId w:val="0"/>
              </w:numPr>
              <w:jc w:val="center"/>
              <w:rPr>
                <w:rFonts w:hint="default"/>
                <w:sz w:val="28"/>
                <w:szCs w:val="36"/>
                <w:vertAlign w:val="baseline"/>
                <w:lang w:val="en-US" w:eastAsia="zh-CN"/>
              </w:rPr>
            </w:pPr>
          </w:p>
        </w:tc>
        <w:tc>
          <w:tcPr>
            <w:tcW w:w="1383" w:type="dxa"/>
          </w:tcPr>
          <w:p w14:paraId="24A40B04">
            <w:pPr>
              <w:numPr>
                <w:ilvl w:val="0"/>
                <w:numId w:val="0"/>
              </w:numPr>
              <w:jc w:val="center"/>
              <w:rPr>
                <w:rFonts w:hint="default"/>
                <w:sz w:val="28"/>
                <w:szCs w:val="36"/>
                <w:vertAlign w:val="baseline"/>
                <w:lang w:val="en-US" w:eastAsia="zh-CN"/>
              </w:rPr>
            </w:pPr>
          </w:p>
        </w:tc>
        <w:tc>
          <w:tcPr>
            <w:tcW w:w="2034" w:type="dxa"/>
          </w:tcPr>
          <w:p w14:paraId="26FB3D01">
            <w:pPr>
              <w:numPr>
                <w:ilvl w:val="0"/>
                <w:numId w:val="0"/>
              </w:numPr>
              <w:jc w:val="center"/>
              <w:rPr>
                <w:rFonts w:hint="default"/>
                <w:sz w:val="28"/>
                <w:szCs w:val="36"/>
                <w:vertAlign w:val="baseline"/>
                <w:lang w:val="en-US" w:eastAsia="zh-CN"/>
              </w:rPr>
            </w:pPr>
          </w:p>
        </w:tc>
      </w:tr>
    </w:tbl>
    <w:p w14:paraId="52FB9E4D">
      <w:pPr>
        <w:numPr>
          <w:numId w:val="0"/>
        </w:numPr>
        <w:ind w:leftChars="0"/>
        <w:jc w:val="both"/>
        <w:rPr>
          <w:rFonts w:hint="eastAsia"/>
          <w:sz w:val="28"/>
          <w:szCs w:val="36"/>
          <w:lang w:val="en-US" w:eastAsia="zh-CN"/>
        </w:rPr>
      </w:pPr>
    </w:p>
    <w:p w14:paraId="04C39CD0">
      <w:pPr>
        <w:numPr>
          <w:ilvl w:val="0"/>
          <w:numId w:val="1"/>
        </w:numPr>
        <w:ind w:left="0" w:leftChars="0" w:firstLine="0" w:firstLineChars="0"/>
        <w:jc w:val="both"/>
        <w:rPr>
          <w:rFonts w:hint="eastAsia"/>
          <w:sz w:val="28"/>
          <w:szCs w:val="36"/>
          <w:lang w:val="en-US" w:eastAsia="zh-CN"/>
        </w:rPr>
      </w:pPr>
      <w:r>
        <w:rPr>
          <w:rFonts w:hint="eastAsia"/>
          <w:sz w:val="28"/>
          <w:szCs w:val="36"/>
          <w:lang w:val="en-US" w:eastAsia="zh-CN"/>
        </w:rPr>
        <w:t>配套提供设备、试剂、耗材清单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5B4C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0ADB4CC2">
            <w:pPr>
              <w:numPr>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2841" w:type="dxa"/>
          </w:tcPr>
          <w:p w14:paraId="7C106F6A">
            <w:pPr>
              <w:numPr>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2841" w:type="dxa"/>
          </w:tcPr>
          <w:p w14:paraId="15FF0A6A">
            <w:pPr>
              <w:numPr>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4D44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top"/>
          </w:tcPr>
          <w:p w14:paraId="14D48DC3">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c>
          <w:tcPr>
            <w:tcW w:w="2841" w:type="dxa"/>
            <w:vAlign w:val="top"/>
          </w:tcPr>
          <w:p w14:paraId="1CB02B70">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c>
          <w:tcPr>
            <w:tcW w:w="2841" w:type="dxa"/>
            <w:vAlign w:val="top"/>
          </w:tcPr>
          <w:p w14:paraId="3EE1341F">
            <w:pPr>
              <w:numPr>
                <w:ilvl w:val="0"/>
                <w:numId w:val="0"/>
              </w:numPr>
              <w:ind w:left="0" w:leftChars="0" w:firstLine="0" w:firstLineChars="0"/>
              <w:jc w:val="center"/>
              <w:rPr>
                <w:rFonts w:hint="default"/>
                <w:sz w:val="28"/>
                <w:szCs w:val="36"/>
                <w:vertAlign w:val="baseline"/>
                <w:lang w:val="en-US" w:eastAsia="zh-CN"/>
              </w:rPr>
            </w:pPr>
            <w:r>
              <w:rPr>
                <w:rFonts w:hint="eastAsia"/>
                <w:sz w:val="28"/>
                <w:szCs w:val="36"/>
                <w:vertAlign w:val="baseline"/>
                <w:lang w:val="en-US" w:eastAsia="zh-CN"/>
              </w:rPr>
              <w:t>....</w:t>
            </w:r>
          </w:p>
        </w:tc>
      </w:tr>
      <w:tr w14:paraId="14EE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top"/>
          </w:tcPr>
          <w:p w14:paraId="1D5FEEEF">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238AD518">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511F4C23">
            <w:pPr>
              <w:numPr>
                <w:ilvl w:val="0"/>
                <w:numId w:val="0"/>
              </w:numPr>
              <w:ind w:left="0" w:leftChars="0" w:firstLine="0" w:firstLineChars="0"/>
              <w:jc w:val="center"/>
              <w:rPr>
                <w:rFonts w:hint="eastAsia"/>
                <w:sz w:val="28"/>
                <w:szCs w:val="36"/>
                <w:vertAlign w:val="baseline"/>
                <w:lang w:val="en-US" w:eastAsia="zh-CN"/>
              </w:rPr>
            </w:pPr>
          </w:p>
        </w:tc>
      </w:tr>
      <w:tr w14:paraId="529D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top"/>
          </w:tcPr>
          <w:p w14:paraId="6DBBC52A">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6E5061BD">
            <w:pPr>
              <w:numPr>
                <w:ilvl w:val="0"/>
                <w:numId w:val="0"/>
              </w:numPr>
              <w:ind w:left="0" w:leftChars="0" w:firstLine="0" w:firstLineChars="0"/>
              <w:jc w:val="center"/>
              <w:rPr>
                <w:rFonts w:hint="eastAsia"/>
                <w:sz w:val="28"/>
                <w:szCs w:val="36"/>
                <w:vertAlign w:val="baseline"/>
                <w:lang w:val="en-US" w:eastAsia="zh-CN"/>
              </w:rPr>
            </w:pPr>
          </w:p>
        </w:tc>
        <w:tc>
          <w:tcPr>
            <w:tcW w:w="2841" w:type="dxa"/>
            <w:vAlign w:val="top"/>
          </w:tcPr>
          <w:p w14:paraId="4674EC76">
            <w:pPr>
              <w:numPr>
                <w:ilvl w:val="0"/>
                <w:numId w:val="0"/>
              </w:numPr>
              <w:ind w:left="0" w:leftChars="0" w:firstLine="0" w:firstLineChars="0"/>
              <w:jc w:val="center"/>
              <w:rPr>
                <w:rFonts w:hint="eastAsia"/>
                <w:sz w:val="28"/>
                <w:szCs w:val="36"/>
                <w:vertAlign w:val="baseline"/>
                <w:lang w:val="en-US" w:eastAsia="zh-CN"/>
              </w:rPr>
            </w:pPr>
          </w:p>
        </w:tc>
      </w:tr>
    </w:tbl>
    <w:p w14:paraId="1B0CE71C">
      <w:pPr>
        <w:numPr>
          <w:numId w:val="0"/>
        </w:numPr>
        <w:ind w:leftChars="0"/>
        <w:jc w:val="both"/>
        <w:rPr>
          <w:rFonts w:hint="default"/>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三、特定资格要求：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四、</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五、响应征选的相关要求：</w:t>
      </w:r>
    </w:p>
    <w:p w14:paraId="4B2F0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响应文件中所提供满足本项目使用需求的试剂需在安徽省医药集中采购平台内，若响应产品在集中交易目录内优先选择集中交易目录品种；</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根据使用需求中要求提供满足需求的各规格试剂、耗材及配套设备的彩页、规格型号、技术参数、主要功能用途、提供各规格试剂价格、平台内价格截图；</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除粪便常规试剂外，配套提供开展上述检测的所有设备及试剂耗材（上述内容提供承诺并加盖公章及法人签名或法人签章）；</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提供省内不少于三家省内同级别医院一年内供货发票，发票内容包含与响应征选的试剂一致且有明确价格；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ilvl w:val="0"/>
          <w:numId w:val="0"/>
        </w:numPr>
        <w:jc w:val="both"/>
        <w:rPr>
          <w:rFonts w:ascii="Arial" w:hAnsi="Arial" w:cs="Arial"/>
          <w:i w:val="0"/>
          <w:iCs w:val="0"/>
          <w:caps w:val="0"/>
          <w:color w:val="333333"/>
          <w:spacing w:val="0"/>
          <w:sz w:val="24"/>
          <w:szCs w:val="24"/>
        </w:rPr>
      </w:pP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六、备注：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1"/>
      <w:numFmt w:val="chineseCounting"/>
      <w:suff w:val="nothing"/>
      <w:lvlText w:val="%1、"/>
      <w:lvlJc w:val="left"/>
      <w:rPr>
        <w:rFonts w:hint="eastAsia"/>
      </w:rPr>
    </w:lvl>
  </w:abstractNum>
  <w:abstractNum w:abstractNumId="1">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1BB65A3"/>
    <w:rsid w:val="03144708"/>
    <w:rsid w:val="03BA7DE8"/>
    <w:rsid w:val="0ABC2B68"/>
    <w:rsid w:val="11100D3F"/>
    <w:rsid w:val="13E42813"/>
    <w:rsid w:val="1FD620C2"/>
    <w:rsid w:val="1FFE6ABD"/>
    <w:rsid w:val="30DC43CA"/>
    <w:rsid w:val="3A447C8A"/>
    <w:rsid w:val="3A5E7E44"/>
    <w:rsid w:val="3D592E96"/>
    <w:rsid w:val="3F9848E0"/>
    <w:rsid w:val="4A05194D"/>
    <w:rsid w:val="50E51D95"/>
    <w:rsid w:val="53C07EB3"/>
    <w:rsid w:val="541B4673"/>
    <w:rsid w:val="588C15CC"/>
    <w:rsid w:val="5D9A39C2"/>
    <w:rsid w:val="63A948B2"/>
    <w:rsid w:val="6C886CFB"/>
    <w:rsid w:val="6D8D1B1F"/>
    <w:rsid w:val="73E94097"/>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1007</Words>
  <Characters>1163</Characters>
  <Lines>0</Lines>
  <Paragraphs>0</Paragraphs>
  <TotalTime>0</TotalTime>
  <ScaleCrop>false</ScaleCrop>
  <LinksUpToDate>false</LinksUpToDate>
  <CharactersWithSpaces>1164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2025-10-30T03:31:43Z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