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2388"/>
          <w:tab w:val="left" w:pos="2832"/>
          <w:tab w:val="left" w:pos="3472"/>
          <w:tab w:val="left" w:pos="6667"/>
          <w:tab w:val="left" w:pos="7270"/>
        </w:tabs>
        <w:spacing w:line="360" w:lineRule="auto"/>
        <w:ind w:right="153"/>
        <w:jc w:val="center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宿州市立医院新增射线装置及核素环评、预评、控评及竣工验收</w:t>
      </w:r>
    </w:p>
    <w:p>
      <w:pPr>
        <w:pStyle w:val="4"/>
        <w:tabs>
          <w:tab w:val="left" w:pos="2388"/>
          <w:tab w:val="left" w:pos="2832"/>
          <w:tab w:val="left" w:pos="3472"/>
          <w:tab w:val="left" w:pos="6667"/>
          <w:tab w:val="left" w:pos="7270"/>
        </w:tabs>
        <w:spacing w:line="360" w:lineRule="auto"/>
        <w:ind w:right="153"/>
        <w:jc w:val="center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等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服务要求</w:t>
      </w:r>
    </w:p>
    <w:p>
      <w:pPr>
        <w:pStyle w:val="4"/>
        <w:tabs>
          <w:tab w:val="left" w:pos="2388"/>
          <w:tab w:val="left" w:pos="2832"/>
          <w:tab w:val="left" w:pos="3472"/>
          <w:tab w:val="left" w:pos="6667"/>
          <w:tab w:val="left" w:pos="7270"/>
        </w:tabs>
        <w:spacing w:line="360" w:lineRule="auto"/>
        <w:ind w:left="100" w:right="153" w:firstLine="42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一、资质要求：投标单位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Hans" w:bidi="ar-SA"/>
        </w:rPr>
        <w:t>具有安徽省卫生健康委员会颁发的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放射技术服务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Hans" w:bidi="ar-SA"/>
        </w:rPr>
        <w:t>资质证书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（乙级及以上）和职业卫生技术服务资质证书（含第二类：核技术工业应用），具有注册环评工程师或注册核安全工程师证书。</w:t>
      </w:r>
    </w:p>
    <w:p>
      <w:pPr>
        <w:ind w:firstLine="56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备注：</w:t>
      </w:r>
    </w:p>
    <w:p>
      <w:pPr>
        <w:ind w:firstLine="56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1、若在规定服务周期内未完成服务，则视为违约，招标人将扣除履约保证金并解除合同。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2、按单台设备/核素的预评、环评、环保竣工验收辐射安全许可证取证、控评竣工验收取得放射诊疗许可证等阶段分项报价。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3、本项目有效期为自签订合同之日起1年，在1年内任意时间招标人可通知中标人提供服务，超出1年期招标人有权取消本项目。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二、服务范围：新增1台CT、3台DSA、新建核医学科，1台PET-CT、1台SPECT-CT、核素治疗及配套辅助设施。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三、技术服务要求：本项目应当办理发改委立项；防护方案、平面布局、施工设计；开展职业病危害预评价、职业病危害控制评价、环境影响评价、环保竣工验收、申领辐射安全许可证及放射诊疗许可证。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四、服务周期：在接招标人通知后30日内取得预评批复，在设备安装完成后接招标人通知30日内完成控评及验收取得放射诊疗许可证；在接招标人通知后5日内完成发改委立项及环保备案，在设备安装完成后接招标人通知30日内完成环保竣工验收取得辐射安全许可证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五、付款条件：按照分项报价，阶段性付款（每完成一台设备/核素的一项服务，支付一项服务费用）。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六、接受联合体投标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七、评分标准</w:t>
      </w:r>
    </w:p>
    <w:tbl>
      <w:tblPr>
        <w:tblStyle w:val="5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870"/>
        <w:gridCol w:w="438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评审项目</w:t>
            </w:r>
          </w:p>
        </w:tc>
        <w:tc>
          <w:tcPr>
            <w:tcW w:w="18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分值</w:t>
            </w:r>
          </w:p>
        </w:tc>
        <w:tc>
          <w:tcPr>
            <w:tcW w:w="4382" w:type="dxa"/>
            <w:noWrap w:val="0"/>
            <w:vAlign w:val="top"/>
          </w:tcPr>
          <w:p>
            <w:pPr>
              <w:spacing w:line="500" w:lineRule="exact"/>
              <w:ind w:firstLine="1890" w:firstLineChars="9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评审内容及标准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tabs>
                <w:tab w:val="left" w:pos="657"/>
              </w:tabs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0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技术分</w:t>
            </w:r>
            <w:r>
              <w:rPr>
                <w:rFonts w:hint="eastAsia" w:ascii="宋体" w:hAnsi="宋体"/>
                <w:lang w:val="en-US" w:eastAsia="zh-CN"/>
              </w:rPr>
              <w:t>50分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eastAsia="zh-CN"/>
              </w:rPr>
              <w:t>业绩</w:t>
            </w:r>
            <w:r>
              <w:rPr>
                <w:rFonts w:hint="eastAsia" w:ascii="宋体" w:hAnsi="宋体"/>
                <w:lang w:val="en-US" w:eastAsia="zh-CN"/>
              </w:rPr>
              <w:t>20分</w:t>
            </w:r>
          </w:p>
        </w:tc>
        <w:tc>
          <w:tcPr>
            <w:tcW w:w="438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供应商自2020年1月1日以来每提供一份医院类似业绩的合同得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  <w:lang w:eastAsia="zh-CN"/>
              </w:rPr>
              <w:t>分，满分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eastAsia="zh-CN"/>
              </w:rPr>
              <w:t>0分（需提供合同复印件加盖公章），不提供不得分。</w:t>
            </w:r>
          </w:p>
          <w:p>
            <w:pPr>
              <w:spacing w:line="24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说明：以上须提供有效的复印件并加盖公章。</w:t>
            </w:r>
            <w:r>
              <w:rPr>
                <w:rFonts w:ascii="宋体" w:hAnsi="宋体"/>
              </w:rPr>
              <w:t xml:space="preserve">                                      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1503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pacing w:line="500" w:lineRule="exact"/>
              <w:ind w:firstLine="105" w:firstLineChars="5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检测能力30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分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38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具有高级工程师1名得1分，总分10分。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2.同时</w:t>
            </w:r>
            <w:r>
              <w:rPr>
                <w:rFonts w:hint="eastAsia" w:ascii="宋体" w:hAnsi="宋体"/>
                <w:lang w:val="en-US" w:eastAsia="zh-CN"/>
              </w:rPr>
              <w:t>具有注册环评工程师证书和放射卫生检测与评价技术培训考核证书，每人3分，总分6</w:t>
            </w:r>
            <w:r>
              <w:rPr>
                <w:rFonts w:hint="eastAsia" w:ascii="宋体" w:hAnsi="宋体"/>
                <w:lang w:eastAsia="zh-CN"/>
              </w:rPr>
              <w:t>分，</w:t>
            </w:r>
            <w:r>
              <w:rPr>
                <w:rFonts w:hint="eastAsia" w:ascii="宋体" w:hAnsi="宋体"/>
                <w:lang w:val="en-US" w:eastAsia="zh-CN"/>
              </w:rPr>
              <w:t>不具有不得分。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3..参与制定/修订辐射相关行业标准，1个行业标准得3分,总分9分。</w:t>
            </w:r>
          </w:p>
          <w:p>
            <w:pPr>
              <w:spacing w:line="360" w:lineRule="auto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4.具有放射技术服务人员能力考核证书或证明及</w:t>
            </w:r>
            <w:r>
              <w:rPr>
                <w:rFonts w:hint="eastAsia" w:ascii="宋体" w:hAnsi="宋体"/>
                <w:lang w:eastAsia="zh-CN"/>
              </w:rPr>
              <w:t>核技术利用辐射安全与防护考核通过人员证书</w:t>
            </w:r>
            <w:r>
              <w:rPr>
                <w:rFonts w:hint="eastAsia" w:ascii="宋体" w:hAnsi="宋体"/>
                <w:lang w:val="en-US" w:eastAsia="zh-CN"/>
              </w:rPr>
              <w:t>或证明，每人0.5分，总分5</w:t>
            </w:r>
            <w:r>
              <w:rPr>
                <w:rFonts w:hint="eastAsia" w:ascii="宋体" w:hAnsi="宋体"/>
                <w:lang w:eastAsia="zh-CN"/>
              </w:rPr>
              <w:t>分，</w:t>
            </w:r>
            <w:r>
              <w:rPr>
                <w:rFonts w:hint="eastAsia" w:ascii="宋体" w:hAnsi="宋体"/>
                <w:lang w:val="en-US" w:eastAsia="zh-CN"/>
              </w:rPr>
              <w:t>未获得不得分。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说明：以上</w:t>
            </w:r>
            <w:r>
              <w:rPr>
                <w:rFonts w:hint="eastAsia" w:ascii="宋体" w:hAnsi="宋体"/>
                <w:lang w:val="en-US" w:eastAsia="zh-CN"/>
              </w:rPr>
              <w:t>提供近三个月人员社保，材料</w:t>
            </w:r>
            <w:r>
              <w:rPr>
                <w:rFonts w:hint="eastAsia" w:ascii="宋体" w:hAnsi="宋体"/>
                <w:lang w:eastAsia="zh-CN"/>
              </w:rPr>
              <w:t>须提供有效的复印件并加盖公章。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03" w:type="dxa"/>
            <w:noWrap w:val="0"/>
            <w:vAlign w:val="center"/>
          </w:tcPr>
          <w:p>
            <w:pPr>
              <w:spacing w:line="500" w:lineRule="exact"/>
              <w:ind w:firstLine="105" w:firstLineChars="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商务分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18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105" w:firstLineChars="5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价格分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4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价格标经评审满足本文件要求且在预算范围内的投标人的总报价中，最低价格为评标基准价格，得满分；其他投标人的价格分统一按照下列公式计算： 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投标报价得分＝（评标基准价/投标报价）× 价格分分值</w:t>
            </w:r>
            <w:r>
              <w:rPr>
                <w:rFonts w:hint="eastAsia" w:ascii="宋体" w:hAnsi="宋体" w:cs="宋体"/>
              </w:rPr>
              <w:t>（取小数点后两位</w:t>
            </w:r>
            <w:r>
              <w:rPr>
                <w:rFonts w:ascii="宋体" w:hAnsi="宋体" w:cs="宋体"/>
              </w:rPr>
              <w:t>）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</w:rPr>
            </w:pPr>
          </w:p>
        </w:tc>
      </w:tr>
    </w:tbl>
    <w:p>
      <w:pPr>
        <w:pStyle w:val="2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zNlZGMyYmNlZTJkY2I2MjYyNWIzMTk0ZGI1MzQifQ=="/>
  </w:docVars>
  <w:rsids>
    <w:rsidRoot w:val="3E657F26"/>
    <w:rsid w:val="02BF15A4"/>
    <w:rsid w:val="0B18663E"/>
    <w:rsid w:val="10EE5248"/>
    <w:rsid w:val="1B65095D"/>
    <w:rsid w:val="1BAF0D62"/>
    <w:rsid w:val="222C05FD"/>
    <w:rsid w:val="23B97049"/>
    <w:rsid w:val="241C1574"/>
    <w:rsid w:val="2C5606E6"/>
    <w:rsid w:val="3D0A36AD"/>
    <w:rsid w:val="3E657F26"/>
    <w:rsid w:val="4EAC4C33"/>
    <w:rsid w:val="51FC5F2B"/>
    <w:rsid w:val="53714032"/>
    <w:rsid w:val="57D65228"/>
    <w:rsid w:val="62E5224A"/>
    <w:rsid w:val="682D1147"/>
    <w:rsid w:val="7700587D"/>
    <w:rsid w:val="7DB62068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39"/>
    <w:pPr>
      <w:tabs>
        <w:tab w:val="left" w:pos="1800"/>
      </w:tabs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paragraph" w:styleId="4">
    <w:name w:val="Body Text"/>
    <w:basedOn w:val="1"/>
    <w:next w:val="1"/>
    <w:autoRedefine/>
    <w:qFormat/>
    <w:uiPriority w:val="0"/>
    <w:rPr>
      <w:rFonts w:ascii="宋体" w:hAnsi="Arial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1042</Characters>
  <Lines>0</Lines>
  <Paragraphs>0</Paragraphs>
  <TotalTime>3</TotalTime>
  <ScaleCrop>false</ScaleCrop>
  <LinksUpToDate>false</LinksUpToDate>
  <CharactersWithSpaces>1090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2024-05-16T03:06:00Z</dcterms:created>
  <dc:creator>依然忍者</dc:creator>
  <cp:lastModifiedBy>依然忍者</cp:lastModifiedBy>
  <cp:lastPrinted>2024-06-25T00:31:00Z</cp:lastPrinted>
  <dcterms:modified xsi:type="dcterms:W3CDTF">2024-06-27T03:48:40Z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A2209A6C0FB94471879BEEC6B60595F2_13</vt:lpwstr>
  </property>
</Properties>
</file>